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91CC4">
      <w:pPr>
        <w:rPr>
          <w:rFonts w:ascii="仿宋_GB2312" w:hAnsi="仿宋_GB2312" w:eastAsia="仿宋_GB2312" w:cs="仿宋_GB2312"/>
          <w:color w:val="auto"/>
          <w:sz w:val="36"/>
          <w:szCs w:val="36"/>
          <w:highlight w:val="none"/>
        </w:rPr>
      </w:pPr>
    </w:p>
    <w:p w14:paraId="50D078D3">
      <w:pPr>
        <w:rPr>
          <w:rFonts w:ascii="仿宋_GB2312" w:hAnsi="仿宋_GB2312" w:eastAsia="仿宋_GB2312" w:cs="仿宋_GB2312"/>
          <w:color w:val="auto"/>
          <w:sz w:val="36"/>
          <w:szCs w:val="36"/>
          <w:highlight w:val="none"/>
        </w:rPr>
      </w:pPr>
    </w:p>
    <w:p w14:paraId="145B8164">
      <w:pPr>
        <w:rPr>
          <w:rFonts w:ascii="仿宋_GB2312" w:hAnsi="仿宋_GB2312" w:eastAsia="仿宋_GB2312" w:cs="仿宋_GB2312"/>
          <w:color w:val="auto"/>
          <w:sz w:val="36"/>
          <w:szCs w:val="36"/>
          <w:highlight w:val="none"/>
        </w:rPr>
      </w:pPr>
    </w:p>
    <w:p w14:paraId="31C037D5">
      <w:pPr>
        <w:rPr>
          <w:rFonts w:ascii="仿宋_GB2312" w:hAnsi="仿宋_GB2312" w:eastAsia="仿宋_GB2312" w:cs="仿宋_GB2312"/>
          <w:color w:val="auto"/>
          <w:sz w:val="36"/>
          <w:szCs w:val="36"/>
          <w:highlight w:val="none"/>
        </w:rPr>
      </w:pPr>
    </w:p>
    <w:p w14:paraId="74E22547">
      <w:pPr>
        <w:adjustRightInd w:val="0"/>
        <w:snapToGrid w:val="0"/>
        <w:jc w:val="center"/>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7FC532CB">
      <w:pPr>
        <w:adjustRightInd w:val="0"/>
        <w:snapToGrid w:val="0"/>
        <w:spacing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4DA6B5E2">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312F2913">
      <w:pPr>
        <w:jc w:val="center"/>
        <w:rPr>
          <w:rFonts w:eastAsia="仿宋"/>
          <w:color w:val="auto"/>
          <w:sz w:val="52"/>
          <w:szCs w:val="52"/>
          <w:highlight w:val="none"/>
        </w:rPr>
      </w:pPr>
    </w:p>
    <w:p w14:paraId="098B375C">
      <w:pPr>
        <w:ind w:firstLine="1040"/>
        <w:rPr>
          <w:rFonts w:eastAsia="仿宋"/>
          <w:color w:val="auto"/>
          <w:sz w:val="44"/>
          <w:szCs w:val="44"/>
          <w:highlight w:val="none"/>
        </w:rPr>
      </w:pPr>
    </w:p>
    <w:p w14:paraId="21808A1B">
      <w:pPr>
        <w:ind w:firstLine="1040"/>
        <w:rPr>
          <w:rFonts w:eastAsia="仿宋"/>
          <w:color w:val="auto"/>
          <w:sz w:val="44"/>
          <w:szCs w:val="44"/>
          <w:highlight w:val="none"/>
        </w:rPr>
      </w:pPr>
    </w:p>
    <w:p w14:paraId="198CDD16">
      <w:pPr>
        <w:tabs>
          <w:tab w:val="left" w:pos="9460"/>
        </w:tabs>
        <w:adjustRightInd w:val="0"/>
        <w:snapToGrid w:val="0"/>
        <w:spacing w:line="360" w:lineRule="auto"/>
        <w:ind w:left="2159" w:leftChars="171" w:right="218" w:rightChars="104" w:hanging="1800" w:hangingChars="500"/>
        <w:jc w:val="left"/>
        <w:rPr>
          <w:rFonts w:hint="default"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洋县超细重钙、高端彩砂、骨料碎石及水洗（机制）沙及特种干混砂浆深加工项目</w:t>
      </w:r>
      <w:r>
        <w:rPr>
          <w:rFonts w:hint="eastAsia" w:ascii="仿宋_GB2312" w:eastAsia="仿宋_GB2312"/>
          <w:color w:val="auto"/>
          <w:sz w:val="36"/>
          <w:szCs w:val="36"/>
          <w:highlight w:val="none"/>
          <w:u w:val="single"/>
          <w:lang w:eastAsia="zh-CN"/>
        </w:rPr>
        <w:t>（</w:t>
      </w:r>
      <w:r>
        <w:rPr>
          <w:rFonts w:hint="eastAsia" w:ascii="仿宋_GB2312" w:eastAsia="仿宋_GB2312"/>
          <w:color w:val="auto"/>
          <w:sz w:val="36"/>
          <w:szCs w:val="36"/>
          <w:highlight w:val="none"/>
          <w:u w:val="single"/>
        </w:rPr>
        <w:t>一期</w:t>
      </w:r>
      <w:r>
        <w:rPr>
          <w:rFonts w:hint="eastAsia" w:ascii="仿宋_GB2312" w:eastAsia="仿宋_GB2312"/>
          <w:color w:val="auto"/>
          <w:sz w:val="36"/>
          <w:szCs w:val="36"/>
          <w:highlight w:val="none"/>
          <w:u w:val="single"/>
          <w:lang w:eastAsia="zh-CN"/>
        </w:rPr>
        <w:t>）</w:t>
      </w:r>
      <w:r>
        <w:rPr>
          <w:rFonts w:hint="eastAsia" w:ascii="仿宋_GB2312" w:eastAsia="仿宋_GB2312"/>
          <w:color w:val="auto"/>
          <w:sz w:val="36"/>
          <w:szCs w:val="36"/>
          <w:highlight w:val="none"/>
          <w:u w:val="single"/>
          <w:lang w:val="en-US" w:eastAsia="zh-CN"/>
        </w:rPr>
        <w:t xml:space="preserve">   </w:t>
      </w:r>
    </w:p>
    <w:p w14:paraId="16E28C26">
      <w:pPr>
        <w:adjustRightInd w:val="0"/>
        <w:snapToGrid w:val="0"/>
        <w:spacing w:line="360" w:lineRule="auto"/>
        <w:ind w:left="2" w:leftChars="1" w:right="218" w:rightChars="104" w:firstLine="360" w:firstLineChars="100"/>
        <w:jc w:val="left"/>
        <w:rPr>
          <w:rFonts w:hint="default"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  汉中迪瑞特实业投资有限公司</w:t>
      </w:r>
      <w:r>
        <w:rPr>
          <w:rFonts w:hint="eastAsia" w:ascii="仿宋_GB2312" w:eastAsia="仿宋_GB2312"/>
          <w:color w:val="auto"/>
          <w:sz w:val="36"/>
          <w:szCs w:val="36"/>
          <w:highlight w:val="none"/>
          <w:u w:val="single"/>
          <w:lang w:val="en-US" w:eastAsia="zh-CN"/>
        </w:rPr>
        <w:t xml:space="preserve">   </w:t>
      </w:r>
    </w:p>
    <w:p w14:paraId="3D081979">
      <w:pPr>
        <w:adjustRightInd w:val="0"/>
        <w:snapToGrid w:val="0"/>
        <w:spacing w:line="360" w:lineRule="auto"/>
        <w:ind w:right="218" w:rightChars="104" w:firstLine="360" w:firstLineChars="100"/>
        <w:jc w:val="left"/>
        <w:rPr>
          <w:rFonts w:hint="eastAsia"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二〇二五年</w:t>
      </w:r>
      <w:r>
        <w:rPr>
          <w:rFonts w:hint="eastAsia" w:ascii="仿宋_GB2312" w:eastAsia="仿宋_GB2312"/>
          <w:color w:val="auto"/>
          <w:sz w:val="36"/>
          <w:szCs w:val="36"/>
          <w:highlight w:val="none"/>
          <w:u w:val="single"/>
          <w:lang w:val="en-US" w:eastAsia="zh-CN"/>
        </w:rPr>
        <w:t>十一</w:t>
      </w:r>
      <w:r>
        <w:rPr>
          <w:rFonts w:hint="eastAsia" w:ascii="仿宋_GB2312" w:eastAsia="仿宋_GB2312"/>
          <w:color w:val="auto"/>
          <w:sz w:val="36"/>
          <w:szCs w:val="36"/>
          <w:highlight w:val="none"/>
          <w:u w:val="single"/>
        </w:rPr>
        <w:t xml:space="preserve">月            </w:t>
      </w:r>
      <w:r>
        <w:rPr>
          <w:rFonts w:hint="eastAsia" w:ascii="仿宋_GB2312" w:eastAsia="仿宋_GB2312"/>
          <w:color w:val="auto"/>
          <w:sz w:val="36"/>
          <w:szCs w:val="36"/>
          <w:highlight w:val="none"/>
          <w:u w:val="single"/>
          <w:lang w:val="en-US" w:eastAsia="zh-CN"/>
        </w:rPr>
        <w:t xml:space="preserve"> </w:t>
      </w:r>
    </w:p>
    <w:p w14:paraId="44E5D0DE">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6C62C261">
      <w:pPr>
        <w:adjustRightInd w:val="0"/>
        <w:snapToGrid w:val="0"/>
        <w:spacing w:line="360" w:lineRule="auto"/>
        <w:ind w:firstLine="1040"/>
        <w:rPr>
          <w:rFonts w:ascii="仿宋_GB2312" w:eastAsia="仿宋_GB2312"/>
          <w:color w:val="auto"/>
          <w:sz w:val="36"/>
          <w:szCs w:val="36"/>
          <w:highlight w:val="none"/>
        </w:rPr>
      </w:pPr>
    </w:p>
    <w:p w14:paraId="5C029B1D">
      <w:pPr>
        <w:adjustRightInd w:val="0"/>
        <w:snapToGrid w:val="0"/>
        <w:spacing w:line="360" w:lineRule="auto"/>
        <w:rPr>
          <w:rFonts w:ascii="仿宋_GB2312" w:eastAsia="仿宋_GB2312"/>
          <w:color w:val="auto"/>
          <w:sz w:val="36"/>
          <w:szCs w:val="36"/>
          <w:highlight w:val="none"/>
        </w:rPr>
      </w:pPr>
    </w:p>
    <w:bookmarkEnd w:id="0"/>
    <w:p w14:paraId="2FC5F27E">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72809191">
      <w:pPr>
        <w:pStyle w:val="2"/>
        <w:rPr>
          <w:rFonts w:hint="eastAsia" w:ascii="楷体_GB2312" w:eastAsia="楷体_GB2312"/>
          <w:color w:val="auto"/>
          <w:sz w:val="36"/>
          <w:szCs w:val="36"/>
          <w:highlight w:val="none"/>
        </w:rPr>
      </w:pPr>
    </w:p>
    <w:p w14:paraId="612FFD87">
      <w:pPr>
        <w:rPr>
          <w:rFonts w:hint="eastAsia" w:ascii="楷体_GB2312" w:eastAsia="楷体_GB2312"/>
          <w:color w:val="auto"/>
          <w:sz w:val="36"/>
          <w:szCs w:val="36"/>
          <w:highlight w:val="none"/>
        </w:rPr>
      </w:pPr>
    </w:p>
    <w:p w14:paraId="06C5392D">
      <w:pPr>
        <w:pStyle w:val="2"/>
        <w:rPr>
          <w:rFonts w:hint="eastAsia" w:ascii="楷体_GB2312" w:eastAsia="楷体_GB2312"/>
          <w:color w:val="auto"/>
          <w:sz w:val="36"/>
          <w:szCs w:val="36"/>
          <w:highlight w:val="none"/>
        </w:rPr>
      </w:pPr>
    </w:p>
    <w:p w14:paraId="31F5CE2E">
      <w:pPr>
        <w:rPr>
          <w:rFonts w:hint="eastAsia" w:ascii="楷体_GB2312" w:eastAsia="楷体_GB2312"/>
          <w:color w:val="auto"/>
          <w:sz w:val="36"/>
          <w:szCs w:val="36"/>
          <w:highlight w:val="none"/>
        </w:rPr>
      </w:pPr>
    </w:p>
    <w:p w14:paraId="198DC35A">
      <w:pPr>
        <w:pStyle w:val="2"/>
      </w:pPr>
    </w:p>
    <w:p w14:paraId="7980BF56">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915"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D2677FF">
      <w:pPr>
        <w:pStyle w:val="26"/>
        <w:spacing w:before="0" w:beforeAutospacing="0" w:after="0" w:afterAutospacing="0" w:line="360" w:lineRule="auto"/>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3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17"/>
        <w:gridCol w:w="797"/>
        <w:gridCol w:w="2280"/>
        <w:gridCol w:w="1432"/>
        <w:gridCol w:w="3744"/>
      </w:tblGrid>
      <w:tr w14:paraId="6010D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3159DB5F">
            <w:pPr>
              <w:adjustRightInd w:val="0"/>
              <w:snapToGrid w:val="0"/>
              <w:jc w:val="center"/>
              <w:rPr>
                <w:color w:val="auto"/>
                <w:sz w:val="24"/>
                <w:highlight w:val="none"/>
              </w:rPr>
            </w:pPr>
            <w:r>
              <w:rPr>
                <w:color w:val="auto"/>
                <w:sz w:val="24"/>
                <w:highlight w:val="none"/>
              </w:rPr>
              <w:t>建设项目</w:t>
            </w:r>
          </w:p>
          <w:p w14:paraId="64119090">
            <w:pPr>
              <w:adjustRightInd w:val="0"/>
              <w:snapToGrid w:val="0"/>
              <w:jc w:val="center"/>
              <w:rPr>
                <w:color w:val="auto"/>
                <w:sz w:val="24"/>
                <w:highlight w:val="none"/>
              </w:rPr>
            </w:pPr>
            <w:r>
              <w:rPr>
                <w:color w:val="auto"/>
                <w:sz w:val="24"/>
                <w:highlight w:val="none"/>
              </w:rPr>
              <w:t>名称</w:t>
            </w:r>
          </w:p>
        </w:tc>
        <w:tc>
          <w:tcPr>
            <w:tcW w:w="7456" w:type="dxa"/>
            <w:gridSpan w:val="3"/>
            <w:vAlign w:val="center"/>
          </w:tcPr>
          <w:p w14:paraId="18F737D9">
            <w:pPr>
              <w:adjustRightInd w:val="0"/>
              <w:snapToGrid w:val="0"/>
              <w:jc w:val="center"/>
              <w:rPr>
                <w:color w:val="auto"/>
                <w:sz w:val="24"/>
                <w:highlight w:val="none"/>
              </w:rPr>
            </w:pPr>
            <w:r>
              <w:rPr>
                <w:rFonts w:hint="eastAsia"/>
                <w:color w:val="auto"/>
                <w:sz w:val="24"/>
                <w:highlight w:val="none"/>
                <w:lang w:val="en-US" w:eastAsia="zh-CN"/>
              </w:rPr>
              <w:t>洋</w:t>
            </w:r>
            <w:r>
              <w:rPr>
                <w:rFonts w:hint="eastAsia"/>
                <w:color w:val="auto"/>
                <w:sz w:val="24"/>
                <w:highlight w:val="none"/>
              </w:rPr>
              <w:t>县超细重钙、高端彩砂、骨料碎石及水洗（机制）沙及特种干混砂浆深加工项目</w:t>
            </w:r>
            <w:r>
              <w:rPr>
                <w:rFonts w:hint="eastAsia"/>
                <w:color w:val="auto"/>
                <w:sz w:val="24"/>
                <w:highlight w:val="none"/>
                <w:lang w:eastAsia="zh-CN"/>
              </w:rPr>
              <w:t>（</w:t>
            </w:r>
            <w:r>
              <w:rPr>
                <w:rFonts w:hint="eastAsia"/>
                <w:color w:val="auto"/>
                <w:sz w:val="24"/>
                <w:highlight w:val="none"/>
              </w:rPr>
              <w:t>一期</w:t>
            </w:r>
            <w:r>
              <w:rPr>
                <w:rFonts w:hint="eastAsia"/>
                <w:color w:val="auto"/>
                <w:sz w:val="24"/>
                <w:highlight w:val="none"/>
                <w:lang w:eastAsia="zh-CN"/>
              </w:rPr>
              <w:t>）</w:t>
            </w:r>
          </w:p>
        </w:tc>
      </w:tr>
      <w:tr w14:paraId="4D3CB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1414" w:type="dxa"/>
            <w:gridSpan w:val="2"/>
            <w:tcMar>
              <w:top w:w="16" w:type="dxa"/>
              <w:left w:w="16" w:type="dxa"/>
              <w:right w:w="16" w:type="dxa"/>
            </w:tcMar>
            <w:vAlign w:val="center"/>
          </w:tcPr>
          <w:p w14:paraId="43CD8E58">
            <w:pPr>
              <w:adjustRightInd w:val="0"/>
              <w:snapToGrid w:val="0"/>
              <w:jc w:val="center"/>
              <w:rPr>
                <w:color w:val="auto"/>
                <w:sz w:val="24"/>
                <w:highlight w:val="none"/>
              </w:rPr>
            </w:pPr>
            <w:r>
              <w:rPr>
                <w:color w:val="auto"/>
                <w:sz w:val="24"/>
                <w:highlight w:val="none"/>
              </w:rPr>
              <w:t>项目代码</w:t>
            </w:r>
          </w:p>
        </w:tc>
        <w:tc>
          <w:tcPr>
            <w:tcW w:w="7456" w:type="dxa"/>
            <w:gridSpan w:val="3"/>
            <w:vAlign w:val="center"/>
          </w:tcPr>
          <w:p w14:paraId="07528804">
            <w:pPr>
              <w:adjustRightInd w:val="0"/>
              <w:snapToGrid w:val="0"/>
              <w:jc w:val="center"/>
              <w:rPr>
                <w:color w:val="auto"/>
                <w:sz w:val="24"/>
                <w:highlight w:val="none"/>
              </w:rPr>
            </w:pPr>
            <w:r>
              <w:rPr>
                <w:rFonts w:hint="eastAsia"/>
                <w:color w:val="auto"/>
                <w:sz w:val="24"/>
                <w:highlight w:val="none"/>
              </w:rPr>
              <w:t>2510-610723-04-05-677184</w:t>
            </w:r>
          </w:p>
        </w:tc>
      </w:tr>
      <w:tr w14:paraId="04A8A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7BF7C266">
            <w:pPr>
              <w:adjustRightInd w:val="0"/>
              <w:snapToGrid w:val="0"/>
              <w:jc w:val="center"/>
              <w:rPr>
                <w:color w:val="auto"/>
                <w:sz w:val="24"/>
                <w:highlight w:val="none"/>
              </w:rPr>
            </w:pPr>
            <w:r>
              <w:rPr>
                <w:color w:val="auto"/>
                <w:sz w:val="24"/>
                <w:highlight w:val="none"/>
              </w:rPr>
              <w:t>建设单位</w:t>
            </w:r>
          </w:p>
          <w:p w14:paraId="1DF4ABC5">
            <w:pPr>
              <w:adjustRightInd w:val="0"/>
              <w:snapToGrid w:val="0"/>
              <w:jc w:val="center"/>
              <w:rPr>
                <w:color w:val="auto"/>
                <w:sz w:val="24"/>
                <w:highlight w:val="none"/>
              </w:rPr>
            </w:pPr>
            <w:r>
              <w:rPr>
                <w:color w:val="auto"/>
                <w:sz w:val="24"/>
                <w:highlight w:val="none"/>
              </w:rPr>
              <w:t>联系人</w:t>
            </w:r>
          </w:p>
        </w:tc>
        <w:tc>
          <w:tcPr>
            <w:tcW w:w="2280" w:type="dxa"/>
            <w:vAlign w:val="center"/>
          </w:tcPr>
          <w:p w14:paraId="36DD8955">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梁咏</w:t>
            </w:r>
          </w:p>
        </w:tc>
        <w:tc>
          <w:tcPr>
            <w:tcW w:w="1432" w:type="dxa"/>
            <w:vAlign w:val="center"/>
          </w:tcPr>
          <w:p w14:paraId="4AD3527E">
            <w:pPr>
              <w:adjustRightInd w:val="0"/>
              <w:snapToGrid w:val="0"/>
              <w:jc w:val="center"/>
              <w:rPr>
                <w:color w:val="auto"/>
                <w:sz w:val="24"/>
                <w:highlight w:val="none"/>
              </w:rPr>
            </w:pPr>
            <w:r>
              <w:rPr>
                <w:color w:val="auto"/>
                <w:sz w:val="24"/>
                <w:highlight w:val="none"/>
              </w:rPr>
              <w:t>联系方式</w:t>
            </w:r>
          </w:p>
        </w:tc>
        <w:tc>
          <w:tcPr>
            <w:tcW w:w="3744" w:type="dxa"/>
            <w:vAlign w:val="center"/>
          </w:tcPr>
          <w:p w14:paraId="5BB016B7">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15399167377</w:t>
            </w:r>
          </w:p>
        </w:tc>
      </w:tr>
      <w:tr w14:paraId="029E0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gridSpan w:val="2"/>
            <w:tcMar>
              <w:top w:w="16" w:type="dxa"/>
              <w:left w:w="16" w:type="dxa"/>
              <w:right w:w="16" w:type="dxa"/>
            </w:tcMar>
            <w:vAlign w:val="center"/>
          </w:tcPr>
          <w:p w14:paraId="77A2C12C">
            <w:pPr>
              <w:adjustRightInd w:val="0"/>
              <w:snapToGrid w:val="0"/>
              <w:jc w:val="center"/>
              <w:rPr>
                <w:color w:val="auto"/>
                <w:sz w:val="24"/>
                <w:highlight w:val="none"/>
              </w:rPr>
            </w:pPr>
            <w:r>
              <w:rPr>
                <w:color w:val="auto"/>
                <w:sz w:val="24"/>
                <w:highlight w:val="none"/>
              </w:rPr>
              <w:t>建设地点</w:t>
            </w:r>
          </w:p>
        </w:tc>
        <w:tc>
          <w:tcPr>
            <w:tcW w:w="7456" w:type="dxa"/>
            <w:gridSpan w:val="3"/>
            <w:vAlign w:val="center"/>
          </w:tcPr>
          <w:p w14:paraId="58B23EA3">
            <w:pPr>
              <w:adjustRightInd w:val="0"/>
              <w:snapToGrid w:val="0"/>
              <w:jc w:val="center"/>
              <w:rPr>
                <w:rFonts w:hint="default" w:eastAsia="宋体"/>
                <w:color w:val="auto"/>
                <w:sz w:val="24"/>
                <w:highlight w:val="none"/>
                <w:lang w:val="en-US" w:eastAsia="zh-CN"/>
              </w:rPr>
            </w:pPr>
            <w:r>
              <w:rPr>
                <w:rFonts w:hint="eastAsia"/>
                <w:color w:val="auto"/>
                <w:sz w:val="24"/>
                <w:highlight w:val="none"/>
              </w:rPr>
              <w:t>陕西</w:t>
            </w:r>
            <w:r>
              <w:rPr>
                <w:color w:val="auto"/>
                <w:sz w:val="24"/>
                <w:highlight w:val="none"/>
              </w:rPr>
              <w:t>省</w:t>
            </w:r>
            <w:r>
              <w:rPr>
                <w:rFonts w:hint="eastAsia"/>
                <w:color w:val="auto"/>
                <w:sz w:val="24"/>
                <w:highlight w:val="none"/>
              </w:rPr>
              <w:t>汉中市洋县</w:t>
            </w:r>
            <w:r>
              <w:rPr>
                <w:rFonts w:hint="eastAsia"/>
                <w:color w:val="auto"/>
                <w:sz w:val="24"/>
                <w:highlight w:val="none"/>
                <w:lang w:val="en-US" w:eastAsia="zh-CN"/>
              </w:rPr>
              <w:t>戚氏街道</w:t>
            </w:r>
          </w:p>
        </w:tc>
      </w:tr>
      <w:tr w14:paraId="10592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gridSpan w:val="2"/>
            <w:tcMar>
              <w:top w:w="16" w:type="dxa"/>
              <w:left w:w="16" w:type="dxa"/>
              <w:right w:w="16" w:type="dxa"/>
            </w:tcMar>
            <w:vAlign w:val="center"/>
          </w:tcPr>
          <w:p w14:paraId="66E56151">
            <w:pPr>
              <w:adjustRightInd w:val="0"/>
              <w:snapToGrid w:val="0"/>
              <w:jc w:val="center"/>
              <w:rPr>
                <w:color w:val="auto"/>
                <w:sz w:val="24"/>
                <w:highlight w:val="none"/>
              </w:rPr>
            </w:pPr>
            <w:r>
              <w:rPr>
                <w:color w:val="auto"/>
                <w:sz w:val="24"/>
                <w:highlight w:val="none"/>
              </w:rPr>
              <w:t>地理坐标</w:t>
            </w:r>
          </w:p>
        </w:tc>
        <w:tc>
          <w:tcPr>
            <w:tcW w:w="7456" w:type="dxa"/>
            <w:gridSpan w:val="3"/>
            <w:vAlign w:val="center"/>
          </w:tcPr>
          <w:p w14:paraId="4DB2BEC4">
            <w:pPr>
              <w:jc w:val="center"/>
              <w:rPr>
                <w:color w:val="auto"/>
                <w:sz w:val="24"/>
                <w:highlight w:val="none"/>
              </w:rPr>
            </w:pPr>
            <w:r>
              <w:rPr>
                <w:rFonts w:hint="eastAsia"/>
                <w:color w:val="auto"/>
                <w:sz w:val="24"/>
                <w:highlight w:val="none"/>
              </w:rPr>
              <w:t>（107度2</w:t>
            </w:r>
            <w:r>
              <w:rPr>
                <w:rFonts w:hint="eastAsia"/>
                <w:color w:val="auto"/>
                <w:sz w:val="24"/>
                <w:highlight w:val="none"/>
                <w:lang w:val="en-US" w:eastAsia="zh-CN"/>
              </w:rPr>
              <w:t>8</w:t>
            </w:r>
            <w:r>
              <w:rPr>
                <w:rFonts w:hint="eastAsia"/>
                <w:color w:val="auto"/>
                <w:sz w:val="24"/>
                <w:highlight w:val="none"/>
              </w:rPr>
              <w:t>分</w:t>
            </w:r>
            <w:r>
              <w:rPr>
                <w:rFonts w:hint="eastAsia"/>
                <w:color w:val="auto"/>
                <w:sz w:val="24"/>
                <w:highlight w:val="none"/>
                <w:lang w:val="en-US" w:eastAsia="zh-CN"/>
              </w:rPr>
              <w:t>36</w:t>
            </w:r>
            <w:r>
              <w:rPr>
                <w:rFonts w:hint="eastAsia"/>
                <w:color w:val="auto"/>
                <w:sz w:val="24"/>
                <w:highlight w:val="none"/>
              </w:rPr>
              <w:t>.</w:t>
            </w:r>
            <w:r>
              <w:rPr>
                <w:rFonts w:hint="eastAsia"/>
                <w:color w:val="auto"/>
                <w:sz w:val="24"/>
                <w:highlight w:val="none"/>
                <w:lang w:val="en-US" w:eastAsia="zh-CN"/>
              </w:rPr>
              <w:t>876</w:t>
            </w:r>
            <w:r>
              <w:rPr>
                <w:rFonts w:hint="eastAsia"/>
                <w:color w:val="auto"/>
                <w:sz w:val="24"/>
                <w:highlight w:val="none"/>
              </w:rPr>
              <w:t>秒，33度1</w:t>
            </w:r>
            <w:r>
              <w:rPr>
                <w:rFonts w:hint="eastAsia"/>
                <w:color w:val="auto"/>
                <w:sz w:val="24"/>
                <w:highlight w:val="none"/>
                <w:lang w:val="en-US" w:eastAsia="zh-CN"/>
              </w:rPr>
              <w:t>3</w:t>
            </w:r>
            <w:r>
              <w:rPr>
                <w:rFonts w:hint="eastAsia"/>
                <w:color w:val="auto"/>
                <w:sz w:val="24"/>
                <w:highlight w:val="none"/>
              </w:rPr>
              <w:t>分</w:t>
            </w:r>
            <w:r>
              <w:rPr>
                <w:rFonts w:hint="eastAsia"/>
                <w:color w:val="auto"/>
                <w:sz w:val="24"/>
                <w:highlight w:val="none"/>
                <w:lang w:val="en-US" w:eastAsia="zh-CN"/>
              </w:rPr>
              <w:t>3.229</w:t>
            </w:r>
            <w:r>
              <w:rPr>
                <w:rFonts w:hint="eastAsia"/>
                <w:color w:val="auto"/>
                <w:sz w:val="24"/>
                <w:highlight w:val="none"/>
              </w:rPr>
              <w:t>秒）</w:t>
            </w:r>
          </w:p>
        </w:tc>
      </w:tr>
      <w:tr w14:paraId="05733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6FDCFC50">
            <w:pPr>
              <w:adjustRightInd w:val="0"/>
              <w:snapToGrid w:val="0"/>
              <w:jc w:val="center"/>
              <w:rPr>
                <w:color w:val="auto"/>
                <w:sz w:val="24"/>
                <w:highlight w:val="none"/>
              </w:rPr>
            </w:pPr>
            <w:r>
              <w:rPr>
                <w:color w:val="auto"/>
                <w:sz w:val="24"/>
                <w:highlight w:val="none"/>
              </w:rPr>
              <w:t>国民经济</w:t>
            </w:r>
          </w:p>
          <w:p w14:paraId="5F696980">
            <w:pPr>
              <w:adjustRightInd w:val="0"/>
              <w:snapToGrid w:val="0"/>
              <w:jc w:val="center"/>
              <w:rPr>
                <w:color w:val="auto"/>
                <w:sz w:val="24"/>
                <w:highlight w:val="none"/>
              </w:rPr>
            </w:pPr>
            <w:r>
              <w:rPr>
                <w:color w:val="auto"/>
                <w:sz w:val="24"/>
                <w:highlight w:val="none"/>
              </w:rPr>
              <w:t>行业类别</w:t>
            </w:r>
          </w:p>
        </w:tc>
        <w:tc>
          <w:tcPr>
            <w:tcW w:w="2280" w:type="dxa"/>
            <w:vAlign w:val="center"/>
          </w:tcPr>
          <w:p w14:paraId="7272139D">
            <w:pPr>
              <w:adjustRightInd w:val="0"/>
              <w:snapToGrid w:val="0"/>
              <w:jc w:val="both"/>
              <w:rPr>
                <w:rFonts w:hint="eastAsia"/>
                <w:color w:val="auto"/>
                <w:sz w:val="24"/>
                <w:highlight w:val="none"/>
              </w:rPr>
            </w:pPr>
            <w:r>
              <w:rPr>
                <w:color w:val="auto"/>
                <w:sz w:val="24"/>
                <w:highlight w:val="none"/>
              </w:rPr>
              <w:t>C30</w:t>
            </w:r>
            <w:r>
              <w:rPr>
                <w:rFonts w:hint="eastAsia"/>
                <w:color w:val="auto"/>
                <w:sz w:val="24"/>
                <w:highlight w:val="none"/>
              </w:rPr>
              <w:t>39其他建筑材料制造</w:t>
            </w:r>
          </w:p>
          <w:p w14:paraId="7701A84F">
            <w:pPr>
              <w:pStyle w:val="2"/>
              <w:ind w:left="0" w:leftChars="0" w:firstLine="0" w:firstLineChars="0"/>
              <w:jc w:val="both"/>
            </w:pPr>
            <w:r>
              <w:rPr>
                <w:rFonts w:hint="default" w:ascii="Times New Roman" w:hAnsi="Times New Roman" w:cs="Times New Roman"/>
                <w:sz w:val="24"/>
              </w:rPr>
              <w:t>C3099其他非金属矿物制品制造</w:t>
            </w:r>
          </w:p>
        </w:tc>
        <w:tc>
          <w:tcPr>
            <w:tcW w:w="1432" w:type="dxa"/>
            <w:vAlign w:val="center"/>
          </w:tcPr>
          <w:p w14:paraId="70ECEAC1">
            <w:pPr>
              <w:adjustRightInd w:val="0"/>
              <w:snapToGrid w:val="0"/>
              <w:jc w:val="center"/>
              <w:rPr>
                <w:color w:val="auto"/>
                <w:sz w:val="24"/>
                <w:highlight w:val="none"/>
              </w:rPr>
            </w:pPr>
            <w:bookmarkStart w:id="1" w:name="_Hlk49843745"/>
            <w:r>
              <w:rPr>
                <w:color w:val="auto"/>
                <w:sz w:val="24"/>
                <w:highlight w:val="none"/>
              </w:rPr>
              <w:t>建设项目</w:t>
            </w:r>
          </w:p>
          <w:p w14:paraId="315C63C7">
            <w:pPr>
              <w:adjustRightInd w:val="0"/>
              <w:snapToGrid w:val="0"/>
              <w:jc w:val="center"/>
              <w:rPr>
                <w:color w:val="auto"/>
                <w:sz w:val="24"/>
                <w:highlight w:val="none"/>
              </w:rPr>
            </w:pPr>
            <w:r>
              <w:rPr>
                <w:color w:val="auto"/>
                <w:sz w:val="24"/>
                <w:highlight w:val="none"/>
              </w:rPr>
              <w:t>行业类别</w:t>
            </w:r>
            <w:bookmarkEnd w:id="1"/>
          </w:p>
        </w:tc>
        <w:tc>
          <w:tcPr>
            <w:tcW w:w="3744" w:type="dxa"/>
            <w:vAlign w:val="center"/>
          </w:tcPr>
          <w:p w14:paraId="7CFAED48">
            <w:pPr>
              <w:adjustRightInd w:val="0"/>
              <w:snapToGrid w:val="0"/>
              <w:jc w:val="both"/>
              <w:rPr>
                <w:rFonts w:hint="eastAsia"/>
                <w:color w:val="auto"/>
                <w:kern w:val="21"/>
                <w:sz w:val="24"/>
                <w:highlight w:val="none"/>
              </w:rPr>
            </w:pPr>
            <w:r>
              <w:rPr>
                <w:rFonts w:hint="eastAsia"/>
                <w:color w:val="auto"/>
                <w:kern w:val="21"/>
                <w:sz w:val="24"/>
                <w:highlight w:val="none"/>
              </w:rPr>
              <w:t>二十七、非金属矿物制品业30</w:t>
            </w:r>
            <w:r>
              <w:rPr>
                <w:rFonts w:hint="eastAsia"/>
                <w:color w:val="auto"/>
                <w:kern w:val="21"/>
                <w:sz w:val="24"/>
                <w:highlight w:val="none"/>
                <w:lang w:val="en-US" w:eastAsia="zh-CN"/>
              </w:rPr>
              <w:t>-</w:t>
            </w:r>
            <w:r>
              <w:rPr>
                <w:rFonts w:hint="eastAsia"/>
                <w:color w:val="auto"/>
                <w:kern w:val="21"/>
                <w:sz w:val="24"/>
                <w:highlight w:val="none"/>
              </w:rPr>
              <w:t>56砖瓦、石材等建筑材料制造303</w:t>
            </w:r>
            <w:r>
              <w:rPr>
                <w:rFonts w:hint="eastAsia"/>
                <w:color w:val="auto"/>
                <w:kern w:val="21"/>
                <w:sz w:val="24"/>
                <w:highlight w:val="none"/>
                <w:lang w:eastAsia="zh-CN"/>
              </w:rPr>
              <w:t>－</w:t>
            </w:r>
            <w:r>
              <w:rPr>
                <w:rFonts w:hint="eastAsia"/>
                <w:color w:val="auto"/>
                <w:kern w:val="21"/>
                <w:sz w:val="24"/>
                <w:highlight w:val="none"/>
              </w:rPr>
              <w:t>其他建筑材料制造（含干粉砂浆搅拌站）</w:t>
            </w:r>
          </w:p>
          <w:p w14:paraId="609F6D1C">
            <w:pPr>
              <w:pStyle w:val="2"/>
              <w:ind w:left="0" w:leftChars="0" w:firstLine="0" w:firstLineChars="0"/>
              <w:jc w:val="both"/>
            </w:pPr>
            <w:r>
              <w:rPr>
                <w:rFonts w:hint="default" w:ascii="Times New Roman" w:hAnsi="Times New Roman" w:cs="Times New Roman"/>
                <w:sz w:val="24"/>
              </w:rPr>
              <w:t>二十七</w:t>
            </w:r>
            <w:r>
              <w:rPr>
                <w:rFonts w:hint="eastAsia" w:ascii="Times New Roman" w:hAnsi="Times New Roman" w:cs="Times New Roman"/>
                <w:sz w:val="24"/>
                <w:lang w:eastAsia="zh-CN"/>
              </w:rPr>
              <w:t>、</w:t>
            </w:r>
            <w:r>
              <w:rPr>
                <w:rFonts w:hint="default" w:ascii="Times New Roman" w:hAnsi="Times New Roman" w:cs="Times New Roman"/>
                <w:sz w:val="24"/>
              </w:rPr>
              <w:t>非金属矿物制品业</w:t>
            </w:r>
            <w:r>
              <w:rPr>
                <w:rFonts w:hint="default" w:ascii="Times New Roman" w:hAnsi="Times New Roman" w:cs="Times New Roman"/>
                <w:sz w:val="24"/>
                <w:lang w:val="en-US" w:eastAsia="zh-CN"/>
              </w:rPr>
              <w:t>30</w:t>
            </w:r>
            <w:r>
              <w:rPr>
                <w:rFonts w:hint="default" w:ascii="Times New Roman" w:hAnsi="Times New Roman" w:cs="Times New Roman"/>
                <w:sz w:val="24"/>
              </w:rPr>
              <w:t>-</w:t>
            </w:r>
            <w:r>
              <w:rPr>
                <w:rFonts w:hint="default" w:ascii="Times New Roman" w:hAnsi="Times New Roman" w:cs="Times New Roman"/>
                <w:sz w:val="24"/>
                <w:lang w:val="en-US" w:eastAsia="zh-CN"/>
              </w:rPr>
              <w:t>60</w:t>
            </w:r>
            <w:r>
              <w:rPr>
                <w:rFonts w:hint="default" w:ascii="Times New Roman" w:hAnsi="Times New Roman" w:cs="Times New Roman"/>
                <w:sz w:val="24"/>
              </w:rPr>
              <w:t>石墨及其他非金属矿物制品制造</w:t>
            </w:r>
            <w:r>
              <w:rPr>
                <w:rFonts w:hint="default" w:ascii="Times New Roman" w:hAnsi="Times New Roman" w:cs="Times New Roman"/>
                <w:sz w:val="24"/>
                <w:lang w:val="en-US" w:eastAsia="zh-CN"/>
              </w:rPr>
              <w:t>309</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其他</w:t>
            </w:r>
          </w:p>
        </w:tc>
      </w:tr>
      <w:tr w14:paraId="0DDA7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037BDB54">
            <w:pPr>
              <w:adjustRightInd w:val="0"/>
              <w:snapToGrid w:val="0"/>
              <w:jc w:val="center"/>
              <w:rPr>
                <w:color w:val="auto"/>
                <w:sz w:val="24"/>
                <w:highlight w:val="none"/>
              </w:rPr>
            </w:pPr>
            <w:r>
              <w:rPr>
                <w:color w:val="auto"/>
                <w:sz w:val="24"/>
                <w:highlight w:val="none"/>
              </w:rPr>
              <w:t>建设性质</w:t>
            </w:r>
          </w:p>
        </w:tc>
        <w:tc>
          <w:tcPr>
            <w:tcW w:w="2280" w:type="dxa"/>
            <w:vAlign w:val="center"/>
          </w:tcPr>
          <w:p w14:paraId="29CA4776">
            <w:pPr>
              <w:jc w:val="left"/>
              <w:rPr>
                <w:color w:val="auto"/>
                <w:sz w:val="24"/>
                <w:highlight w:val="none"/>
              </w:rPr>
            </w:pPr>
            <w:r>
              <w:rPr>
                <w:rFonts w:eastAsia="Wingdings 2"/>
                <w:color w:val="auto"/>
                <w:szCs w:val="21"/>
                <w:highlight w:val="none"/>
              </w:rPr>
              <w:sym w:font="Wingdings 2" w:char="0052"/>
            </w:r>
            <w:r>
              <w:rPr>
                <w:color w:val="auto"/>
                <w:sz w:val="24"/>
                <w:highlight w:val="none"/>
              </w:rPr>
              <w:t>新建（迁建）</w:t>
            </w:r>
          </w:p>
          <w:p w14:paraId="602F15CB">
            <w:pPr>
              <w:jc w:val="left"/>
              <w:rPr>
                <w:color w:val="auto"/>
                <w:sz w:val="24"/>
                <w:highlight w:val="none"/>
              </w:rPr>
            </w:pPr>
            <w:r>
              <w:rPr>
                <w:color w:val="auto"/>
                <w:sz w:val="24"/>
                <w:highlight w:val="none"/>
              </w:rPr>
              <w:sym w:font="Wingdings 2" w:char="00A3"/>
            </w:r>
            <w:r>
              <w:rPr>
                <w:color w:val="auto"/>
                <w:sz w:val="24"/>
                <w:highlight w:val="none"/>
              </w:rPr>
              <w:t>改建</w:t>
            </w:r>
          </w:p>
          <w:p w14:paraId="144844EF">
            <w:pPr>
              <w:jc w:val="left"/>
              <w:rPr>
                <w:color w:val="auto"/>
                <w:sz w:val="24"/>
                <w:highlight w:val="none"/>
              </w:rPr>
            </w:pPr>
            <w:r>
              <w:rPr>
                <w:color w:val="auto"/>
                <w:sz w:val="24"/>
                <w:highlight w:val="none"/>
              </w:rPr>
              <w:sym w:font="Wingdings 2" w:char="00A3"/>
            </w:r>
            <w:r>
              <w:rPr>
                <w:color w:val="auto"/>
                <w:sz w:val="24"/>
                <w:highlight w:val="none"/>
              </w:rPr>
              <w:t>扩建</w:t>
            </w:r>
          </w:p>
          <w:p w14:paraId="4F984473">
            <w:pPr>
              <w:jc w:val="left"/>
              <w:rPr>
                <w:color w:val="auto"/>
                <w:sz w:val="24"/>
                <w:highlight w:val="none"/>
              </w:rPr>
            </w:pPr>
            <w:r>
              <w:rPr>
                <w:color w:val="auto"/>
                <w:sz w:val="24"/>
                <w:highlight w:val="none"/>
              </w:rPr>
              <w:sym w:font="Wingdings 2" w:char="00A3"/>
            </w:r>
            <w:r>
              <w:rPr>
                <w:color w:val="auto"/>
                <w:sz w:val="24"/>
                <w:highlight w:val="none"/>
              </w:rPr>
              <w:t>技术改造</w:t>
            </w:r>
          </w:p>
        </w:tc>
        <w:tc>
          <w:tcPr>
            <w:tcW w:w="1432" w:type="dxa"/>
            <w:vAlign w:val="center"/>
          </w:tcPr>
          <w:p w14:paraId="7FB935D6">
            <w:pPr>
              <w:adjustRightInd w:val="0"/>
              <w:snapToGrid w:val="0"/>
              <w:jc w:val="center"/>
              <w:rPr>
                <w:color w:val="auto"/>
                <w:sz w:val="24"/>
                <w:highlight w:val="none"/>
              </w:rPr>
            </w:pPr>
            <w:r>
              <w:rPr>
                <w:color w:val="auto"/>
                <w:sz w:val="24"/>
                <w:highlight w:val="none"/>
              </w:rPr>
              <w:t>建设项目</w:t>
            </w:r>
          </w:p>
          <w:p w14:paraId="2D8E2C08">
            <w:pPr>
              <w:adjustRightInd w:val="0"/>
              <w:snapToGrid w:val="0"/>
              <w:jc w:val="center"/>
              <w:rPr>
                <w:color w:val="auto"/>
                <w:sz w:val="24"/>
                <w:highlight w:val="none"/>
              </w:rPr>
            </w:pPr>
            <w:r>
              <w:rPr>
                <w:color w:val="auto"/>
                <w:sz w:val="24"/>
                <w:highlight w:val="none"/>
              </w:rPr>
              <w:t>申报情形</w:t>
            </w:r>
          </w:p>
        </w:tc>
        <w:tc>
          <w:tcPr>
            <w:tcW w:w="3744" w:type="dxa"/>
            <w:vAlign w:val="center"/>
          </w:tcPr>
          <w:p w14:paraId="08D9B1DA">
            <w:pPr>
              <w:jc w:val="left"/>
              <w:rPr>
                <w:color w:val="auto"/>
                <w:sz w:val="24"/>
                <w:highlight w:val="none"/>
              </w:rPr>
            </w:pPr>
            <w:r>
              <w:rPr>
                <w:rFonts w:eastAsia="Wingdings 2"/>
                <w:color w:val="auto"/>
                <w:szCs w:val="21"/>
                <w:highlight w:val="none"/>
              </w:rPr>
              <w:sym w:font="Wingdings 2" w:char="00A3"/>
            </w:r>
            <w:r>
              <w:rPr>
                <w:color w:val="auto"/>
                <w:sz w:val="24"/>
                <w:highlight w:val="none"/>
              </w:rPr>
              <w:t>首次申报项目</w:t>
            </w:r>
          </w:p>
          <w:p w14:paraId="59FC7243">
            <w:pPr>
              <w:jc w:val="left"/>
              <w:rPr>
                <w:color w:val="auto"/>
                <w:sz w:val="24"/>
                <w:highlight w:val="none"/>
              </w:rPr>
            </w:pPr>
            <w:r>
              <w:rPr>
                <w:color w:val="auto"/>
                <w:sz w:val="24"/>
                <w:highlight w:val="none"/>
              </w:rPr>
              <w:sym w:font="Wingdings 2" w:char="00A3"/>
            </w:r>
            <w:r>
              <w:rPr>
                <w:color w:val="auto"/>
                <w:sz w:val="24"/>
                <w:highlight w:val="none"/>
              </w:rPr>
              <w:t>不予批准后再次申报项目</w:t>
            </w:r>
          </w:p>
          <w:p w14:paraId="7277D060">
            <w:pPr>
              <w:jc w:val="left"/>
              <w:rPr>
                <w:color w:val="auto"/>
                <w:sz w:val="24"/>
                <w:highlight w:val="none"/>
              </w:rPr>
            </w:pPr>
            <w:r>
              <w:rPr>
                <w:color w:val="auto"/>
                <w:sz w:val="24"/>
                <w:highlight w:val="none"/>
              </w:rPr>
              <w:sym w:font="Wingdings 2" w:char="00A3"/>
            </w:r>
            <w:r>
              <w:rPr>
                <w:color w:val="auto"/>
                <w:sz w:val="24"/>
                <w:highlight w:val="none"/>
              </w:rPr>
              <w:t>超五年重新审核项目</w:t>
            </w:r>
          </w:p>
          <w:p w14:paraId="0EAC9ECF">
            <w:pPr>
              <w:jc w:val="left"/>
              <w:rPr>
                <w:color w:val="auto"/>
                <w:sz w:val="24"/>
                <w:highlight w:val="none"/>
              </w:rPr>
            </w:pPr>
            <w:r>
              <w:rPr>
                <w:color w:val="auto"/>
                <w:sz w:val="24"/>
                <w:highlight w:val="none"/>
              </w:rPr>
              <w:sym w:font="Wingdings 2" w:char="0052"/>
            </w:r>
            <w:r>
              <w:rPr>
                <w:color w:val="auto"/>
                <w:sz w:val="24"/>
                <w:highlight w:val="none"/>
              </w:rPr>
              <w:t>重大变动重新报批项目</w:t>
            </w:r>
          </w:p>
        </w:tc>
      </w:tr>
      <w:tr w14:paraId="35EBE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1414" w:type="dxa"/>
            <w:gridSpan w:val="2"/>
            <w:tcMar>
              <w:top w:w="16" w:type="dxa"/>
              <w:left w:w="16" w:type="dxa"/>
              <w:right w:w="16" w:type="dxa"/>
            </w:tcMar>
            <w:vAlign w:val="center"/>
          </w:tcPr>
          <w:p w14:paraId="0C04D600">
            <w:pPr>
              <w:adjustRightInd w:val="0"/>
              <w:snapToGrid w:val="0"/>
              <w:jc w:val="center"/>
              <w:rPr>
                <w:color w:val="auto"/>
                <w:sz w:val="24"/>
                <w:highlight w:val="none"/>
              </w:rPr>
            </w:pPr>
            <w:r>
              <w:rPr>
                <w:color w:val="auto"/>
                <w:sz w:val="24"/>
                <w:highlight w:val="none"/>
              </w:rPr>
              <w:t>项目审批（核准/备案）部门（选填）</w:t>
            </w:r>
          </w:p>
        </w:tc>
        <w:tc>
          <w:tcPr>
            <w:tcW w:w="2280" w:type="dxa"/>
            <w:vAlign w:val="center"/>
          </w:tcPr>
          <w:p w14:paraId="72A47AF5">
            <w:pPr>
              <w:adjustRightInd w:val="0"/>
              <w:snapToGrid w:val="0"/>
              <w:jc w:val="center"/>
              <w:rPr>
                <w:color w:val="auto"/>
                <w:sz w:val="24"/>
                <w:highlight w:val="none"/>
              </w:rPr>
            </w:pPr>
            <w:r>
              <w:rPr>
                <w:rFonts w:hint="eastAsia"/>
                <w:color w:val="auto"/>
                <w:kern w:val="0"/>
                <w:sz w:val="24"/>
                <w:highlight w:val="none"/>
              </w:rPr>
              <w:t>洋县行政审批服务局</w:t>
            </w:r>
          </w:p>
        </w:tc>
        <w:tc>
          <w:tcPr>
            <w:tcW w:w="1432" w:type="dxa"/>
            <w:vAlign w:val="center"/>
          </w:tcPr>
          <w:p w14:paraId="22E61ABE">
            <w:pPr>
              <w:adjustRightInd w:val="0"/>
              <w:snapToGrid w:val="0"/>
              <w:jc w:val="center"/>
              <w:rPr>
                <w:color w:val="auto"/>
                <w:sz w:val="24"/>
                <w:highlight w:val="none"/>
              </w:rPr>
            </w:pPr>
            <w:r>
              <w:rPr>
                <w:color w:val="auto"/>
                <w:sz w:val="24"/>
                <w:highlight w:val="none"/>
              </w:rPr>
              <w:t>项目审批（核准/备案）文号（选填）</w:t>
            </w:r>
          </w:p>
        </w:tc>
        <w:tc>
          <w:tcPr>
            <w:tcW w:w="3744" w:type="dxa"/>
            <w:vAlign w:val="center"/>
          </w:tcPr>
          <w:p w14:paraId="79F6A0D6">
            <w:pPr>
              <w:adjustRightInd w:val="0"/>
              <w:snapToGrid w:val="0"/>
              <w:jc w:val="center"/>
              <w:rPr>
                <w:color w:val="auto"/>
                <w:sz w:val="24"/>
                <w:highlight w:val="none"/>
              </w:rPr>
            </w:pPr>
            <w:r>
              <w:rPr>
                <w:rFonts w:hint="eastAsia"/>
                <w:color w:val="auto"/>
                <w:sz w:val="24"/>
                <w:highlight w:val="none"/>
              </w:rPr>
              <w:t>2510-610723-04-05-677184</w:t>
            </w:r>
          </w:p>
        </w:tc>
      </w:tr>
      <w:tr w14:paraId="1F413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6978F34F">
            <w:pPr>
              <w:adjustRightInd w:val="0"/>
              <w:snapToGrid w:val="0"/>
              <w:jc w:val="center"/>
              <w:rPr>
                <w:color w:val="auto"/>
                <w:sz w:val="24"/>
                <w:highlight w:val="none"/>
              </w:rPr>
            </w:pPr>
            <w:r>
              <w:rPr>
                <w:color w:val="auto"/>
                <w:sz w:val="24"/>
                <w:highlight w:val="none"/>
              </w:rPr>
              <w:t>总投资（万元）</w:t>
            </w:r>
          </w:p>
        </w:tc>
        <w:tc>
          <w:tcPr>
            <w:tcW w:w="2280" w:type="dxa"/>
            <w:vAlign w:val="center"/>
          </w:tcPr>
          <w:p w14:paraId="511B476A">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12000</w:t>
            </w:r>
          </w:p>
        </w:tc>
        <w:tc>
          <w:tcPr>
            <w:tcW w:w="1432" w:type="dxa"/>
            <w:tcMar>
              <w:top w:w="16" w:type="dxa"/>
              <w:left w:w="16" w:type="dxa"/>
              <w:right w:w="16" w:type="dxa"/>
            </w:tcMar>
            <w:vAlign w:val="center"/>
          </w:tcPr>
          <w:p w14:paraId="693661D3">
            <w:pPr>
              <w:adjustRightInd w:val="0"/>
              <w:snapToGrid w:val="0"/>
              <w:jc w:val="center"/>
              <w:rPr>
                <w:color w:val="auto"/>
                <w:sz w:val="24"/>
                <w:highlight w:val="none"/>
              </w:rPr>
            </w:pPr>
            <w:r>
              <w:rPr>
                <w:color w:val="auto"/>
                <w:sz w:val="24"/>
                <w:highlight w:val="none"/>
              </w:rPr>
              <w:t>环保投资</w:t>
            </w:r>
          </w:p>
          <w:p w14:paraId="5385BF8A">
            <w:pPr>
              <w:adjustRightInd w:val="0"/>
              <w:snapToGrid w:val="0"/>
              <w:jc w:val="center"/>
              <w:rPr>
                <w:color w:val="auto"/>
                <w:sz w:val="24"/>
                <w:highlight w:val="none"/>
              </w:rPr>
            </w:pPr>
            <w:r>
              <w:rPr>
                <w:color w:val="auto"/>
                <w:sz w:val="24"/>
                <w:highlight w:val="none"/>
              </w:rPr>
              <w:t>（万元）</w:t>
            </w:r>
          </w:p>
        </w:tc>
        <w:tc>
          <w:tcPr>
            <w:tcW w:w="3744" w:type="dxa"/>
            <w:vAlign w:val="center"/>
          </w:tcPr>
          <w:p w14:paraId="13AA3F6D">
            <w:pPr>
              <w:adjustRightInd w:val="0"/>
              <w:snapToGrid w:val="0"/>
              <w:jc w:val="center"/>
              <w:rPr>
                <w:rFonts w:hint="default"/>
                <w:color w:val="auto"/>
                <w:sz w:val="24"/>
                <w:highlight w:val="none"/>
                <w:lang w:val="en-US"/>
              </w:rPr>
            </w:pPr>
            <w:r>
              <w:rPr>
                <w:rFonts w:hint="eastAsia"/>
                <w:color w:val="auto"/>
                <w:sz w:val="24"/>
                <w:highlight w:val="none"/>
                <w:lang w:val="en-US" w:eastAsia="zh-CN"/>
              </w:rPr>
              <w:t>200</w:t>
            </w:r>
          </w:p>
        </w:tc>
      </w:tr>
      <w:tr w14:paraId="69C60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30FCE29B">
            <w:pPr>
              <w:adjustRightInd w:val="0"/>
              <w:snapToGrid w:val="0"/>
              <w:jc w:val="center"/>
              <w:rPr>
                <w:color w:val="auto"/>
                <w:sz w:val="24"/>
                <w:highlight w:val="none"/>
              </w:rPr>
            </w:pPr>
            <w:r>
              <w:rPr>
                <w:color w:val="auto"/>
                <w:sz w:val="24"/>
                <w:highlight w:val="none"/>
              </w:rPr>
              <w:t>环保投资占比（%）</w:t>
            </w:r>
          </w:p>
        </w:tc>
        <w:tc>
          <w:tcPr>
            <w:tcW w:w="2280" w:type="dxa"/>
            <w:vAlign w:val="center"/>
          </w:tcPr>
          <w:p w14:paraId="71E08A86">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1.67</w:t>
            </w:r>
          </w:p>
        </w:tc>
        <w:tc>
          <w:tcPr>
            <w:tcW w:w="1432" w:type="dxa"/>
            <w:tcMar>
              <w:top w:w="16" w:type="dxa"/>
              <w:left w:w="16" w:type="dxa"/>
              <w:right w:w="16" w:type="dxa"/>
            </w:tcMar>
            <w:vAlign w:val="center"/>
          </w:tcPr>
          <w:p w14:paraId="00EDC51F">
            <w:pPr>
              <w:adjustRightInd w:val="0"/>
              <w:snapToGrid w:val="0"/>
              <w:jc w:val="center"/>
              <w:rPr>
                <w:color w:val="auto"/>
                <w:sz w:val="24"/>
                <w:highlight w:val="none"/>
              </w:rPr>
            </w:pPr>
            <w:r>
              <w:rPr>
                <w:color w:val="auto"/>
                <w:sz w:val="24"/>
                <w:highlight w:val="none"/>
              </w:rPr>
              <w:t>施工工期</w:t>
            </w:r>
          </w:p>
        </w:tc>
        <w:tc>
          <w:tcPr>
            <w:tcW w:w="3744" w:type="dxa"/>
            <w:vAlign w:val="center"/>
          </w:tcPr>
          <w:p w14:paraId="0119C17C">
            <w:pPr>
              <w:adjustRightInd w:val="0"/>
              <w:snapToGrid w:val="0"/>
              <w:jc w:val="both"/>
              <w:rPr>
                <w:color w:val="auto"/>
                <w:sz w:val="24"/>
                <w:highlight w:val="none"/>
              </w:rPr>
            </w:pPr>
            <w:r>
              <w:rPr>
                <w:rFonts w:hint="eastAsia" w:ascii="Times New Roman" w:hAnsi="Times New Roman" w:eastAsia="宋体" w:cs="Times New Roman"/>
                <w:color w:val="auto"/>
                <w:kern w:val="2"/>
                <w:sz w:val="24"/>
                <w:szCs w:val="32"/>
                <w:highlight w:val="none"/>
                <w:lang w:val="en-US" w:eastAsia="zh-CN" w:bidi="ar-SA"/>
              </w:rPr>
              <w:t>骨料碎石、水洗砂及彩砂生产线预计2025年1</w:t>
            </w:r>
            <w:r>
              <w:rPr>
                <w:rFonts w:hint="eastAsia" w:cs="Times New Roman"/>
                <w:color w:val="auto"/>
                <w:kern w:val="2"/>
                <w:sz w:val="24"/>
                <w:szCs w:val="32"/>
                <w:highlight w:val="none"/>
                <w:lang w:val="en-US" w:eastAsia="zh-CN" w:bidi="ar-SA"/>
              </w:rPr>
              <w:t>2</w:t>
            </w:r>
            <w:r>
              <w:rPr>
                <w:rFonts w:hint="eastAsia" w:ascii="Times New Roman" w:hAnsi="Times New Roman" w:eastAsia="宋体" w:cs="Times New Roman"/>
                <w:color w:val="auto"/>
                <w:kern w:val="2"/>
                <w:sz w:val="24"/>
                <w:szCs w:val="32"/>
                <w:highlight w:val="none"/>
                <w:lang w:val="en-US" w:eastAsia="zh-CN" w:bidi="ar-SA"/>
              </w:rPr>
              <w:t>月建设；</w:t>
            </w:r>
            <w:r>
              <w:rPr>
                <w:rFonts w:hint="default" w:ascii="Times New Roman" w:hAnsi="Times New Roman" w:eastAsia="宋体" w:cs="Times New Roman"/>
                <w:color w:val="auto"/>
                <w:kern w:val="2"/>
                <w:sz w:val="24"/>
                <w:szCs w:val="32"/>
                <w:highlight w:val="none"/>
                <w:lang w:val="en-US" w:eastAsia="zh-CN" w:bidi="ar-SA"/>
              </w:rPr>
              <w:t>超细改性粉体</w:t>
            </w:r>
            <w:r>
              <w:rPr>
                <w:rFonts w:hint="eastAsia" w:ascii="Times New Roman" w:hAnsi="Times New Roman" w:eastAsia="宋体" w:cs="Times New Roman"/>
                <w:color w:val="auto"/>
                <w:kern w:val="2"/>
                <w:sz w:val="24"/>
                <w:szCs w:val="32"/>
                <w:highlight w:val="none"/>
                <w:lang w:val="en-US" w:eastAsia="zh-CN" w:bidi="ar-SA"/>
              </w:rPr>
              <w:t>、干混砂浆生产线预计在2026年底前投入建设</w:t>
            </w:r>
          </w:p>
        </w:tc>
      </w:tr>
      <w:tr w14:paraId="281CB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2115669F">
            <w:pPr>
              <w:adjustRightInd w:val="0"/>
              <w:snapToGrid w:val="0"/>
              <w:jc w:val="center"/>
              <w:rPr>
                <w:color w:val="auto"/>
                <w:sz w:val="24"/>
                <w:highlight w:val="none"/>
              </w:rPr>
            </w:pPr>
            <w:r>
              <w:rPr>
                <w:color w:val="auto"/>
                <w:sz w:val="24"/>
                <w:highlight w:val="none"/>
              </w:rPr>
              <w:t>是否开工</w:t>
            </w:r>
          </w:p>
          <w:p w14:paraId="148DB16F">
            <w:pPr>
              <w:adjustRightInd w:val="0"/>
              <w:snapToGrid w:val="0"/>
              <w:jc w:val="center"/>
              <w:rPr>
                <w:color w:val="auto"/>
                <w:sz w:val="24"/>
                <w:highlight w:val="none"/>
              </w:rPr>
            </w:pPr>
            <w:r>
              <w:rPr>
                <w:color w:val="auto"/>
                <w:sz w:val="24"/>
                <w:highlight w:val="none"/>
              </w:rPr>
              <w:t>建设</w:t>
            </w:r>
          </w:p>
        </w:tc>
        <w:tc>
          <w:tcPr>
            <w:tcW w:w="2280" w:type="dxa"/>
            <w:vAlign w:val="center"/>
          </w:tcPr>
          <w:p w14:paraId="5A66D33E">
            <w:pPr>
              <w:adjustRightInd w:val="0"/>
              <w:snapToGrid w:val="0"/>
              <w:rPr>
                <w:color w:val="auto"/>
                <w:sz w:val="24"/>
                <w:highlight w:val="none"/>
              </w:rPr>
            </w:pPr>
            <w:r>
              <w:rPr>
                <w:rFonts w:eastAsia="Wingdings 2"/>
                <w:color w:val="auto"/>
                <w:szCs w:val="21"/>
                <w:highlight w:val="none"/>
              </w:rPr>
              <w:sym w:font="Wingdings 2" w:char="0052"/>
            </w:r>
            <w:r>
              <w:rPr>
                <w:color w:val="auto"/>
                <w:sz w:val="24"/>
                <w:highlight w:val="none"/>
              </w:rPr>
              <w:t>否</w:t>
            </w:r>
          </w:p>
          <w:p w14:paraId="4C37627B">
            <w:pPr>
              <w:adjustRightInd w:val="0"/>
              <w:snapToGrid w:val="0"/>
              <w:rPr>
                <w:rFonts w:hint="default" w:eastAsia="宋体"/>
                <w:color w:val="auto"/>
                <w:sz w:val="24"/>
                <w:highlight w:val="none"/>
                <w:lang w:val="en-US" w:eastAsia="zh-CN"/>
              </w:rPr>
            </w:pPr>
            <w:r>
              <w:rPr>
                <w:color w:val="auto"/>
                <w:sz w:val="24"/>
                <w:highlight w:val="none"/>
              </w:rPr>
              <w:sym w:font="Wingdings 2" w:char="00A3"/>
            </w:r>
            <w:r>
              <w:rPr>
                <w:color w:val="auto"/>
                <w:sz w:val="24"/>
                <w:highlight w:val="none"/>
              </w:rPr>
              <w:t>是：</w:t>
            </w:r>
            <w:r>
              <w:rPr>
                <w:rFonts w:hint="eastAsia"/>
                <w:color w:val="auto"/>
                <w:sz w:val="24"/>
                <w:highlight w:val="none"/>
                <w:u w:val="single"/>
                <w:lang w:val="en-US" w:eastAsia="zh-CN"/>
              </w:rPr>
              <w:t xml:space="preserve">            </w:t>
            </w:r>
          </w:p>
        </w:tc>
        <w:tc>
          <w:tcPr>
            <w:tcW w:w="1432" w:type="dxa"/>
            <w:tcMar>
              <w:top w:w="16" w:type="dxa"/>
              <w:left w:w="16" w:type="dxa"/>
              <w:right w:w="16" w:type="dxa"/>
            </w:tcMar>
            <w:vAlign w:val="center"/>
          </w:tcPr>
          <w:p w14:paraId="02FB82B3">
            <w:pPr>
              <w:adjustRightInd w:val="0"/>
              <w:snapToGrid w:val="0"/>
              <w:jc w:val="center"/>
              <w:rPr>
                <w:color w:val="auto"/>
                <w:sz w:val="24"/>
                <w:highlight w:val="none"/>
              </w:rPr>
            </w:pPr>
            <w:r>
              <w:rPr>
                <w:color w:val="auto"/>
                <w:spacing w:val="-6"/>
                <w:sz w:val="24"/>
                <w:highlight w:val="none"/>
              </w:rPr>
              <w:t>用地面积（m</w:t>
            </w:r>
            <w:r>
              <w:rPr>
                <w:color w:val="auto"/>
                <w:spacing w:val="-6"/>
                <w:sz w:val="24"/>
                <w:highlight w:val="none"/>
                <w:vertAlign w:val="superscript"/>
              </w:rPr>
              <w:t>2</w:t>
            </w:r>
            <w:r>
              <w:rPr>
                <w:color w:val="auto"/>
                <w:spacing w:val="-6"/>
                <w:sz w:val="24"/>
                <w:highlight w:val="none"/>
              </w:rPr>
              <w:t>）</w:t>
            </w:r>
          </w:p>
        </w:tc>
        <w:tc>
          <w:tcPr>
            <w:tcW w:w="3744" w:type="dxa"/>
            <w:vAlign w:val="center"/>
          </w:tcPr>
          <w:p w14:paraId="1AB19924">
            <w:pPr>
              <w:adjustRightInd w:val="0"/>
              <w:snapToGrid w:val="0"/>
              <w:jc w:val="center"/>
              <w:rPr>
                <w:color w:val="auto"/>
                <w:sz w:val="24"/>
                <w:highlight w:val="none"/>
              </w:rPr>
            </w:pPr>
            <w:r>
              <w:rPr>
                <w:rFonts w:hint="eastAsia"/>
                <w:color w:val="auto"/>
                <w:sz w:val="24"/>
                <w:highlight w:val="none"/>
              </w:rPr>
              <w:t>厂区总面积</w:t>
            </w:r>
            <w:r>
              <w:rPr>
                <w:rFonts w:hint="eastAsia"/>
                <w:color w:val="auto"/>
                <w:sz w:val="24"/>
                <w:highlight w:val="none"/>
                <w:lang w:val="en-US" w:eastAsia="zh-CN"/>
              </w:rPr>
              <w:t xml:space="preserve">89831 </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lang w:eastAsia="zh-CN"/>
              </w:rPr>
              <w:t>，</w:t>
            </w:r>
            <w:r>
              <w:rPr>
                <w:rFonts w:hint="eastAsia"/>
                <w:color w:val="auto"/>
                <w:sz w:val="24"/>
                <w:highlight w:val="none"/>
              </w:rPr>
              <w:t>本次变动在厂区</w:t>
            </w:r>
            <w:r>
              <w:rPr>
                <w:rFonts w:hint="eastAsia"/>
                <w:color w:val="auto"/>
                <w:sz w:val="24"/>
                <w:highlight w:val="none"/>
                <w:lang w:val="en-US" w:eastAsia="zh-CN"/>
              </w:rPr>
              <w:t>占地</w:t>
            </w:r>
            <w:r>
              <w:rPr>
                <w:rFonts w:hint="eastAsia"/>
                <w:color w:val="auto"/>
                <w:sz w:val="24"/>
                <w:highlight w:val="none"/>
              </w:rPr>
              <w:t>区域内进行，无新增占地</w:t>
            </w:r>
          </w:p>
        </w:tc>
      </w:tr>
      <w:tr w14:paraId="79149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gridSpan w:val="2"/>
            <w:vAlign w:val="center"/>
          </w:tcPr>
          <w:p w14:paraId="40A251F2">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456" w:type="dxa"/>
            <w:gridSpan w:val="3"/>
            <w:vAlign w:val="center"/>
          </w:tcPr>
          <w:p w14:paraId="18938AEE">
            <w:pPr>
              <w:autoSpaceDE w:val="0"/>
              <w:autoSpaceDN w:val="0"/>
              <w:adjustRightInd w:val="0"/>
              <w:snapToGrid w:val="0"/>
              <w:jc w:val="center"/>
              <w:rPr>
                <w:color w:val="auto"/>
                <w:kern w:val="0"/>
                <w:sz w:val="24"/>
                <w:highlight w:val="none"/>
              </w:rPr>
            </w:pPr>
            <w:r>
              <w:rPr>
                <w:rFonts w:hint="eastAsia"/>
                <w:color w:val="auto"/>
                <w:kern w:val="0"/>
                <w:sz w:val="24"/>
                <w:highlight w:val="none"/>
              </w:rPr>
              <w:t>无</w:t>
            </w:r>
          </w:p>
        </w:tc>
      </w:tr>
      <w:tr w14:paraId="507FD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14" w:type="dxa"/>
            <w:gridSpan w:val="2"/>
            <w:vMerge w:val="restart"/>
            <w:vAlign w:val="center"/>
          </w:tcPr>
          <w:p w14:paraId="7914F030">
            <w:pPr>
              <w:autoSpaceDE w:val="0"/>
              <w:autoSpaceDN w:val="0"/>
              <w:adjustRightInd w:val="0"/>
              <w:snapToGrid w:val="0"/>
              <w:jc w:val="center"/>
              <w:rPr>
                <w:color w:val="auto"/>
                <w:kern w:val="0"/>
                <w:sz w:val="24"/>
                <w:highlight w:val="none"/>
              </w:rPr>
            </w:pPr>
            <w:r>
              <w:rPr>
                <w:color w:val="auto"/>
                <w:sz w:val="24"/>
                <w:highlight w:val="none"/>
              </w:rPr>
              <w:t>规划情况</w:t>
            </w:r>
          </w:p>
        </w:tc>
        <w:tc>
          <w:tcPr>
            <w:tcW w:w="7456" w:type="dxa"/>
            <w:gridSpan w:val="3"/>
            <w:vAlign w:val="center"/>
          </w:tcPr>
          <w:p w14:paraId="7F14F358">
            <w:pPr>
              <w:adjustRightInd w:val="0"/>
              <w:snapToGrid w:val="0"/>
              <w:jc w:val="both"/>
              <w:rPr>
                <w:color w:val="auto"/>
                <w:kern w:val="21"/>
                <w:sz w:val="24"/>
                <w:highlight w:val="none"/>
              </w:rPr>
            </w:pPr>
            <w:r>
              <w:rPr>
                <w:rFonts w:hint="eastAsia"/>
                <w:color w:val="auto"/>
                <w:kern w:val="21"/>
                <w:sz w:val="24"/>
                <w:highlight w:val="none"/>
              </w:rPr>
              <w:t>规划名称：《陕西洋县农业高新技术产业示范区建设发展规划（2023</w:t>
            </w:r>
            <w:r>
              <w:rPr>
                <w:rFonts w:hint="eastAsia"/>
                <w:color w:val="auto"/>
                <w:kern w:val="21"/>
                <w:sz w:val="24"/>
                <w:highlight w:val="none"/>
                <w:lang w:eastAsia="zh-CN"/>
              </w:rPr>
              <w:t>—</w:t>
            </w:r>
            <w:r>
              <w:rPr>
                <w:rFonts w:hint="eastAsia"/>
                <w:color w:val="auto"/>
                <w:kern w:val="21"/>
                <w:sz w:val="24"/>
                <w:highlight w:val="none"/>
              </w:rPr>
              <w:t>2027年）》</w:t>
            </w:r>
          </w:p>
          <w:p w14:paraId="3E6C9433">
            <w:pPr>
              <w:adjustRightInd w:val="0"/>
              <w:snapToGrid w:val="0"/>
              <w:jc w:val="left"/>
              <w:rPr>
                <w:color w:val="auto"/>
                <w:kern w:val="21"/>
                <w:sz w:val="24"/>
                <w:highlight w:val="none"/>
              </w:rPr>
            </w:pPr>
            <w:r>
              <w:rPr>
                <w:rFonts w:hint="eastAsia"/>
                <w:color w:val="auto"/>
                <w:kern w:val="21"/>
                <w:sz w:val="24"/>
                <w:highlight w:val="none"/>
              </w:rPr>
              <w:t>审批机关：陕西省人民政府</w:t>
            </w:r>
          </w:p>
          <w:p w14:paraId="0E09FB36">
            <w:pPr>
              <w:autoSpaceDE w:val="0"/>
              <w:autoSpaceDN w:val="0"/>
              <w:adjustRightInd w:val="0"/>
              <w:snapToGrid w:val="0"/>
              <w:jc w:val="left"/>
              <w:rPr>
                <w:color w:val="auto"/>
                <w:kern w:val="0"/>
                <w:sz w:val="24"/>
                <w:highlight w:val="none"/>
              </w:rPr>
            </w:pPr>
            <w:r>
              <w:rPr>
                <w:rFonts w:hint="eastAsia"/>
                <w:color w:val="auto"/>
                <w:kern w:val="21"/>
                <w:sz w:val="24"/>
                <w:highlight w:val="none"/>
              </w:rPr>
              <w:t>审批文件名称及文号：《</w:t>
            </w:r>
            <w:r>
              <w:rPr>
                <w:rFonts w:hint="eastAsia" w:ascii="微软雅黑" w:hAnsi="微软雅黑"/>
                <w:color w:val="auto"/>
                <w:sz w:val="24"/>
                <w:highlight w:val="none"/>
                <w:shd w:val="clear" w:color="auto" w:fill="FFFFFF"/>
              </w:rPr>
              <w:t>陕西省人民政府关于同意建设洋县农业高新技术产业示范区的批复</w:t>
            </w:r>
            <w:r>
              <w:rPr>
                <w:rFonts w:hint="eastAsia"/>
                <w:color w:val="auto"/>
                <w:kern w:val="21"/>
                <w:sz w:val="24"/>
                <w:highlight w:val="none"/>
              </w:rPr>
              <w:t>》（陕政函〔2024〕185号）</w:t>
            </w:r>
          </w:p>
        </w:tc>
      </w:tr>
      <w:tr w14:paraId="6D536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gridSpan w:val="2"/>
            <w:vAlign w:val="center"/>
          </w:tcPr>
          <w:p w14:paraId="1BECA70E">
            <w:pPr>
              <w:adjustRightInd w:val="0"/>
              <w:snapToGrid w:val="0"/>
              <w:jc w:val="center"/>
              <w:rPr>
                <w:color w:val="auto"/>
                <w:kern w:val="0"/>
                <w:sz w:val="24"/>
                <w:highlight w:val="none"/>
              </w:rPr>
            </w:pPr>
            <w:r>
              <w:rPr>
                <w:color w:val="auto"/>
                <w:sz w:val="24"/>
                <w:highlight w:val="none"/>
              </w:rPr>
              <w:t>规划环境影响评价情况</w:t>
            </w:r>
          </w:p>
        </w:tc>
        <w:tc>
          <w:tcPr>
            <w:tcW w:w="7456" w:type="dxa"/>
            <w:gridSpan w:val="3"/>
            <w:vAlign w:val="center"/>
          </w:tcPr>
          <w:p w14:paraId="589C960F">
            <w:pPr>
              <w:adjustRightInd w:val="0"/>
              <w:snapToGrid w:val="0"/>
              <w:jc w:val="left"/>
              <w:rPr>
                <w:color w:val="auto"/>
                <w:kern w:val="21"/>
                <w:sz w:val="24"/>
                <w:highlight w:val="none"/>
              </w:rPr>
            </w:pPr>
            <w:r>
              <w:rPr>
                <w:rFonts w:hint="eastAsia"/>
                <w:color w:val="auto"/>
                <w:kern w:val="21"/>
                <w:sz w:val="24"/>
                <w:highlight w:val="none"/>
              </w:rPr>
              <w:t>规划环境影响评价文件名称：《陕西洋县农业高新技术产业示范区建设发展规划（2023</w:t>
            </w:r>
            <w:r>
              <w:rPr>
                <w:rFonts w:hint="eastAsia"/>
                <w:color w:val="auto"/>
                <w:kern w:val="21"/>
                <w:sz w:val="24"/>
                <w:highlight w:val="none"/>
                <w:lang w:eastAsia="zh-CN"/>
              </w:rPr>
              <w:t>—</w:t>
            </w:r>
            <w:r>
              <w:rPr>
                <w:rFonts w:hint="eastAsia"/>
                <w:color w:val="auto"/>
                <w:kern w:val="21"/>
                <w:sz w:val="24"/>
                <w:highlight w:val="none"/>
              </w:rPr>
              <w:t>2027年）环境影响报告书》</w:t>
            </w:r>
          </w:p>
          <w:p w14:paraId="3D32EDFE">
            <w:pPr>
              <w:adjustRightInd w:val="0"/>
              <w:snapToGrid w:val="0"/>
              <w:jc w:val="left"/>
              <w:rPr>
                <w:color w:val="auto"/>
                <w:kern w:val="21"/>
                <w:sz w:val="24"/>
                <w:highlight w:val="none"/>
              </w:rPr>
            </w:pPr>
            <w:r>
              <w:rPr>
                <w:rFonts w:hint="eastAsia"/>
                <w:color w:val="auto"/>
                <w:kern w:val="21"/>
                <w:sz w:val="24"/>
                <w:highlight w:val="none"/>
              </w:rPr>
              <w:t>召集审查机关：陕西省生态环境厅</w:t>
            </w:r>
          </w:p>
          <w:p w14:paraId="6070E2F2">
            <w:pPr>
              <w:autoSpaceDE w:val="0"/>
              <w:autoSpaceDN w:val="0"/>
              <w:adjustRightInd w:val="0"/>
              <w:snapToGrid w:val="0"/>
              <w:rPr>
                <w:color w:val="auto"/>
                <w:kern w:val="0"/>
                <w:sz w:val="24"/>
                <w:highlight w:val="none"/>
              </w:rPr>
            </w:pPr>
            <w:r>
              <w:rPr>
                <w:rFonts w:hint="eastAsia"/>
                <w:color w:val="auto"/>
                <w:kern w:val="21"/>
                <w:sz w:val="24"/>
                <w:highlight w:val="none"/>
              </w:rPr>
              <w:t>审查文件名称及文号：《陕西省生态环境厅关于陕西洋县农业高新技术产业示范区建设发展规划（2023</w:t>
            </w:r>
            <w:r>
              <w:rPr>
                <w:rFonts w:hint="eastAsia"/>
                <w:color w:val="auto"/>
                <w:kern w:val="21"/>
                <w:sz w:val="24"/>
                <w:highlight w:val="none"/>
                <w:lang w:eastAsia="zh-CN"/>
              </w:rPr>
              <w:t>—</w:t>
            </w:r>
            <w:r>
              <w:rPr>
                <w:rFonts w:hint="eastAsia"/>
                <w:color w:val="auto"/>
                <w:kern w:val="21"/>
                <w:sz w:val="24"/>
                <w:highlight w:val="none"/>
              </w:rPr>
              <w:t>2027年）环境影响报告书审查意见的函》（陕环环评函〔2024〕99号）</w:t>
            </w:r>
          </w:p>
        </w:tc>
      </w:tr>
      <w:tr w14:paraId="3A99C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60" w:hRule="atLeast"/>
          <w:jc w:val="center"/>
        </w:trPr>
        <w:tc>
          <w:tcPr>
            <w:tcW w:w="1414" w:type="dxa"/>
            <w:gridSpan w:val="2"/>
            <w:vAlign w:val="center"/>
          </w:tcPr>
          <w:p w14:paraId="6B72D014">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7456" w:type="dxa"/>
            <w:gridSpan w:val="3"/>
            <w:vAlign w:val="center"/>
          </w:tcPr>
          <w:p w14:paraId="089BA6B1">
            <w:pPr>
              <w:autoSpaceDE w:val="0"/>
              <w:autoSpaceDN w:val="0"/>
              <w:adjustRightInd w:val="0"/>
              <w:snapToGrid w:val="0"/>
              <w:jc w:val="center"/>
              <w:rPr>
                <w:b/>
                <w:color w:val="auto"/>
                <w:kern w:val="21"/>
                <w:szCs w:val="21"/>
                <w:highlight w:val="none"/>
              </w:rPr>
            </w:pPr>
            <w:r>
              <w:rPr>
                <w:rFonts w:hint="eastAsia"/>
                <w:b/>
                <w:color w:val="auto"/>
                <w:kern w:val="21"/>
                <w:szCs w:val="21"/>
                <w:highlight w:val="none"/>
              </w:rPr>
              <w:t>表1  本项目与《洋县农业高新技术产业示范区建设发展规划及其规划环评》</w:t>
            </w:r>
          </w:p>
          <w:p w14:paraId="316AE0C9">
            <w:pPr>
              <w:autoSpaceDE w:val="0"/>
              <w:autoSpaceDN w:val="0"/>
              <w:adjustRightInd w:val="0"/>
              <w:snapToGrid w:val="0"/>
              <w:jc w:val="center"/>
              <w:rPr>
                <w:b/>
                <w:color w:val="auto"/>
                <w:kern w:val="21"/>
                <w:szCs w:val="21"/>
                <w:highlight w:val="none"/>
              </w:rPr>
            </w:pPr>
            <w:r>
              <w:rPr>
                <w:rFonts w:hint="eastAsia"/>
                <w:b/>
                <w:color w:val="auto"/>
                <w:kern w:val="21"/>
                <w:szCs w:val="21"/>
                <w:highlight w:val="none"/>
              </w:rPr>
              <w:t>符合性分析</w:t>
            </w:r>
          </w:p>
          <w:tbl>
            <w:tblPr>
              <w:tblStyle w:val="32"/>
              <w:tblW w:w="73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6"/>
              <w:gridCol w:w="3187"/>
              <w:gridCol w:w="2676"/>
              <w:gridCol w:w="537"/>
            </w:tblGrid>
            <w:tr w14:paraId="11B49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61" w:type="pct"/>
                  <w:vAlign w:val="center"/>
                </w:tcPr>
                <w:p w14:paraId="78735F87">
                  <w:pPr>
                    <w:pStyle w:val="46"/>
                    <w:snapToGrid w:val="0"/>
                    <w:jc w:val="center"/>
                    <w:rPr>
                      <w:rFonts w:ascii="Times New Roman" w:cs="Times New Roman"/>
                      <w:color w:val="auto"/>
                      <w:sz w:val="21"/>
                      <w:szCs w:val="21"/>
                      <w:highlight w:val="none"/>
                    </w:rPr>
                  </w:pPr>
                  <w:r>
                    <w:rPr>
                      <w:rFonts w:hint="eastAsia" w:ascii="Times New Roman" w:cs="Times New Roman"/>
                      <w:color w:val="auto"/>
                      <w:sz w:val="21"/>
                      <w:szCs w:val="21"/>
                      <w:highlight w:val="none"/>
                    </w:rPr>
                    <w:t>规划名称</w:t>
                  </w:r>
                </w:p>
              </w:tc>
              <w:tc>
                <w:tcPr>
                  <w:tcW w:w="2160" w:type="pct"/>
                  <w:vAlign w:val="center"/>
                </w:tcPr>
                <w:p w14:paraId="15701099">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要求</w:t>
                  </w:r>
                </w:p>
              </w:tc>
              <w:tc>
                <w:tcPr>
                  <w:tcW w:w="1813" w:type="pct"/>
                  <w:vAlign w:val="center"/>
                </w:tcPr>
                <w:p w14:paraId="2F310C2C">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本项目情况</w:t>
                  </w:r>
                </w:p>
              </w:tc>
              <w:tc>
                <w:tcPr>
                  <w:tcW w:w="364" w:type="pct"/>
                </w:tcPr>
                <w:p w14:paraId="6D696D95">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结论</w:t>
                  </w:r>
                </w:p>
              </w:tc>
            </w:tr>
            <w:tr w14:paraId="1F35C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61" w:type="pct"/>
                  <w:vMerge w:val="restart"/>
                  <w:vAlign w:val="center"/>
                </w:tcPr>
                <w:p w14:paraId="37FF478F">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w:t>
                  </w:r>
                  <w:r>
                    <w:rPr>
                      <w:rFonts w:ascii="Times New Roman" w:cs="Times New Roman"/>
                      <w:color w:val="auto"/>
                      <w:kern w:val="21"/>
                      <w:sz w:val="21"/>
                      <w:szCs w:val="21"/>
                      <w:highlight w:val="none"/>
                    </w:rPr>
                    <w:t>陕西洋县农业高新技术产业示范区建设发展规划（2023</w:t>
                  </w:r>
                  <w:r>
                    <w:rPr>
                      <w:rFonts w:hint="eastAsia" w:ascii="Times New Roman" w:cs="Times New Roman"/>
                      <w:color w:val="auto"/>
                      <w:kern w:val="21"/>
                      <w:sz w:val="21"/>
                      <w:szCs w:val="21"/>
                      <w:highlight w:val="none"/>
                      <w:lang w:eastAsia="zh-CN"/>
                    </w:rPr>
                    <w:t>—</w:t>
                  </w:r>
                  <w:r>
                    <w:rPr>
                      <w:rFonts w:ascii="Times New Roman" w:cs="Times New Roman"/>
                      <w:color w:val="auto"/>
                      <w:kern w:val="21"/>
                      <w:sz w:val="21"/>
                      <w:szCs w:val="21"/>
                      <w:highlight w:val="none"/>
                    </w:rPr>
                    <w:t>2027年）</w:t>
                  </w:r>
                  <w:r>
                    <w:rPr>
                      <w:rFonts w:ascii="Times New Roman" w:cs="Times New Roman"/>
                      <w:color w:val="auto"/>
                      <w:sz w:val="21"/>
                      <w:szCs w:val="21"/>
                      <w:highlight w:val="none"/>
                    </w:rPr>
                    <w:t>》</w:t>
                  </w:r>
                </w:p>
              </w:tc>
              <w:tc>
                <w:tcPr>
                  <w:tcW w:w="2160" w:type="pct"/>
                </w:tcPr>
                <w:p w14:paraId="565A7CC8">
                  <w:pPr>
                    <w:rPr>
                      <w:color w:val="auto"/>
                      <w:szCs w:val="21"/>
                      <w:highlight w:val="none"/>
                    </w:rPr>
                  </w:pPr>
                  <w:r>
                    <w:rPr>
                      <w:b/>
                      <w:color w:val="auto"/>
                      <w:szCs w:val="21"/>
                      <w:highlight w:val="none"/>
                    </w:rPr>
                    <w:t>规划范围：</w:t>
                  </w:r>
                  <w:r>
                    <w:rPr>
                      <w:color w:val="auto"/>
                      <w:szCs w:val="21"/>
                      <w:highlight w:val="none"/>
                    </w:rPr>
                    <w:t>包括洋州街道、磨子桥镇、龙亭镇、戚氏街道、谢村镇、纸坊街道、马畅镇7个街道（镇）的69个行政村（社区）。四至范围为：东至龙亭镇杜村村界、南至谢村镇五丰村村界、西至马畅镇双庙村村界、北至纸坊街道文同村村界。其中核心区占地面积2.297km</w:t>
                  </w:r>
                  <w:r>
                    <w:rPr>
                      <w:color w:val="auto"/>
                      <w:szCs w:val="21"/>
                      <w:highlight w:val="none"/>
                      <w:vertAlign w:val="superscript"/>
                    </w:rPr>
                    <w:t>2</w:t>
                  </w:r>
                  <w:r>
                    <w:rPr>
                      <w:color w:val="auto"/>
                      <w:szCs w:val="21"/>
                      <w:highlight w:val="none"/>
                    </w:rPr>
                    <w:t>，涉及两个区块，区块一位于洋州街道，面积为1.756km</w:t>
                  </w:r>
                  <w:r>
                    <w:rPr>
                      <w:color w:val="auto"/>
                      <w:szCs w:val="21"/>
                      <w:highlight w:val="none"/>
                      <w:vertAlign w:val="superscript"/>
                    </w:rPr>
                    <w:t>2</w:t>
                  </w:r>
                  <w:r>
                    <w:rPr>
                      <w:color w:val="auto"/>
                      <w:szCs w:val="21"/>
                      <w:highlight w:val="none"/>
                    </w:rPr>
                    <w:t>，四至范围：东至天宁寺河西岸、南至南环路、西至东二环路、北至洋县人民检察院北界。区块二位于磨子桥镇，面积为0.541</w:t>
                  </w:r>
                  <w:r>
                    <w:rPr>
                      <w:rFonts w:hint="eastAsia"/>
                      <w:color w:val="auto"/>
                      <w:szCs w:val="21"/>
                      <w:highlight w:val="none"/>
                      <w:lang w:val="en-US" w:eastAsia="zh-CN"/>
                    </w:rPr>
                    <w:t xml:space="preserve"> </w:t>
                  </w:r>
                  <w:r>
                    <w:rPr>
                      <w:color w:val="auto"/>
                      <w:szCs w:val="21"/>
                      <w:highlight w:val="none"/>
                    </w:rPr>
                    <w:t>km</w:t>
                  </w:r>
                  <w:r>
                    <w:rPr>
                      <w:color w:val="auto"/>
                      <w:szCs w:val="21"/>
                      <w:highlight w:val="none"/>
                      <w:vertAlign w:val="superscript"/>
                    </w:rPr>
                    <w:t>2</w:t>
                  </w:r>
                  <w:r>
                    <w:rPr>
                      <w:color w:val="auto"/>
                      <w:szCs w:val="21"/>
                      <w:highlight w:val="none"/>
                    </w:rPr>
                    <w:t>，四至范围：东至磨子桥污水处理厂东界、南至212县道、西至磨（磨子桥镇）张（张赵村）路、北至京昆高速洋县立交。</w:t>
                  </w:r>
                </w:p>
                <w:p w14:paraId="2B9E7A9F">
                  <w:pPr>
                    <w:rPr>
                      <w:color w:val="auto"/>
                      <w:szCs w:val="21"/>
                      <w:highlight w:val="none"/>
                    </w:rPr>
                  </w:pPr>
                  <w:r>
                    <w:rPr>
                      <w:color w:val="auto"/>
                      <w:szCs w:val="21"/>
                      <w:highlight w:val="none"/>
                    </w:rPr>
                    <w:t>示范区占地面积120.386km</w:t>
                  </w:r>
                  <w:r>
                    <w:rPr>
                      <w:color w:val="auto"/>
                      <w:szCs w:val="21"/>
                      <w:highlight w:val="none"/>
                      <w:vertAlign w:val="superscript"/>
                    </w:rPr>
                    <w:t>2</w:t>
                  </w:r>
                  <w:r>
                    <w:rPr>
                      <w:color w:val="auto"/>
                      <w:szCs w:val="21"/>
                      <w:highlight w:val="none"/>
                    </w:rPr>
                    <w:t>，占农高区总面积的98.13%。</w:t>
                  </w:r>
                </w:p>
              </w:tc>
              <w:tc>
                <w:tcPr>
                  <w:tcW w:w="1813" w:type="pct"/>
                  <w:vMerge w:val="restart"/>
                  <w:vAlign w:val="center"/>
                </w:tcPr>
                <w:p w14:paraId="5C5BD5D3">
                  <w:pPr>
                    <w:pStyle w:val="46"/>
                    <w:snapToGrid w:val="0"/>
                    <w:jc w:val="both"/>
                    <w:rPr>
                      <w:rFonts w:hint="eastAsia"/>
                      <w:color w:val="auto"/>
                      <w:sz w:val="21"/>
                      <w:szCs w:val="21"/>
                      <w:highlight w:val="none"/>
                    </w:rPr>
                  </w:pPr>
                  <w:r>
                    <w:rPr>
                      <w:rFonts w:hint="eastAsia" w:ascii="Times New Roman" w:cs="Times New Roman"/>
                      <w:color w:val="auto"/>
                      <w:sz w:val="21"/>
                      <w:szCs w:val="21"/>
                      <w:highlight w:val="none"/>
                    </w:rPr>
                    <w:t>本项目位于汉中市洋县戚氏街道，属于</w:t>
                  </w:r>
                  <w:r>
                    <w:rPr>
                      <w:rFonts w:ascii="Times New Roman" w:cs="Times New Roman"/>
                      <w:color w:val="auto"/>
                      <w:kern w:val="21"/>
                      <w:sz w:val="21"/>
                      <w:szCs w:val="21"/>
                      <w:highlight w:val="none"/>
                    </w:rPr>
                    <w:t>洋县农业高新技术产业示范区</w:t>
                  </w:r>
                  <w:r>
                    <w:rPr>
                      <w:rFonts w:hint="eastAsia" w:ascii="Times New Roman" w:cs="Times New Roman"/>
                      <w:color w:val="auto"/>
                      <w:kern w:val="21"/>
                      <w:sz w:val="21"/>
                      <w:szCs w:val="21"/>
                      <w:highlight w:val="none"/>
                    </w:rPr>
                    <w:t>规划范围内，具体位于</w:t>
                  </w:r>
                  <w:r>
                    <w:rPr>
                      <w:rFonts w:hint="eastAsia"/>
                      <w:bCs/>
                      <w:color w:val="auto"/>
                      <w:sz w:val="21"/>
                      <w:szCs w:val="21"/>
                      <w:highlight w:val="none"/>
                    </w:rPr>
                    <w:t>智慧农业示范基地板块（</w:t>
                  </w:r>
                  <w:r>
                    <w:rPr>
                      <w:rFonts w:ascii="Times New Roman" w:cs="Times New Roman"/>
                      <w:bCs/>
                      <w:color w:val="auto"/>
                      <w:sz w:val="21"/>
                      <w:szCs w:val="21"/>
                      <w:highlight w:val="none"/>
                    </w:rPr>
                    <w:t>详见附图</w:t>
                  </w:r>
                  <w:r>
                    <w:rPr>
                      <w:rFonts w:hint="eastAsia" w:ascii="Times New Roman" w:cs="Times New Roman"/>
                      <w:bCs/>
                      <w:color w:val="auto"/>
                      <w:sz w:val="21"/>
                      <w:szCs w:val="21"/>
                      <w:highlight w:val="none"/>
                    </w:rPr>
                    <w:t>1</w:t>
                  </w:r>
                  <w:r>
                    <w:rPr>
                      <w:rFonts w:hint="eastAsia"/>
                      <w:bCs/>
                      <w:color w:val="auto"/>
                      <w:sz w:val="21"/>
                      <w:szCs w:val="21"/>
                      <w:highlight w:val="none"/>
                    </w:rPr>
                    <w:t>），</w:t>
                  </w:r>
                  <w:r>
                    <w:rPr>
                      <w:color w:val="auto"/>
                      <w:sz w:val="21"/>
                      <w:szCs w:val="21"/>
                      <w:highlight w:val="none"/>
                    </w:rPr>
                    <w:t>由于农高新规划主要</w:t>
                  </w:r>
                  <w:r>
                    <w:rPr>
                      <w:rFonts w:hint="eastAsia"/>
                      <w:color w:val="auto"/>
                      <w:sz w:val="21"/>
                      <w:szCs w:val="21"/>
                      <w:highlight w:val="none"/>
                    </w:rPr>
                    <w:t>是</w:t>
                  </w:r>
                  <w:r>
                    <w:rPr>
                      <w:color w:val="auto"/>
                      <w:sz w:val="21"/>
                      <w:szCs w:val="21"/>
                      <w:highlight w:val="none"/>
                    </w:rPr>
                    <w:t>针对核心区</w:t>
                  </w:r>
                  <w:r>
                    <w:rPr>
                      <w:rFonts w:hint="eastAsia"/>
                      <w:color w:val="auto"/>
                      <w:sz w:val="21"/>
                      <w:szCs w:val="21"/>
                      <w:highlight w:val="none"/>
                    </w:rPr>
                    <w:t>进行</w:t>
                  </w:r>
                  <w:r>
                    <w:rPr>
                      <w:color w:val="auto"/>
                      <w:sz w:val="21"/>
                      <w:szCs w:val="21"/>
                      <w:highlight w:val="none"/>
                    </w:rPr>
                    <w:t>详细规划，对于示范区域的规划只是提出了发展的大致方向</w:t>
                  </w:r>
                  <w:r>
                    <w:rPr>
                      <w:rFonts w:hint="eastAsia"/>
                      <w:color w:val="auto"/>
                      <w:sz w:val="21"/>
                      <w:szCs w:val="21"/>
                      <w:highlight w:val="none"/>
                      <w:lang w:eastAsia="zh-CN"/>
                    </w:rPr>
                    <w:t>，</w:t>
                  </w:r>
                  <w:r>
                    <w:rPr>
                      <w:color w:val="auto"/>
                      <w:sz w:val="21"/>
                      <w:szCs w:val="21"/>
                      <w:highlight w:val="none"/>
                    </w:rPr>
                    <w:t>具体土地利用及产业布局未有详尽规划内容</w:t>
                  </w:r>
                  <w:r>
                    <w:rPr>
                      <w:rFonts w:hint="eastAsia"/>
                      <w:color w:val="auto"/>
                      <w:sz w:val="21"/>
                      <w:szCs w:val="21"/>
                      <w:highlight w:val="none"/>
                    </w:rPr>
                    <w:t>。</w:t>
                  </w:r>
                </w:p>
                <w:p w14:paraId="5D5CAAEB">
                  <w:pPr>
                    <w:pStyle w:val="46"/>
                    <w:snapToGrid w:val="0"/>
                    <w:jc w:val="both"/>
                    <w:rPr>
                      <w:rFonts w:ascii="Times New Roman" w:cs="Times New Roman"/>
                      <w:color w:val="auto"/>
                      <w:sz w:val="21"/>
                      <w:szCs w:val="21"/>
                      <w:highlight w:val="none"/>
                    </w:rPr>
                  </w:pPr>
                  <w:r>
                    <w:rPr>
                      <w:rFonts w:hint="eastAsia"/>
                      <w:color w:val="auto"/>
                      <w:sz w:val="21"/>
                      <w:szCs w:val="21"/>
                      <w:highlight w:val="none"/>
                      <w:lang w:val="en-US" w:eastAsia="zh-CN"/>
                    </w:rPr>
                    <w:t>建设方于2020年在现有场地建设了骨料破碎、尾粉再利用项目，并已取得《汉中市生态环境局洋县分局关于汉中迪瑞特实业投资有限公司骨料破碎、尾粉再利用项目环境影响报告表的批复（洋环评批字</w:t>
                  </w:r>
                  <w:r>
                    <w:rPr>
                      <w:rFonts w:hint="eastAsia" w:ascii="宋体" w:hAnsi="宋体" w:eastAsia="宋体" w:cs="宋体"/>
                      <w:color w:val="auto"/>
                      <w:sz w:val="21"/>
                      <w:szCs w:val="21"/>
                      <w:highlight w:val="none"/>
                      <w:lang w:val="en-US" w:eastAsia="zh-CN"/>
                    </w:rPr>
                    <w:t>〔2020〕9号</w:t>
                  </w:r>
                  <w:r>
                    <w:rPr>
                      <w:rFonts w:hint="eastAsia"/>
                      <w:color w:val="auto"/>
                      <w:sz w:val="21"/>
                      <w:szCs w:val="21"/>
                      <w:highlight w:val="none"/>
                      <w:lang w:val="en-US" w:eastAsia="zh-CN"/>
                    </w:rPr>
                    <w:t>）》。其在</w:t>
                  </w:r>
                  <w:r>
                    <w:rPr>
                      <w:rFonts w:ascii="Times New Roman" w:cs="Times New Roman"/>
                      <w:color w:val="auto"/>
                      <w:sz w:val="21"/>
                      <w:szCs w:val="21"/>
                      <w:highlight w:val="none"/>
                    </w:rPr>
                    <w:t>2022年编制省级农高区创建规划之前</w:t>
                  </w:r>
                  <w:r>
                    <w:rPr>
                      <w:rFonts w:hint="eastAsia" w:ascii="Times New Roman" w:cs="Times New Roman"/>
                      <w:color w:val="auto"/>
                      <w:sz w:val="21"/>
                      <w:szCs w:val="21"/>
                      <w:highlight w:val="none"/>
                      <w:lang w:val="en-US" w:eastAsia="zh-CN"/>
                    </w:rPr>
                    <w:t>建设方</w:t>
                  </w:r>
                  <w:r>
                    <w:rPr>
                      <w:rFonts w:ascii="Times New Roman" w:cs="Times New Roman"/>
                      <w:color w:val="auto"/>
                      <w:sz w:val="21"/>
                      <w:szCs w:val="21"/>
                      <w:highlight w:val="none"/>
                    </w:rPr>
                    <w:t>就已存在并已投入生产，本次</w:t>
                  </w:r>
                  <w:r>
                    <w:rPr>
                      <w:rFonts w:hint="eastAsia" w:ascii="Times New Roman" w:cs="Times New Roman"/>
                      <w:color w:val="auto"/>
                      <w:sz w:val="21"/>
                      <w:szCs w:val="21"/>
                      <w:highlight w:val="none"/>
                      <w:lang w:val="en-US" w:eastAsia="zh-CN"/>
                    </w:rPr>
                    <w:t>重大</w:t>
                  </w:r>
                  <w:r>
                    <w:rPr>
                      <w:rFonts w:ascii="Times New Roman" w:cs="Times New Roman"/>
                      <w:color w:val="auto"/>
                      <w:sz w:val="21"/>
                      <w:szCs w:val="21"/>
                      <w:highlight w:val="none"/>
                    </w:rPr>
                    <w:t>变动</w:t>
                  </w:r>
                  <w:r>
                    <w:rPr>
                      <w:rFonts w:hint="eastAsia" w:ascii="Times New Roman" w:cs="Times New Roman"/>
                      <w:color w:val="auto"/>
                      <w:sz w:val="21"/>
                      <w:szCs w:val="21"/>
                      <w:highlight w:val="none"/>
                      <w:lang w:val="en-US" w:eastAsia="zh-CN"/>
                    </w:rPr>
                    <w:t>项目</w:t>
                  </w:r>
                  <w:r>
                    <w:rPr>
                      <w:rFonts w:ascii="Times New Roman" w:cs="Times New Roman"/>
                      <w:color w:val="auto"/>
                      <w:sz w:val="21"/>
                      <w:szCs w:val="21"/>
                      <w:highlight w:val="none"/>
                    </w:rPr>
                    <w:t>在原有厂区内进行，</w:t>
                  </w:r>
                  <w:r>
                    <w:rPr>
                      <w:rFonts w:hint="eastAsia" w:ascii="Times New Roman" w:cs="Times New Roman"/>
                      <w:color w:val="auto"/>
                      <w:sz w:val="21"/>
                      <w:szCs w:val="21"/>
                      <w:highlight w:val="none"/>
                      <w:lang w:val="en-US" w:eastAsia="zh-CN"/>
                    </w:rPr>
                    <w:t>本项目与原有项目属于同一行业（均为非金属矿物制品生产行业）</w:t>
                  </w:r>
                  <w:r>
                    <w:rPr>
                      <w:rFonts w:hint="eastAsia" w:ascii="Times New Roman" w:cs="Times New Roman"/>
                      <w:color w:val="auto"/>
                      <w:sz w:val="21"/>
                      <w:szCs w:val="21"/>
                      <w:highlight w:val="none"/>
                      <w:lang w:eastAsia="zh-CN"/>
                    </w:rPr>
                    <w:t>，</w:t>
                  </w:r>
                  <w:r>
                    <w:rPr>
                      <w:rFonts w:ascii="Times New Roman" w:cs="Times New Roman"/>
                      <w:color w:val="auto"/>
                      <w:sz w:val="21"/>
                      <w:szCs w:val="21"/>
                      <w:highlight w:val="none"/>
                    </w:rPr>
                    <w:t>现虽属于农高区智慧农业示范基地板块，但并未影响农高区核心板块有机园区和孵化园区建设，也未占用农高区种植示范区的农田</w:t>
                  </w:r>
                  <w:r>
                    <w:rPr>
                      <w:rFonts w:hint="eastAsia" w:ascii="Times New Roman" w:cs="Times New Roman"/>
                      <w:color w:val="auto"/>
                      <w:sz w:val="21"/>
                      <w:szCs w:val="21"/>
                      <w:highlight w:val="none"/>
                    </w:rPr>
                    <w:t>。</w:t>
                  </w:r>
                  <w:r>
                    <w:rPr>
                      <w:rFonts w:hint="eastAsia" w:ascii="Times New Roman" w:cs="Times New Roman"/>
                      <w:color w:val="auto"/>
                      <w:sz w:val="21"/>
                      <w:szCs w:val="21"/>
                      <w:highlight w:val="none"/>
                      <w:lang w:val="en-US" w:eastAsia="zh-CN"/>
                    </w:rPr>
                    <w:t>同时建设方已与洋县有色工业园区管委会签订土地租赁合同（有效期自2022年3月至2027年2月），</w:t>
                  </w:r>
                  <w:r>
                    <w:rPr>
                      <w:rFonts w:ascii="Times New Roman" w:cs="Times New Roman"/>
                      <w:color w:val="auto"/>
                      <w:sz w:val="21"/>
                      <w:szCs w:val="21"/>
                      <w:highlight w:val="none"/>
                    </w:rPr>
                    <w:t>故不影响农高区建设</w:t>
                  </w:r>
                  <w:r>
                    <w:rPr>
                      <w:rFonts w:hint="eastAsia" w:ascii="Times New Roman" w:cs="Times New Roman"/>
                      <w:color w:val="auto"/>
                      <w:sz w:val="21"/>
                      <w:szCs w:val="21"/>
                      <w:highlight w:val="none"/>
                    </w:rPr>
                    <w:t>。</w:t>
                  </w:r>
                </w:p>
              </w:tc>
              <w:tc>
                <w:tcPr>
                  <w:tcW w:w="364" w:type="pct"/>
                  <w:vMerge w:val="restart"/>
                  <w:vAlign w:val="center"/>
                </w:tcPr>
                <w:p w14:paraId="4A32957C">
                  <w:pPr>
                    <w:pStyle w:val="46"/>
                    <w:snapToGrid w:val="0"/>
                    <w:jc w:val="center"/>
                    <w:rPr>
                      <w:rFonts w:ascii="Times New Roman" w:cs="Times New Roman"/>
                      <w:color w:val="auto"/>
                      <w:sz w:val="21"/>
                      <w:szCs w:val="21"/>
                      <w:highlight w:val="none"/>
                    </w:rPr>
                  </w:pPr>
                  <w:r>
                    <w:rPr>
                      <w:rFonts w:hint="eastAsia" w:ascii="Times New Roman" w:cs="Times New Roman"/>
                      <w:color w:val="auto"/>
                      <w:sz w:val="21"/>
                      <w:szCs w:val="21"/>
                      <w:highlight w:val="none"/>
                    </w:rPr>
                    <w:t>符合</w:t>
                  </w:r>
                </w:p>
              </w:tc>
            </w:tr>
            <w:tr w14:paraId="46A64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1" w:hRule="atLeast"/>
                <w:jc w:val="center"/>
              </w:trPr>
              <w:tc>
                <w:tcPr>
                  <w:tcW w:w="661" w:type="pct"/>
                  <w:vMerge w:val="continue"/>
                  <w:vAlign w:val="center"/>
                </w:tcPr>
                <w:p w14:paraId="375FCF75">
                  <w:pPr>
                    <w:pStyle w:val="46"/>
                    <w:snapToGrid w:val="0"/>
                    <w:jc w:val="center"/>
                    <w:rPr>
                      <w:rFonts w:ascii="Times New Roman" w:cs="Times New Roman"/>
                      <w:color w:val="auto"/>
                      <w:sz w:val="21"/>
                      <w:szCs w:val="21"/>
                      <w:highlight w:val="none"/>
                    </w:rPr>
                  </w:pPr>
                </w:p>
              </w:tc>
              <w:tc>
                <w:tcPr>
                  <w:tcW w:w="2160" w:type="pct"/>
                </w:tcPr>
                <w:p w14:paraId="5D09F6BD">
                  <w:pPr>
                    <w:pStyle w:val="26"/>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功能结构规划</w:t>
                  </w:r>
                  <w:r>
                    <w:rPr>
                      <w:rFonts w:ascii="Times New Roman" w:hAnsi="Times New Roman"/>
                      <w:bCs/>
                      <w:color w:val="auto"/>
                      <w:sz w:val="21"/>
                      <w:szCs w:val="21"/>
                      <w:highlight w:val="none"/>
                    </w:rPr>
                    <w:t>：</w:t>
                  </w:r>
                  <w:r>
                    <w:rPr>
                      <w:rFonts w:ascii="Times New Roman" w:hAnsi="Times New Roman"/>
                      <w:color w:val="auto"/>
                      <w:sz w:val="21"/>
                      <w:szCs w:val="21"/>
                      <w:highlight w:val="none"/>
                    </w:rPr>
                    <w:t>以有机产业为主导发展农业高新技术产业，规划形成</w:t>
                  </w:r>
                  <w:r>
                    <w:rPr>
                      <w:rFonts w:ascii="Times New Roman" w:hAnsi="Times New Roman"/>
                      <w:bCs/>
                      <w:color w:val="auto"/>
                      <w:sz w:val="21"/>
                      <w:szCs w:val="21"/>
                      <w:highlight w:val="none"/>
                    </w:rPr>
                    <w:t>“核心区+示范区”</w:t>
                  </w:r>
                  <w:r>
                    <w:rPr>
                      <w:rFonts w:ascii="Times New Roman" w:hAnsi="Times New Roman"/>
                      <w:color w:val="auto"/>
                      <w:sz w:val="21"/>
                      <w:szCs w:val="21"/>
                      <w:highlight w:val="none"/>
                    </w:rPr>
                    <w:t>的总体布局。核心区包含“</w:t>
                  </w:r>
                  <w:r>
                    <w:rPr>
                      <w:rFonts w:ascii="Times New Roman" w:hAnsi="Times New Roman"/>
                      <w:bCs/>
                      <w:color w:val="auto"/>
                      <w:sz w:val="21"/>
                      <w:szCs w:val="21"/>
                      <w:highlight w:val="none"/>
                    </w:rPr>
                    <w:t>1谷（有机产业科创谷）+1园（有机农产品物流园）</w:t>
                  </w:r>
                  <w:r>
                    <w:rPr>
                      <w:rFonts w:ascii="Times New Roman" w:hAnsi="Times New Roman"/>
                      <w:color w:val="auto"/>
                      <w:sz w:val="21"/>
                      <w:szCs w:val="21"/>
                      <w:highlight w:val="none"/>
                    </w:rPr>
                    <w:t>”，示范区包含“</w:t>
                  </w:r>
                  <w:r>
                    <w:rPr>
                      <w:rFonts w:ascii="Times New Roman" w:hAnsi="Times New Roman"/>
                      <w:bCs/>
                      <w:color w:val="auto"/>
                      <w:sz w:val="21"/>
                      <w:szCs w:val="21"/>
                      <w:highlight w:val="none"/>
                    </w:rPr>
                    <w:t>3区（有机农产品种植示范区、农文旅融合发展先行区、乡村振兴样板区）+1基地（智慧农业示范基地）</w:t>
                  </w:r>
                  <w:r>
                    <w:rPr>
                      <w:rFonts w:ascii="Times New Roman" w:hAnsi="Times New Roman"/>
                      <w:color w:val="auto"/>
                      <w:sz w:val="21"/>
                      <w:szCs w:val="21"/>
                      <w:highlight w:val="none"/>
                    </w:rPr>
                    <w:t>”。</w:t>
                  </w:r>
                </w:p>
                <w:p w14:paraId="63AF2662">
                  <w:pPr>
                    <w:rPr>
                      <w:color w:val="auto"/>
                      <w:highlight w:val="none"/>
                    </w:rPr>
                  </w:pPr>
                  <w:r>
                    <w:rPr>
                      <w:rFonts w:hint="eastAsia"/>
                      <w:b/>
                      <w:bCs/>
                      <w:color w:val="auto"/>
                      <w:highlight w:val="none"/>
                    </w:rPr>
                    <w:t>智慧</w:t>
                  </w:r>
                  <w:r>
                    <w:rPr>
                      <w:b/>
                      <w:bCs/>
                      <w:color w:val="auto"/>
                      <w:highlight w:val="none"/>
                    </w:rPr>
                    <w:t>农业示范基地：</w:t>
                  </w:r>
                  <w:r>
                    <w:rPr>
                      <w:color w:val="auto"/>
                      <w:highlight w:val="none"/>
                    </w:rPr>
                    <w:t>位于</w:t>
                  </w:r>
                  <w:r>
                    <w:rPr>
                      <w:rFonts w:hint="eastAsia"/>
                      <w:color w:val="auto"/>
                      <w:highlight w:val="none"/>
                    </w:rPr>
                    <w:t>戚氏街道</w:t>
                  </w:r>
                  <w:r>
                    <w:rPr>
                      <w:color w:val="auto"/>
                      <w:highlight w:val="none"/>
                    </w:rPr>
                    <w:t>，围绕洋县有机果蔬产业，</w:t>
                  </w:r>
                  <w:r>
                    <w:rPr>
                      <w:rFonts w:hint="eastAsia"/>
                      <w:color w:val="auto"/>
                      <w:highlight w:val="none"/>
                    </w:rPr>
                    <w:t>采用物联网、人工智能、大数据、云计算等信息技术，运用“互联网+示范基地+家庭农场+公司运营”的生产模式，推进现有老旧蔬菜设施、有机肥生产设施改造提升，解决农业生态领域问题，建设设施蔬菜无土栽培、全自动育苗工厂、水产养殖工厂、生物有机肥中心等，打造科技领先、生态循环、智慧种植、智能管控、国内一流的智慧农业示范基地。</w:t>
                  </w:r>
                </w:p>
              </w:tc>
              <w:tc>
                <w:tcPr>
                  <w:tcW w:w="1813" w:type="pct"/>
                  <w:vMerge w:val="continue"/>
                  <w:vAlign w:val="center"/>
                </w:tcPr>
                <w:p w14:paraId="4E2C30BE">
                  <w:pPr>
                    <w:pStyle w:val="46"/>
                    <w:snapToGrid w:val="0"/>
                    <w:jc w:val="center"/>
                    <w:rPr>
                      <w:rFonts w:ascii="Times New Roman" w:cs="Times New Roman"/>
                      <w:bCs/>
                      <w:color w:val="auto"/>
                      <w:sz w:val="21"/>
                      <w:szCs w:val="21"/>
                      <w:highlight w:val="none"/>
                    </w:rPr>
                  </w:pPr>
                </w:p>
              </w:tc>
              <w:tc>
                <w:tcPr>
                  <w:tcW w:w="364" w:type="pct"/>
                  <w:vMerge w:val="continue"/>
                  <w:vAlign w:val="center"/>
                </w:tcPr>
                <w:p w14:paraId="582C2304">
                  <w:pPr>
                    <w:pStyle w:val="46"/>
                    <w:snapToGrid w:val="0"/>
                    <w:jc w:val="center"/>
                    <w:rPr>
                      <w:rFonts w:ascii="Times New Roman" w:cs="Times New Roman"/>
                      <w:color w:val="auto"/>
                      <w:sz w:val="21"/>
                      <w:szCs w:val="21"/>
                      <w:highlight w:val="none"/>
                    </w:rPr>
                  </w:pPr>
                </w:p>
              </w:tc>
            </w:tr>
            <w:tr w14:paraId="186A2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61" w:type="pct"/>
                  <w:vMerge w:val="restart"/>
                  <w:vAlign w:val="center"/>
                </w:tcPr>
                <w:p w14:paraId="715358B8">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w:t>
                  </w:r>
                  <w:r>
                    <w:rPr>
                      <w:rFonts w:ascii="Times New Roman" w:cs="Times New Roman"/>
                      <w:color w:val="auto"/>
                      <w:kern w:val="21"/>
                      <w:sz w:val="21"/>
                      <w:szCs w:val="21"/>
                      <w:highlight w:val="none"/>
                    </w:rPr>
                    <w:t>陕西洋县农业高新技术产业示范区建设发展规划（2023-2027年）</w:t>
                  </w:r>
                  <w:r>
                    <w:rPr>
                      <w:rFonts w:ascii="Times New Roman" w:cs="Times New Roman"/>
                      <w:color w:val="auto"/>
                      <w:sz w:val="21"/>
                      <w:szCs w:val="21"/>
                      <w:highlight w:val="none"/>
                    </w:rPr>
                    <w:t>环境影响报告书》</w:t>
                  </w:r>
                </w:p>
              </w:tc>
              <w:tc>
                <w:tcPr>
                  <w:tcW w:w="2160" w:type="pct"/>
                  <w:vAlign w:val="center"/>
                </w:tcPr>
                <w:p w14:paraId="23EBAA28">
                  <w:pPr>
                    <w:pStyle w:val="26"/>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环境分区管控要求：</w:t>
                  </w:r>
                </w:p>
                <w:p w14:paraId="3258F5B3">
                  <w:pPr>
                    <w:pStyle w:val="140"/>
                    <w:jc w:val="left"/>
                    <w:rPr>
                      <w:color w:val="auto"/>
                      <w:szCs w:val="21"/>
                      <w:highlight w:val="none"/>
                    </w:rPr>
                  </w:pPr>
                  <w:r>
                    <w:rPr>
                      <w:bCs/>
                      <w:color w:val="auto"/>
                      <w:szCs w:val="21"/>
                      <w:highlight w:val="none"/>
                    </w:rPr>
                    <w:t>智慧农业示范基地</w:t>
                  </w:r>
                  <w:r>
                    <w:rPr>
                      <w:color w:val="auto"/>
                      <w:szCs w:val="21"/>
                      <w:highlight w:val="none"/>
                    </w:rPr>
                    <w:t>空间布局约束：</w:t>
                  </w:r>
                </w:p>
                <w:p w14:paraId="7ED2253D">
                  <w:pPr>
                    <w:pStyle w:val="140"/>
                    <w:jc w:val="left"/>
                    <w:rPr>
                      <w:color w:val="auto"/>
                      <w:szCs w:val="21"/>
                      <w:highlight w:val="none"/>
                    </w:rPr>
                  </w:pPr>
                  <w:r>
                    <w:rPr>
                      <w:color w:val="auto"/>
                      <w:szCs w:val="21"/>
                      <w:highlight w:val="none"/>
                    </w:rPr>
                    <w:t>（1）执行陕西省和汉中市“三线一单”生态环境分区管控要求和准入清单；</w:t>
                  </w:r>
                </w:p>
                <w:p w14:paraId="1347F45B">
                  <w:pPr>
                    <w:pStyle w:val="140"/>
                    <w:jc w:val="left"/>
                    <w:rPr>
                      <w:color w:val="auto"/>
                      <w:szCs w:val="21"/>
                      <w:highlight w:val="none"/>
                    </w:rPr>
                  </w:pPr>
                  <w:r>
                    <w:rPr>
                      <w:color w:val="auto"/>
                      <w:szCs w:val="21"/>
                      <w:highlight w:val="none"/>
                    </w:rPr>
                    <w:t>（2）涉及《陕西省国家重点生态功能区产业准入负面清单（试行）》中的陕西省汉中市洋县限制类产业，执行清单相应管控要求；</w:t>
                  </w:r>
                </w:p>
                <w:p w14:paraId="482A869C">
                  <w:pPr>
                    <w:pStyle w:val="26"/>
                    <w:adjustRightInd w:val="0"/>
                    <w:snapToGrid w:val="0"/>
                    <w:spacing w:before="0" w:beforeAutospacing="0" w:after="0" w:afterAutospacing="0"/>
                    <w:rPr>
                      <w:rFonts w:ascii="Times New Roman" w:hAnsi="Times New Roman" w:cs="Times New Roman"/>
                      <w:color w:val="auto"/>
                      <w:sz w:val="21"/>
                      <w:szCs w:val="21"/>
                      <w:highlight w:val="none"/>
                    </w:rPr>
                  </w:pPr>
                  <w:r>
                    <w:rPr>
                      <w:rFonts w:ascii="Times New Roman" w:hAnsi="Times New Roman"/>
                      <w:color w:val="auto"/>
                      <w:sz w:val="21"/>
                      <w:szCs w:val="21"/>
                      <w:highlight w:val="none"/>
                    </w:rPr>
                    <w:t>（3）智慧农业示范基地内，</w:t>
                  </w:r>
                  <w:r>
                    <w:rPr>
                      <w:rFonts w:hint="eastAsia" w:ascii="Times New Roman" w:hAnsi="Times New Roman" w:cs="Times New Roman"/>
                      <w:color w:val="auto"/>
                      <w:sz w:val="21"/>
                      <w:szCs w:val="21"/>
                      <w:highlight w:val="none"/>
                    </w:rPr>
                    <w:t>本次农高区规划仅就核心区进行了基础设施规划，建议保留戚氏集中区现有企业及工业用地。农高区示范区内本次未开展用地和基础设施规划的区域，在执行本次农高区规划的基础上，未尽事宜按照</w:t>
                  </w:r>
                  <w:bookmarkStart w:id="2" w:name="_Hlk169509065"/>
                  <w:r>
                    <w:rPr>
                      <w:rFonts w:hint="eastAsia" w:ascii="Times New Roman" w:hAnsi="Times New Roman" w:cs="Times New Roman"/>
                      <w:color w:val="auto"/>
                      <w:sz w:val="21"/>
                      <w:szCs w:val="21"/>
                      <w:highlight w:val="none"/>
                    </w:rPr>
                    <w:t>国家和地方相关法律法规和政策规划执行</w:t>
                  </w:r>
                  <w:bookmarkEnd w:id="2"/>
                  <w:r>
                    <w:rPr>
                      <w:rFonts w:hint="eastAsia" w:ascii="Times New Roman" w:hAnsi="Times New Roman" w:cs="Times New Roman"/>
                      <w:color w:val="auto"/>
                      <w:sz w:val="21"/>
                      <w:szCs w:val="21"/>
                      <w:highlight w:val="none"/>
                    </w:rPr>
                    <w:t>。</w:t>
                  </w:r>
                </w:p>
                <w:p w14:paraId="1B7516BF">
                  <w:pPr>
                    <w:pStyle w:val="140"/>
                    <w:jc w:val="left"/>
                    <w:rPr>
                      <w:color w:val="auto"/>
                      <w:szCs w:val="21"/>
                      <w:highlight w:val="none"/>
                    </w:rPr>
                  </w:pPr>
                  <w:r>
                    <w:rPr>
                      <w:color w:val="auto"/>
                      <w:szCs w:val="21"/>
                      <w:highlight w:val="none"/>
                    </w:rPr>
                    <w:t>资源开发效率要求：</w:t>
                  </w:r>
                </w:p>
                <w:p w14:paraId="6B0EB29E">
                  <w:pPr>
                    <w:pStyle w:val="140"/>
                    <w:jc w:val="left"/>
                    <w:rPr>
                      <w:color w:val="auto"/>
                      <w:szCs w:val="21"/>
                      <w:highlight w:val="none"/>
                    </w:rPr>
                  </w:pPr>
                  <w:r>
                    <w:rPr>
                      <w:color w:val="auto"/>
                      <w:szCs w:val="21"/>
                      <w:highlight w:val="none"/>
                    </w:rPr>
                    <w:t>（1）开展农业节水。</w:t>
                  </w:r>
                </w:p>
                <w:p w14:paraId="4366334D">
                  <w:pPr>
                    <w:pStyle w:val="26"/>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（2）采用管道天然气、液化石油气、电或者其他清洁能源</w:t>
                  </w:r>
                </w:p>
              </w:tc>
              <w:tc>
                <w:tcPr>
                  <w:tcW w:w="1813" w:type="pct"/>
                  <w:vAlign w:val="center"/>
                </w:tcPr>
                <w:p w14:paraId="79C878AA">
                  <w:pPr>
                    <w:pStyle w:val="46"/>
                    <w:snapToGrid w:val="0"/>
                    <w:jc w:val="both"/>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rPr>
                    <w:t>本项目不属于</w:t>
                  </w:r>
                  <w:r>
                    <w:rPr>
                      <w:rFonts w:hint="eastAsia" w:hAnsi="宋体"/>
                      <w:color w:val="auto"/>
                      <w:sz w:val="21"/>
                      <w:szCs w:val="21"/>
                      <w:highlight w:val="none"/>
                    </w:rPr>
                    <w:t>《陕西省国家重点生态功能区产业准入负面清单（试行）》</w:t>
                  </w:r>
                  <w:r>
                    <w:rPr>
                      <w:rFonts w:hint="eastAsia" w:ascii="Times New Roman" w:cs="Times New Roman"/>
                      <w:color w:val="auto"/>
                      <w:sz w:val="21"/>
                      <w:szCs w:val="21"/>
                      <w:highlight w:val="none"/>
                    </w:rPr>
                    <w:t>中规定的禁止开发类项目和限制开发类项目，</w:t>
                  </w:r>
                  <w:r>
                    <w:rPr>
                      <w:rFonts w:ascii="Times New Roman" w:cs="Times New Roman"/>
                      <w:color w:val="auto"/>
                      <w:sz w:val="21"/>
                      <w:szCs w:val="21"/>
                      <w:highlight w:val="none"/>
                    </w:rPr>
                    <w:t>同时项目</w:t>
                  </w:r>
                  <w:r>
                    <w:rPr>
                      <w:rFonts w:hint="eastAsia" w:ascii="Times New Roman" w:cs="Times New Roman"/>
                      <w:color w:val="auto"/>
                      <w:sz w:val="21"/>
                      <w:szCs w:val="21"/>
                      <w:highlight w:val="none"/>
                    </w:rPr>
                    <w:t>满足</w:t>
                  </w:r>
                  <w:r>
                    <w:rPr>
                      <w:rFonts w:ascii="Times New Roman" w:cs="Times New Roman"/>
                      <w:color w:val="auto"/>
                      <w:sz w:val="21"/>
                      <w:szCs w:val="21"/>
                      <w:highlight w:val="none"/>
                    </w:rPr>
                    <w:t>《汉中市生态环境准入清单》</w:t>
                  </w:r>
                  <w:r>
                    <w:rPr>
                      <w:rFonts w:hint="eastAsia" w:ascii="Times New Roman" w:cs="Times New Roman"/>
                      <w:color w:val="auto"/>
                      <w:sz w:val="21"/>
                      <w:szCs w:val="21"/>
                      <w:highlight w:val="none"/>
                    </w:rPr>
                    <w:t>相关要求</w:t>
                  </w:r>
                  <w:r>
                    <w:rPr>
                      <w:rFonts w:ascii="Times New Roman" w:cs="Times New Roman"/>
                      <w:color w:val="auto"/>
                      <w:sz w:val="21"/>
                      <w:szCs w:val="21"/>
                      <w:highlight w:val="none"/>
                    </w:rPr>
                    <w:t>，具体对照如表1-</w:t>
                  </w:r>
                  <w:r>
                    <w:rPr>
                      <w:rFonts w:hint="eastAsia" w:ascii="Times New Roman" w:cs="Times New Roman"/>
                      <w:color w:val="auto"/>
                      <w:sz w:val="21"/>
                      <w:szCs w:val="21"/>
                      <w:highlight w:val="none"/>
                    </w:rPr>
                    <w:t>2</w:t>
                  </w:r>
                  <w:r>
                    <w:rPr>
                      <w:rFonts w:ascii="Times New Roman" w:cs="Times New Roman"/>
                      <w:color w:val="auto"/>
                      <w:sz w:val="21"/>
                      <w:szCs w:val="21"/>
                      <w:highlight w:val="none"/>
                    </w:rPr>
                    <w:t>所示</w:t>
                  </w:r>
                  <w:r>
                    <w:rPr>
                      <w:rFonts w:hint="eastAsia" w:ascii="Times New Roman" w:cs="Times New Roman"/>
                      <w:color w:val="auto"/>
                      <w:sz w:val="21"/>
                      <w:szCs w:val="21"/>
                      <w:highlight w:val="none"/>
                    </w:rPr>
                    <w:t>。</w:t>
                  </w:r>
                  <w:r>
                    <w:rPr>
                      <w:rFonts w:hint="eastAsia"/>
                      <w:color w:val="auto"/>
                      <w:sz w:val="21"/>
                      <w:szCs w:val="21"/>
                      <w:highlight w:val="none"/>
                      <w:lang w:val="en-US" w:eastAsia="zh-CN"/>
                    </w:rPr>
                    <w:t>在</w:t>
                  </w:r>
                  <w:r>
                    <w:rPr>
                      <w:rFonts w:ascii="Times New Roman" w:cs="Times New Roman"/>
                      <w:color w:val="auto"/>
                      <w:sz w:val="21"/>
                      <w:szCs w:val="21"/>
                      <w:highlight w:val="none"/>
                    </w:rPr>
                    <w:t>2022年编制省级农高区创建规划之前</w:t>
                  </w:r>
                  <w:r>
                    <w:rPr>
                      <w:rFonts w:hint="eastAsia" w:ascii="Times New Roman" w:cs="Times New Roman"/>
                      <w:color w:val="auto"/>
                      <w:sz w:val="21"/>
                      <w:szCs w:val="21"/>
                      <w:highlight w:val="none"/>
                      <w:lang w:val="en-US" w:eastAsia="zh-CN"/>
                    </w:rPr>
                    <w:t>建设方</w:t>
                  </w:r>
                  <w:r>
                    <w:rPr>
                      <w:rFonts w:ascii="Times New Roman" w:cs="Times New Roman"/>
                      <w:color w:val="auto"/>
                      <w:sz w:val="21"/>
                      <w:szCs w:val="21"/>
                      <w:highlight w:val="none"/>
                    </w:rPr>
                    <w:t>就已经存在，</w:t>
                  </w:r>
                  <w:r>
                    <w:rPr>
                      <w:rFonts w:hint="eastAsia" w:ascii="Times New Roman" w:cs="Times New Roman"/>
                      <w:color w:val="auto"/>
                      <w:sz w:val="21"/>
                      <w:szCs w:val="21"/>
                      <w:highlight w:val="none"/>
                      <w:lang w:val="en-US" w:eastAsia="zh-CN"/>
                    </w:rPr>
                    <w:t>建设方为现有保留企业。</w:t>
                  </w:r>
                </w:p>
                <w:p w14:paraId="5B14343E">
                  <w:pPr>
                    <w:pStyle w:val="46"/>
                    <w:snapToGrid w:val="0"/>
                    <w:jc w:val="both"/>
                    <w:rPr>
                      <w:rFonts w:hint="eastAsia" w:ascii="Times New Roman" w:cs="Times New Roman"/>
                      <w:color w:val="auto"/>
                      <w:sz w:val="21"/>
                      <w:szCs w:val="21"/>
                      <w:highlight w:val="none"/>
                    </w:rPr>
                  </w:pPr>
                  <w:r>
                    <w:rPr>
                      <w:rFonts w:ascii="Times New Roman" w:cs="Times New Roman"/>
                      <w:color w:val="auto"/>
                      <w:sz w:val="21"/>
                      <w:szCs w:val="21"/>
                      <w:highlight w:val="none"/>
                    </w:rPr>
                    <w:t>本次</w:t>
                  </w:r>
                  <w:r>
                    <w:rPr>
                      <w:rFonts w:hint="eastAsia" w:ascii="Times New Roman" w:cs="Times New Roman"/>
                      <w:color w:val="auto"/>
                      <w:sz w:val="21"/>
                      <w:szCs w:val="21"/>
                      <w:highlight w:val="none"/>
                      <w:lang w:val="en-US" w:eastAsia="zh-CN"/>
                    </w:rPr>
                    <w:t>重大变动项目</w:t>
                  </w:r>
                  <w:r>
                    <w:rPr>
                      <w:rFonts w:ascii="Times New Roman" w:cs="Times New Roman"/>
                      <w:color w:val="auto"/>
                      <w:sz w:val="21"/>
                      <w:szCs w:val="21"/>
                      <w:highlight w:val="none"/>
                    </w:rPr>
                    <w:t>在原有厂区内进行，</w:t>
                  </w:r>
                  <w:r>
                    <w:rPr>
                      <w:rFonts w:hint="eastAsia" w:ascii="Times New Roman" w:cs="Times New Roman"/>
                      <w:color w:val="auto"/>
                      <w:sz w:val="21"/>
                      <w:szCs w:val="21"/>
                      <w:highlight w:val="none"/>
                      <w:lang w:val="en-US" w:eastAsia="zh-CN"/>
                    </w:rPr>
                    <w:t>与原有项目属于同一行业（均为非金属矿物制品生产行业）</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lang w:val="en-US" w:eastAsia="zh-CN"/>
                    </w:rPr>
                    <w:t>同时建设方已与洋县有色工业园区管委会签订土地租赁合同（有效期自2022年3月至2027年2月），</w:t>
                  </w:r>
                  <w:r>
                    <w:rPr>
                      <w:rFonts w:ascii="Times New Roman" w:cs="Times New Roman"/>
                      <w:color w:val="auto"/>
                      <w:sz w:val="21"/>
                      <w:szCs w:val="21"/>
                      <w:highlight w:val="none"/>
                    </w:rPr>
                    <w:t>故</w:t>
                  </w:r>
                  <w:r>
                    <w:rPr>
                      <w:rFonts w:hint="eastAsia" w:ascii="Times New Roman" w:cs="Times New Roman"/>
                      <w:color w:val="auto"/>
                      <w:sz w:val="21"/>
                      <w:szCs w:val="21"/>
                      <w:highlight w:val="none"/>
                      <w:lang w:val="en-US" w:eastAsia="zh-CN"/>
                    </w:rPr>
                    <w:t>符合</w:t>
                  </w:r>
                  <w:r>
                    <w:rPr>
                      <w:rFonts w:ascii="Times New Roman" w:hAnsi="Times New Roman"/>
                      <w:color w:val="auto"/>
                      <w:sz w:val="21"/>
                      <w:szCs w:val="21"/>
                      <w:highlight w:val="none"/>
                    </w:rPr>
                    <w:t>法律法规及政策规划</w:t>
                  </w:r>
                  <w:r>
                    <w:rPr>
                      <w:rFonts w:hint="eastAsia" w:ascii="Times New Roman" w:cs="Times New Roman"/>
                      <w:color w:val="auto"/>
                      <w:sz w:val="21"/>
                      <w:szCs w:val="21"/>
                      <w:highlight w:val="none"/>
                    </w:rPr>
                    <w:t>。</w:t>
                  </w:r>
                </w:p>
                <w:p w14:paraId="1A0DFF9B">
                  <w:pPr>
                    <w:pStyle w:val="46"/>
                    <w:snapToGrid w:val="0"/>
                    <w:jc w:val="both"/>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本项目不属于农业项目，生产时使用清洁能源电</w:t>
                  </w:r>
                </w:p>
              </w:tc>
              <w:tc>
                <w:tcPr>
                  <w:tcW w:w="364" w:type="pct"/>
                  <w:vAlign w:val="center"/>
                </w:tcPr>
                <w:p w14:paraId="73679760">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662D0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61" w:type="pct"/>
                  <w:vMerge w:val="continue"/>
                </w:tcPr>
                <w:p w14:paraId="79C533B5">
                  <w:pPr>
                    <w:pStyle w:val="46"/>
                    <w:snapToGrid w:val="0"/>
                    <w:jc w:val="both"/>
                    <w:rPr>
                      <w:rFonts w:ascii="Times New Roman" w:cs="Times New Roman"/>
                      <w:color w:val="auto"/>
                      <w:sz w:val="21"/>
                      <w:szCs w:val="21"/>
                      <w:highlight w:val="none"/>
                    </w:rPr>
                  </w:pPr>
                </w:p>
              </w:tc>
              <w:tc>
                <w:tcPr>
                  <w:tcW w:w="2160" w:type="pct"/>
                </w:tcPr>
                <w:p w14:paraId="68599A13">
                  <w:pPr>
                    <w:pStyle w:val="26"/>
                    <w:adjustRightInd w:val="0"/>
                    <w:snapToGrid w:val="0"/>
                    <w:spacing w:before="0" w:beforeAutospacing="0" w:after="0" w:afterAutospacing="0"/>
                    <w:rPr>
                      <w:rFonts w:ascii="Times New Roman" w:hAnsi="Times New Roman"/>
                      <w:b/>
                      <w:color w:val="auto"/>
                      <w:sz w:val="21"/>
                      <w:szCs w:val="21"/>
                      <w:highlight w:val="none"/>
                    </w:rPr>
                  </w:pPr>
                  <w:r>
                    <w:rPr>
                      <w:rFonts w:ascii="Times New Roman" w:hAnsi="Times New Roman"/>
                      <w:color w:val="auto"/>
                      <w:sz w:val="21"/>
                      <w:szCs w:val="21"/>
                      <w:highlight w:val="none"/>
                    </w:rPr>
                    <w:t>智慧农业示范基地产业准入负面清单：禁止《产业结构调整指导目录（2024年本）》中农业相关淘汰类产业进入。未经许可或指定，不得从事特定植物种植或种子、种苗的生产、经营、检测和进出口；农、林、牧、渔专业及辅助性活动：禁止《产业结构调整指导目录（2024年本）》中相关淘汰类产业进入。</w:t>
                  </w:r>
                </w:p>
              </w:tc>
              <w:tc>
                <w:tcPr>
                  <w:tcW w:w="1813" w:type="pct"/>
                  <w:vAlign w:val="center"/>
                </w:tcPr>
                <w:p w14:paraId="0F60D99B">
                  <w:pPr>
                    <w:pStyle w:val="46"/>
                    <w:snapToGrid w:val="0"/>
                    <w:jc w:val="both"/>
                    <w:rPr>
                      <w:rFonts w:hint="eastAsia" w:ascii="Times New Roman" w:eastAsia="宋体" w:cs="Times New Roman"/>
                      <w:color w:val="auto"/>
                      <w:sz w:val="21"/>
                      <w:szCs w:val="21"/>
                      <w:highlight w:val="none"/>
                      <w:lang w:eastAsia="zh-CN"/>
                    </w:rPr>
                  </w:pPr>
                  <w:r>
                    <w:rPr>
                      <w:rFonts w:ascii="Times New Roman" w:cs="Times New Roman"/>
                      <w:color w:val="auto"/>
                      <w:sz w:val="21"/>
                      <w:szCs w:val="21"/>
                      <w:highlight w:val="none"/>
                    </w:rPr>
                    <w:t>本项目属于《产业结构调整指导目录（2024年</w:t>
                  </w:r>
                  <w:r>
                    <w:rPr>
                      <w:rFonts w:hint="eastAsia" w:ascii="Times New Roman" w:cs="Times New Roman"/>
                      <w:color w:val="auto"/>
                      <w:sz w:val="21"/>
                      <w:szCs w:val="21"/>
                      <w:highlight w:val="none"/>
                    </w:rPr>
                    <w:t>本</w:t>
                  </w:r>
                  <w:r>
                    <w:rPr>
                      <w:rFonts w:ascii="Times New Roman" w:cs="Times New Roman"/>
                      <w:color w:val="auto"/>
                      <w:sz w:val="21"/>
                      <w:szCs w:val="21"/>
                      <w:highlight w:val="none"/>
                    </w:rPr>
                    <w:t>）》中允许类项目</w:t>
                  </w:r>
                  <w:r>
                    <w:rPr>
                      <w:rFonts w:hint="eastAsia" w:ascii="Times New Roman" w:cs="Times New Roman"/>
                      <w:color w:val="auto"/>
                      <w:sz w:val="21"/>
                      <w:szCs w:val="21"/>
                      <w:highlight w:val="none"/>
                      <w:lang w:eastAsia="zh-CN"/>
                    </w:rPr>
                    <w:t>，</w:t>
                  </w:r>
                  <w:r>
                    <w:rPr>
                      <w:rFonts w:hint="eastAsia" w:ascii="Times New Roman"/>
                      <w:color w:val="auto"/>
                      <w:sz w:val="21"/>
                      <w:szCs w:val="21"/>
                      <w:highlight w:val="none"/>
                      <w:lang w:val="en-US" w:eastAsia="zh-CN"/>
                    </w:rPr>
                    <w:t>不</w:t>
                  </w:r>
                  <w:r>
                    <w:rPr>
                      <w:rFonts w:ascii="Times New Roman" w:hAnsi="Times New Roman"/>
                      <w:color w:val="auto"/>
                      <w:sz w:val="21"/>
                      <w:szCs w:val="21"/>
                      <w:highlight w:val="none"/>
                    </w:rPr>
                    <w:t>从事特定植物种植或种子、种苗的生产、经营、检测和进出口</w:t>
                  </w:r>
                  <w:r>
                    <w:rPr>
                      <w:rFonts w:hint="eastAsia" w:ascii="Times New Roman"/>
                      <w:color w:val="auto"/>
                      <w:sz w:val="21"/>
                      <w:szCs w:val="21"/>
                      <w:highlight w:val="none"/>
                      <w:lang w:eastAsia="zh-CN"/>
                    </w:rPr>
                    <w:t>，</w:t>
                  </w:r>
                  <w:r>
                    <w:rPr>
                      <w:rFonts w:ascii="Times New Roman" w:hAnsi="Times New Roman"/>
                      <w:color w:val="auto"/>
                      <w:sz w:val="21"/>
                      <w:szCs w:val="21"/>
                      <w:highlight w:val="none"/>
                    </w:rPr>
                    <w:t>农、林、牧、渔专业及辅助性活动</w:t>
                  </w:r>
                </w:p>
              </w:tc>
              <w:tc>
                <w:tcPr>
                  <w:tcW w:w="364" w:type="pct"/>
                  <w:vAlign w:val="center"/>
                </w:tcPr>
                <w:p w14:paraId="58C4ECC4">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013CD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61" w:type="pct"/>
                  <w:vAlign w:val="center"/>
                </w:tcPr>
                <w:p w14:paraId="051CE1B2">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w:t>
                  </w:r>
                  <w:r>
                    <w:rPr>
                      <w:rFonts w:ascii="Times New Roman" w:cs="Times New Roman"/>
                      <w:color w:val="auto"/>
                      <w:kern w:val="21"/>
                      <w:sz w:val="21"/>
                      <w:szCs w:val="21"/>
                      <w:highlight w:val="none"/>
                    </w:rPr>
                    <w:t>陕西洋县农业高新技术产业示范区建设发展规划（2023</w:t>
                  </w:r>
                  <w:r>
                    <w:rPr>
                      <w:rFonts w:hint="eastAsia" w:ascii="Times New Roman" w:cs="Times New Roman"/>
                      <w:color w:val="auto"/>
                      <w:kern w:val="21"/>
                      <w:sz w:val="21"/>
                      <w:szCs w:val="21"/>
                      <w:highlight w:val="none"/>
                      <w:lang w:eastAsia="zh-CN"/>
                    </w:rPr>
                    <w:t>—</w:t>
                  </w:r>
                  <w:r>
                    <w:rPr>
                      <w:rFonts w:ascii="Times New Roman" w:cs="Times New Roman"/>
                      <w:color w:val="auto"/>
                      <w:kern w:val="21"/>
                      <w:sz w:val="21"/>
                      <w:szCs w:val="21"/>
                      <w:highlight w:val="none"/>
                    </w:rPr>
                    <w:t>2027年）</w:t>
                  </w:r>
                  <w:r>
                    <w:rPr>
                      <w:rFonts w:ascii="Times New Roman" w:cs="Times New Roman"/>
                      <w:color w:val="auto"/>
                      <w:sz w:val="21"/>
                      <w:szCs w:val="21"/>
                      <w:highlight w:val="none"/>
                    </w:rPr>
                    <w:t>环境影响报告书审查意见的函》</w:t>
                  </w:r>
                  <w:r>
                    <w:rPr>
                      <w:rFonts w:hint="eastAsia" w:ascii="Times New Roman" w:cs="Times New Roman"/>
                      <w:color w:val="auto"/>
                      <w:sz w:val="21"/>
                      <w:szCs w:val="21"/>
                      <w:highlight w:val="none"/>
                    </w:rPr>
                    <w:t>（陕环环评函〔2024〕99号）</w:t>
                  </w:r>
                </w:p>
              </w:tc>
              <w:tc>
                <w:tcPr>
                  <w:tcW w:w="2160" w:type="pct"/>
                  <w:vAlign w:val="center"/>
                </w:tcPr>
                <w:p w14:paraId="6A289440">
                  <w:pPr>
                    <w:pStyle w:val="26"/>
                    <w:adjustRightInd w:val="0"/>
                    <w:snapToGrid w:val="0"/>
                    <w:spacing w:before="0" w:beforeAutospacing="0" w:after="0" w:afterAutospacing="0"/>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1.</w:t>
                  </w:r>
                  <w:r>
                    <w:rPr>
                      <w:rFonts w:hint="eastAsia" w:ascii="Times New Roman" w:hAnsi="Times New Roman"/>
                      <w:color w:val="auto"/>
                      <w:sz w:val="21"/>
                      <w:szCs w:val="21"/>
                      <w:highlight w:val="none"/>
                    </w:rPr>
                    <w:t>加强规划引导，优化产业布局。</w:t>
                  </w:r>
                </w:p>
                <w:p w14:paraId="010FC2AB">
                  <w:pPr>
                    <w:pStyle w:val="26"/>
                    <w:adjustRightInd w:val="0"/>
                    <w:snapToGrid w:val="0"/>
                    <w:spacing w:before="0" w:beforeAutospacing="0" w:after="0" w:afterAutospacing="0"/>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2.</w:t>
                  </w:r>
                  <w:r>
                    <w:rPr>
                      <w:rFonts w:hint="eastAsia" w:ascii="Times New Roman" w:hAnsi="Times New Roman"/>
                      <w:color w:val="auto"/>
                      <w:sz w:val="21"/>
                      <w:szCs w:val="21"/>
                      <w:highlight w:val="none"/>
                    </w:rPr>
                    <w:t>严格项目准入，落实管控要求。严格遵守生态环境分区管控要求，落实项目生态环境准入清单，禁止新建高能耗、高污染、高耗水项目。</w:t>
                  </w:r>
                </w:p>
              </w:tc>
              <w:tc>
                <w:tcPr>
                  <w:tcW w:w="1813" w:type="pct"/>
                  <w:vAlign w:val="center"/>
                </w:tcPr>
                <w:p w14:paraId="2546C951">
                  <w:pPr>
                    <w:pStyle w:val="46"/>
                    <w:snapToGrid w:val="0"/>
                    <w:jc w:val="both"/>
                    <w:rPr>
                      <w:rFonts w:hint="eastAsia" w:ascii="Times New Roman" w:eastAsia="宋体" w:cs="Times New Roman"/>
                      <w:color w:val="auto"/>
                      <w:sz w:val="21"/>
                      <w:szCs w:val="21"/>
                      <w:highlight w:val="none"/>
                      <w:lang w:eastAsia="zh-CN"/>
                    </w:rPr>
                  </w:pPr>
                  <w:r>
                    <w:rPr>
                      <w:rFonts w:ascii="Times New Roman" w:cs="Times New Roman"/>
                      <w:color w:val="auto"/>
                      <w:sz w:val="21"/>
                      <w:szCs w:val="21"/>
                      <w:highlight w:val="none"/>
                    </w:rPr>
                    <w:t>本项目不属于“两高”行业项目</w:t>
                  </w:r>
                  <w:r>
                    <w:rPr>
                      <w:rFonts w:hint="eastAsia" w:ascii="Times New Roman" w:cs="Times New Roman"/>
                      <w:color w:val="auto"/>
                      <w:sz w:val="21"/>
                      <w:szCs w:val="21"/>
                      <w:highlight w:val="none"/>
                    </w:rPr>
                    <w:t>，同时符合园区环境准入要求。运营期产生的污染物在采取环评提出的措施后废气、噪声均可达标排放；生活污水经化粪池处理后，用于周边农田施肥，不外排；</w:t>
                  </w:r>
                  <w:r>
                    <w:rPr>
                      <w:rFonts w:hint="eastAsia" w:ascii="Times New Roman" w:cs="Times New Roman"/>
                      <w:color w:val="auto"/>
                      <w:sz w:val="21"/>
                      <w:szCs w:val="21"/>
                      <w:highlight w:val="none"/>
                      <w:lang w:val="en-US" w:eastAsia="zh-CN"/>
                    </w:rPr>
                    <w:t>洗砂废水、</w:t>
                  </w:r>
                  <w:r>
                    <w:rPr>
                      <w:rFonts w:hint="eastAsia" w:ascii="Times New Roman" w:cs="Times New Roman"/>
                      <w:color w:val="auto"/>
                      <w:sz w:val="21"/>
                      <w:szCs w:val="21"/>
                      <w:highlight w:val="none"/>
                    </w:rPr>
                    <w:t>洗车废水经沉淀池处理后回用；固体废物妥善处置，不</w:t>
                  </w:r>
                  <w:r>
                    <w:rPr>
                      <w:rFonts w:hint="eastAsia" w:ascii="Times New Roman" w:cs="Times New Roman"/>
                      <w:color w:val="auto"/>
                      <w:sz w:val="21"/>
                      <w:szCs w:val="21"/>
                      <w:highlight w:val="none"/>
                      <w:lang w:val="en-US" w:eastAsia="zh-CN"/>
                    </w:rPr>
                    <w:t>属于</w:t>
                  </w:r>
                  <w:r>
                    <w:rPr>
                      <w:rFonts w:hint="eastAsia" w:ascii="Times New Roman" w:hAnsi="Times New Roman"/>
                      <w:color w:val="auto"/>
                      <w:sz w:val="21"/>
                      <w:szCs w:val="21"/>
                      <w:highlight w:val="none"/>
                    </w:rPr>
                    <w:t>高能耗、高污染、高耗水项目</w:t>
                  </w:r>
                </w:p>
              </w:tc>
              <w:tc>
                <w:tcPr>
                  <w:tcW w:w="364" w:type="pct"/>
                  <w:vAlign w:val="center"/>
                </w:tcPr>
                <w:p w14:paraId="6CE76C19">
                  <w:pPr>
                    <w:pStyle w:val="46"/>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bl>
          <w:p w14:paraId="61E3BB11">
            <w:pPr>
              <w:pStyle w:val="31"/>
              <w:ind w:left="0" w:leftChars="0" w:firstLine="0"/>
              <w:rPr>
                <w:rFonts w:eastAsia="宋体"/>
                <w:color w:val="auto"/>
                <w:sz w:val="24"/>
                <w:highlight w:val="none"/>
              </w:rPr>
            </w:pPr>
          </w:p>
          <w:p w14:paraId="742CEC22">
            <w:pPr>
              <w:rPr>
                <w:rFonts w:eastAsia="宋体"/>
                <w:color w:val="auto"/>
                <w:sz w:val="24"/>
                <w:highlight w:val="none"/>
              </w:rPr>
            </w:pPr>
          </w:p>
          <w:p w14:paraId="177971B9">
            <w:pPr>
              <w:rPr>
                <w:rFonts w:eastAsia="宋体"/>
                <w:color w:val="auto"/>
                <w:sz w:val="24"/>
                <w:highlight w:val="none"/>
              </w:rPr>
            </w:pPr>
          </w:p>
          <w:p w14:paraId="1F35D56E">
            <w:pPr>
              <w:rPr>
                <w:rFonts w:eastAsia="宋体"/>
                <w:color w:val="auto"/>
                <w:sz w:val="24"/>
                <w:highlight w:val="none"/>
              </w:rPr>
            </w:pPr>
          </w:p>
          <w:p w14:paraId="0B64D821">
            <w:pPr>
              <w:rPr>
                <w:rFonts w:eastAsia="宋体"/>
                <w:color w:val="auto"/>
                <w:sz w:val="24"/>
                <w:highlight w:val="none"/>
              </w:rPr>
            </w:pPr>
          </w:p>
          <w:p w14:paraId="6AF5D663">
            <w:pPr>
              <w:rPr>
                <w:rFonts w:eastAsia="宋体"/>
                <w:color w:val="auto"/>
                <w:sz w:val="24"/>
                <w:highlight w:val="none"/>
              </w:rPr>
            </w:pPr>
          </w:p>
          <w:p w14:paraId="130DBCD2">
            <w:pPr>
              <w:rPr>
                <w:rFonts w:eastAsia="宋体"/>
                <w:color w:val="auto"/>
                <w:sz w:val="24"/>
                <w:highlight w:val="none"/>
              </w:rPr>
            </w:pPr>
          </w:p>
          <w:p w14:paraId="5E5D2DA4">
            <w:pPr>
              <w:rPr>
                <w:rFonts w:eastAsia="宋体"/>
                <w:color w:val="auto"/>
                <w:sz w:val="24"/>
                <w:highlight w:val="none"/>
              </w:rPr>
            </w:pPr>
          </w:p>
          <w:p w14:paraId="746282DD">
            <w:pPr>
              <w:rPr>
                <w:rFonts w:eastAsia="宋体"/>
                <w:color w:val="auto"/>
                <w:sz w:val="24"/>
                <w:highlight w:val="none"/>
              </w:rPr>
            </w:pPr>
          </w:p>
          <w:p w14:paraId="350318FC">
            <w:pPr>
              <w:rPr>
                <w:rFonts w:eastAsia="宋体"/>
                <w:color w:val="auto"/>
                <w:sz w:val="24"/>
                <w:highlight w:val="none"/>
              </w:rPr>
            </w:pPr>
          </w:p>
          <w:p w14:paraId="0B30B3C6">
            <w:pPr>
              <w:pStyle w:val="2"/>
              <w:rPr>
                <w:rFonts w:eastAsia="宋体"/>
                <w:color w:val="auto"/>
                <w:sz w:val="24"/>
                <w:highlight w:val="none"/>
              </w:rPr>
            </w:pPr>
          </w:p>
          <w:p w14:paraId="1C434F9A"/>
        </w:tc>
      </w:tr>
      <w:tr w14:paraId="53B11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5" w:hRule="atLeast"/>
          <w:jc w:val="center"/>
        </w:trPr>
        <w:tc>
          <w:tcPr>
            <w:tcW w:w="617" w:type="dxa"/>
            <w:vAlign w:val="center"/>
          </w:tcPr>
          <w:p w14:paraId="1746E462">
            <w:pPr>
              <w:autoSpaceDE w:val="0"/>
              <w:autoSpaceDN w:val="0"/>
              <w:adjustRightInd w:val="0"/>
              <w:snapToGrid w:val="0"/>
              <w:jc w:val="center"/>
              <w:rPr>
                <w:color w:val="auto"/>
                <w:kern w:val="0"/>
                <w:sz w:val="24"/>
                <w:highlight w:val="none"/>
              </w:rPr>
            </w:pPr>
          </w:p>
          <w:p w14:paraId="5347E8E0">
            <w:pPr>
              <w:autoSpaceDE w:val="0"/>
              <w:autoSpaceDN w:val="0"/>
              <w:adjustRightInd w:val="0"/>
              <w:snapToGrid w:val="0"/>
              <w:jc w:val="center"/>
              <w:rPr>
                <w:color w:val="auto"/>
                <w:kern w:val="0"/>
                <w:sz w:val="24"/>
                <w:highlight w:val="none"/>
              </w:rPr>
            </w:pPr>
          </w:p>
          <w:p w14:paraId="5FA14EA9">
            <w:pPr>
              <w:autoSpaceDE w:val="0"/>
              <w:autoSpaceDN w:val="0"/>
              <w:adjustRightInd w:val="0"/>
              <w:snapToGrid w:val="0"/>
              <w:jc w:val="center"/>
              <w:rPr>
                <w:color w:val="auto"/>
                <w:kern w:val="0"/>
                <w:sz w:val="24"/>
                <w:highlight w:val="none"/>
              </w:rPr>
            </w:pPr>
          </w:p>
          <w:p w14:paraId="7DF3A1D9">
            <w:pPr>
              <w:autoSpaceDE w:val="0"/>
              <w:autoSpaceDN w:val="0"/>
              <w:adjustRightInd w:val="0"/>
              <w:snapToGrid w:val="0"/>
              <w:jc w:val="center"/>
              <w:rPr>
                <w:color w:val="auto"/>
                <w:kern w:val="0"/>
                <w:sz w:val="24"/>
                <w:highlight w:val="none"/>
              </w:rPr>
            </w:pPr>
          </w:p>
          <w:p w14:paraId="45047919">
            <w:pPr>
              <w:autoSpaceDE w:val="0"/>
              <w:autoSpaceDN w:val="0"/>
              <w:adjustRightInd w:val="0"/>
              <w:snapToGrid w:val="0"/>
              <w:jc w:val="center"/>
              <w:rPr>
                <w:color w:val="auto"/>
                <w:kern w:val="0"/>
                <w:sz w:val="24"/>
                <w:highlight w:val="none"/>
              </w:rPr>
            </w:pPr>
          </w:p>
          <w:p w14:paraId="20AE9831">
            <w:pPr>
              <w:autoSpaceDE w:val="0"/>
              <w:autoSpaceDN w:val="0"/>
              <w:adjustRightInd w:val="0"/>
              <w:snapToGrid w:val="0"/>
              <w:jc w:val="center"/>
              <w:rPr>
                <w:color w:val="auto"/>
                <w:kern w:val="0"/>
                <w:sz w:val="24"/>
                <w:highlight w:val="none"/>
              </w:rPr>
            </w:pPr>
          </w:p>
          <w:p w14:paraId="3D91E23B">
            <w:pPr>
              <w:autoSpaceDE w:val="0"/>
              <w:autoSpaceDN w:val="0"/>
              <w:adjustRightInd w:val="0"/>
              <w:snapToGrid w:val="0"/>
              <w:jc w:val="center"/>
              <w:rPr>
                <w:color w:val="auto"/>
                <w:kern w:val="0"/>
                <w:sz w:val="24"/>
                <w:highlight w:val="none"/>
              </w:rPr>
            </w:pPr>
          </w:p>
          <w:p w14:paraId="388B474E">
            <w:pPr>
              <w:autoSpaceDE w:val="0"/>
              <w:autoSpaceDN w:val="0"/>
              <w:adjustRightInd w:val="0"/>
              <w:snapToGrid w:val="0"/>
              <w:jc w:val="center"/>
              <w:rPr>
                <w:color w:val="auto"/>
                <w:kern w:val="0"/>
                <w:sz w:val="24"/>
                <w:highlight w:val="none"/>
              </w:rPr>
            </w:pPr>
          </w:p>
          <w:p w14:paraId="6E343262">
            <w:pPr>
              <w:pStyle w:val="41"/>
              <w:rPr>
                <w:color w:val="auto"/>
                <w:kern w:val="0"/>
                <w:highlight w:val="none"/>
              </w:rPr>
            </w:pPr>
          </w:p>
          <w:p w14:paraId="6066917D">
            <w:pPr>
              <w:autoSpaceDE w:val="0"/>
              <w:autoSpaceDN w:val="0"/>
              <w:adjustRightInd w:val="0"/>
              <w:snapToGrid w:val="0"/>
              <w:jc w:val="center"/>
              <w:rPr>
                <w:color w:val="auto"/>
                <w:kern w:val="0"/>
                <w:sz w:val="24"/>
                <w:highlight w:val="none"/>
              </w:rPr>
            </w:pPr>
          </w:p>
          <w:p w14:paraId="5E8CCBA9">
            <w:pPr>
              <w:autoSpaceDE w:val="0"/>
              <w:autoSpaceDN w:val="0"/>
              <w:adjustRightInd w:val="0"/>
              <w:snapToGrid w:val="0"/>
              <w:jc w:val="center"/>
              <w:rPr>
                <w:color w:val="auto"/>
                <w:kern w:val="0"/>
                <w:sz w:val="24"/>
                <w:highlight w:val="none"/>
              </w:rPr>
            </w:pPr>
          </w:p>
          <w:p w14:paraId="6C74C77D">
            <w:pPr>
              <w:autoSpaceDE w:val="0"/>
              <w:autoSpaceDN w:val="0"/>
              <w:adjustRightInd w:val="0"/>
              <w:snapToGrid w:val="0"/>
              <w:jc w:val="center"/>
              <w:rPr>
                <w:color w:val="auto"/>
                <w:kern w:val="0"/>
                <w:sz w:val="24"/>
                <w:highlight w:val="none"/>
              </w:rPr>
            </w:pPr>
          </w:p>
          <w:p w14:paraId="5A2E9337">
            <w:pPr>
              <w:autoSpaceDE w:val="0"/>
              <w:autoSpaceDN w:val="0"/>
              <w:adjustRightInd w:val="0"/>
              <w:snapToGrid w:val="0"/>
              <w:jc w:val="center"/>
              <w:rPr>
                <w:color w:val="auto"/>
                <w:kern w:val="0"/>
                <w:sz w:val="24"/>
                <w:highlight w:val="none"/>
              </w:rPr>
            </w:pPr>
          </w:p>
          <w:p w14:paraId="1222399D">
            <w:pPr>
              <w:pStyle w:val="31"/>
              <w:rPr>
                <w:color w:val="auto"/>
                <w:sz w:val="24"/>
                <w:highlight w:val="none"/>
              </w:rPr>
            </w:pPr>
          </w:p>
          <w:p w14:paraId="43E15291">
            <w:pPr>
              <w:pStyle w:val="31"/>
              <w:rPr>
                <w:color w:val="auto"/>
                <w:sz w:val="24"/>
                <w:highlight w:val="none"/>
              </w:rPr>
            </w:pPr>
          </w:p>
          <w:p w14:paraId="17BADA23">
            <w:pPr>
              <w:autoSpaceDE w:val="0"/>
              <w:autoSpaceDN w:val="0"/>
              <w:adjustRightInd w:val="0"/>
              <w:snapToGrid w:val="0"/>
              <w:jc w:val="center"/>
              <w:rPr>
                <w:color w:val="auto"/>
                <w:kern w:val="0"/>
                <w:sz w:val="24"/>
                <w:highlight w:val="none"/>
              </w:rPr>
            </w:pPr>
            <w:r>
              <w:rPr>
                <w:color w:val="auto"/>
                <w:kern w:val="0"/>
                <w:sz w:val="24"/>
                <w:highlight w:val="none"/>
              </w:rPr>
              <w:t>其</w:t>
            </w:r>
          </w:p>
          <w:p w14:paraId="66DB7DBE">
            <w:pPr>
              <w:autoSpaceDE w:val="0"/>
              <w:autoSpaceDN w:val="0"/>
              <w:adjustRightInd w:val="0"/>
              <w:snapToGrid w:val="0"/>
              <w:jc w:val="center"/>
              <w:rPr>
                <w:color w:val="auto"/>
                <w:kern w:val="0"/>
                <w:sz w:val="24"/>
                <w:highlight w:val="none"/>
              </w:rPr>
            </w:pPr>
            <w:r>
              <w:rPr>
                <w:color w:val="auto"/>
                <w:kern w:val="0"/>
                <w:sz w:val="24"/>
                <w:highlight w:val="none"/>
              </w:rPr>
              <w:t>他</w:t>
            </w:r>
          </w:p>
          <w:p w14:paraId="067D8CCB">
            <w:pPr>
              <w:autoSpaceDE w:val="0"/>
              <w:autoSpaceDN w:val="0"/>
              <w:adjustRightInd w:val="0"/>
              <w:snapToGrid w:val="0"/>
              <w:jc w:val="center"/>
              <w:rPr>
                <w:color w:val="auto"/>
                <w:kern w:val="0"/>
                <w:sz w:val="24"/>
                <w:highlight w:val="none"/>
              </w:rPr>
            </w:pPr>
            <w:r>
              <w:rPr>
                <w:color w:val="auto"/>
                <w:kern w:val="0"/>
                <w:sz w:val="24"/>
                <w:highlight w:val="none"/>
              </w:rPr>
              <w:t>符</w:t>
            </w:r>
          </w:p>
          <w:p w14:paraId="7A33CB5E">
            <w:pPr>
              <w:autoSpaceDE w:val="0"/>
              <w:autoSpaceDN w:val="0"/>
              <w:adjustRightInd w:val="0"/>
              <w:snapToGrid w:val="0"/>
              <w:jc w:val="center"/>
              <w:rPr>
                <w:color w:val="auto"/>
                <w:kern w:val="0"/>
                <w:sz w:val="24"/>
                <w:highlight w:val="none"/>
              </w:rPr>
            </w:pPr>
            <w:r>
              <w:rPr>
                <w:color w:val="auto"/>
                <w:kern w:val="0"/>
                <w:sz w:val="24"/>
                <w:highlight w:val="none"/>
              </w:rPr>
              <w:t>合</w:t>
            </w:r>
          </w:p>
          <w:p w14:paraId="715211ED">
            <w:pPr>
              <w:autoSpaceDE w:val="0"/>
              <w:autoSpaceDN w:val="0"/>
              <w:adjustRightInd w:val="0"/>
              <w:snapToGrid w:val="0"/>
              <w:jc w:val="center"/>
              <w:rPr>
                <w:color w:val="auto"/>
                <w:kern w:val="0"/>
                <w:sz w:val="24"/>
                <w:highlight w:val="none"/>
              </w:rPr>
            </w:pPr>
            <w:r>
              <w:rPr>
                <w:color w:val="auto"/>
                <w:kern w:val="0"/>
                <w:sz w:val="24"/>
                <w:highlight w:val="none"/>
              </w:rPr>
              <w:t>性</w:t>
            </w:r>
          </w:p>
          <w:p w14:paraId="2B67E846">
            <w:pPr>
              <w:autoSpaceDE w:val="0"/>
              <w:autoSpaceDN w:val="0"/>
              <w:adjustRightInd w:val="0"/>
              <w:snapToGrid w:val="0"/>
              <w:jc w:val="center"/>
              <w:rPr>
                <w:color w:val="auto"/>
                <w:kern w:val="0"/>
                <w:sz w:val="24"/>
                <w:highlight w:val="none"/>
              </w:rPr>
            </w:pPr>
            <w:r>
              <w:rPr>
                <w:color w:val="auto"/>
                <w:kern w:val="0"/>
                <w:sz w:val="24"/>
                <w:highlight w:val="none"/>
              </w:rPr>
              <w:t>分</w:t>
            </w:r>
          </w:p>
          <w:p w14:paraId="250EFCEB">
            <w:pPr>
              <w:autoSpaceDE w:val="0"/>
              <w:autoSpaceDN w:val="0"/>
              <w:adjustRightInd w:val="0"/>
              <w:snapToGrid w:val="0"/>
              <w:jc w:val="center"/>
              <w:rPr>
                <w:color w:val="auto"/>
                <w:kern w:val="0"/>
                <w:sz w:val="24"/>
                <w:highlight w:val="none"/>
              </w:rPr>
            </w:pPr>
            <w:r>
              <w:rPr>
                <w:color w:val="auto"/>
                <w:kern w:val="0"/>
                <w:sz w:val="24"/>
                <w:highlight w:val="none"/>
              </w:rPr>
              <w:t>析</w:t>
            </w:r>
          </w:p>
          <w:p w14:paraId="51EE54C9">
            <w:pPr>
              <w:autoSpaceDE w:val="0"/>
              <w:autoSpaceDN w:val="0"/>
              <w:adjustRightInd w:val="0"/>
              <w:snapToGrid w:val="0"/>
              <w:jc w:val="center"/>
              <w:rPr>
                <w:color w:val="auto"/>
                <w:kern w:val="0"/>
                <w:sz w:val="24"/>
                <w:highlight w:val="none"/>
              </w:rPr>
            </w:pPr>
          </w:p>
          <w:p w14:paraId="52C1F70D">
            <w:pPr>
              <w:autoSpaceDE w:val="0"/>
              <w:autoSpaceDN w:val="0"/>
              <w:adjustRightInd w:val="0"/>
              <w:snapToGrid w:val="0"/>
              <w:jc w:val="center"/>
              <w:rPr>
                <w:color w:val="auto"/>
                <w:kern w:val="0"/>
                <w:sz w:val="24"/>
                <w:highlight w:val="none"/>
              </w:rPr>
            </w:pPr>
          </w:p>
          <w:p w14:paraId="01BF4C73">
            <w:pPr>
              <w:autoSpaceDE w:val="0"/>
              <w:autoSpaceDN w:val="0"/>
              <w:adjustRightInd w:val="0"/>
              <w:snapToGrid w:val="0"/>
              <w:jc w:val="center"/>
              <w:rPr>
                <w:color w:val="auto"/>
                <w:kern w:val="0"/>
                <w:sz w:val="24"/>
                <w:highlight w:val="none"/>
              </w:rPr>
            </w:pPr>
          </w:p>
          <w:p w14:paraId="7A00B303">
            <w:pPr>
              <w:autoSpaceDE w:val="0"/>
              <w:autoSpaceDN w:val="0"/>
              <w:adjustRightInd w:val="0"/>
              <w:snapToGrid w:val="0"/>
              <w:jc w:val="center"/>
              <w:rPr>
                <w:color w:val="auto"/>
                <w:kern w:val="0"/>
                <w:sz w:val="24"/>
                <w:highlight w:val="none"/>
              </w:rPr>
            </w:pPr>
          </w:p>
          <w:p w14:paraId="1BFAD03E">
            <w:pPr>
              <w:autoSpaceDE w:val="0"/>
              <w:autoSpaceDN w:val="0"/>
              <w:adjustRightInd w:val="0"/>
              <w:snapToGrid w:val="0"/>
              <w:jc w:val="center"/>
              <w:rPr>
                <w:color w:val="auto"/>
                <w:kern w:val="0"/>
                <w:sz w:val="24"/>
                <w:highlight w:val="none"/>
              </w:rPr>
            </w:pPr>
          </w:p>
          <w:p w14:paraId="3ABD9C9C">
            <w:pPr>
              <w:autoSpaceDE w:val="0"/>
              <w:autoSpaceDN w:val="0"/>
              <w:adjustRightInd w:val="0"/>
              <w:snapToGrid w:val="0"/>
              <w:jc w:val="center"/>
              <w:rPr>
                <w:color w:val="auto"/>
                <w:kern w:val="0"/>
                <w:sz w:val="24"/>
                <w:highlight w:val="none"/>
              </w:rPr>
            </w:pPr>
          </w:p>
          <w:p w14:paraId="7A9FE707">
            <w:pPr>
              <w:autoSpaceDE w:val="0"/>
              <w:autoSpaceDN w:val="0"/>
              <w:adjustRightInd w:val="0"/>
              <w:snapToGrid w:val="0"/>
              <w:jc w:val="center"/>
              <w:rPr>
                <w:color w:val="auto"/>
                <w:kern w:val="0"/>
                <w:sz w:val="24"/>
                <w:highlight w:val="none"/>
              </w:rPr>
            </w:pPr>
          </w:p>
          <w:p w14:paraId="4A1F29DF">
            <w:pPr>
              <w:autoSpaceDE w:val="0"/>
              <w:autoSpaceDN w:val="0"/>
              <w:adjustRightInd w:val="0"/>
              <w:snapToGrid w:val="0"/>
              <w:jc w:val="center"/>
              <w:rPr>
                <w:color w:val="auto"/>
                <w:kern w:val="0"/>
                <w:sz w:val="24"/>
                <w:highlight w:val="none"/>
              </w:rPr>
            </w:pPr>
          </w:p>
          <w:p w14:paraId="7DC7AB99">
            <w:pPr>
              <w:autoSpaceDE w:val="0"/>
              <w:autoSpaceDN w:val="0"/>
              <w:adjustRightInd w:val="0"/>
              <w:snapToGrid w:val="0"/>
              <w:jc w:val="center"/>
              <w:rPr>
                <w:color w:val="auto"/>
                <w:kern w:val="0"/>
                <w:sz w:val="24"/>
                <w:highlight w:val="none"/>
              </w:rPr>
            </w:pPr>
          </w:p>
          <w:p w14:paraId="2F9A6B2F">
            <w:pPr>
              <w:autoSpaceDE w:val="0"/>
              <w:autoSpaceDN w:val="0"/>
              <w:adjustRightInd w:val="0"/>
              <w:snapToGrid w:val="0"/>
              <w:jc w:val="center"/>
              <w:rPr>
                <w:color w:val="auto"/>
                <w:kern w:val="0"/>
                <w:sz w:val="24"/>
                <w:highlight w:val="none"/>
              </w:rPr>
            </w:pPr>
          </w:p>
          <w:p w14:paraId="004B0B92">
            <w:pPr>
              <w:autoSpaceDE w:val="0"/>
              <w:autoSpaceDN w:val="0"/>
              <w:adjustRightInd w:val="0"/>
              <w:snapToGrid w:val="0"/>
              <w:jc w:val="center"/>
              <w:rPr>
                <w:color w:val="auto"/>
                <w:kern w:val="0"/>
                <w:sz w:val="24"/>
                <w:highlight w:val="none"/>
              </w:rPr>
            </w:pPr>
          </w:p>
          <w:p w14:paraId="38103750">
            <w:pPr>
              <w:autoSpaceDE w:val="0"/>
              <w:autoSpaceDN w:val="0"/>
              <w:adjustRightInd w:val="0"/>
              <w:snapToGrid w:val="0"/>
              <w:jc w:val="center"/>
              <w:rPr>
                <w:color w:val="auto"/>
                <w:kern w:val="0"/>
                <w:sz w:val="24"/>
                <w:highlight w:val="none"/>
              </w:rPr>
            </w:pPr>
          </w:p>
          <w:p w14:paraId="0150ABA8">
            <w:pPr>
              <w:autoSpaceDE w:val="0"/>
              <w:autoSpaceDN w:val="0"/>
              <w:adjustRightInd w:val="0"/>
              <w:snapToGrid w:val="0"/>
              <w:jc w:val="center"/>
              <w:rPr>
                <w:color w:val="auto"/>
                <w:kern w:val="0"/>
                <w:sz w:val="24"/>
                <w:highlight w:val="none"/>
              </w:rPr>
            </w:pPr>
          </w:p>
          <w:p w14:paraId="3DC0D8BF">
            <w:pPr>
              <w:autoSpaceDE w:val="0"/>
              <w:autoSpaceDN w:val="0"/>
              <w:adjustRightInd w:val="0"/>
              <w:snapToGrid w:val="0"/>
              <w:jc w:val="center"/>
              <w:rPr>
                <w:color w:val="auto"/>
                <w:kern w:val="0"/>
                <w:sz w:val="24"/>
                <w:highlight w:val="none"/>
              </w:rPr>
            </w:pPr>
          </w:p>
          <w:p w14:paraId="62F7CC9E">
            <w:pPr>
              <w:autoSpaceDE w:val="0"/>
              <w:autoSpaceDN w:val="0"/>
              <w:adjustRightInd w:val="0"/>
              <w:snapToGrid w:val="0"/>
              <w:jc w:val="center"/>
              <w:rPr>
                <w:color w:val="auto"/>
                <w:kern w:val="0"/>
                <w:sz w:val="24"/>
                <w:highlight w:val="none"/>
              </w:rPr>
            </w:pPr>
          </w:p>
          <w:p w14:paraId="0EAFA2B4">
            <w:pPr>
              <w:autoSpaceDE w:val="0"/>
              <w:autoSpaceDN w:val="0"/>
              <w:adjustRightInd w:val="0"/>
              <w:snapToGrid w:val="0"/>
              <w:rPr>
                <w:color w:val="auto"/>
                <w:kern w:val="0"/>
                <w:sz w:val="24"/>
                <w:highlight w:val="none"/>
              </w:rPr>
            </w:pPr>
          </w:p>
        </w:tc>
        <w:tc>
          <w:tcPr>
            <w:tcW w:w="8253" w:type="dxa"/>
            <w:gridSpan w:val="4"/>
          </w:tcPr>
          <w:p w14:paraId="75E16209">
            <w:pPr>
              <w:adjustRightInd w:val="0"/>
              <w:snapToGrid w:val="0"/>
              <w:spacing w:line="360" w:lineRule="auto"/>
              <w:ind w:firstLine="480" w:firstLineChars="200"/>
              <w:rPr>
                <w:color w:val="auto"/>
                <w:sz w:val="24"/>
                <w:highlight w:val="none"/>
              </w:rPr>
            </w:pPr>
            <w:r>
              <w:rPr>
                <w:color w:val="auto"/>
                <w:sz w:val="24"/>
                <w:highlight w:val="none"/>
              </w:rPr>
              <w:t>1、产业政策符合性</w:t>
            </w:r>
          </w:p>
          <w:p w14:paraId="523C0D5B">
            <w:pPr>
              <w:snapToGrid w:val="0"/>
              <w:spacing w:line="360" w:lineRule="auto"/>
              <w:ind w:firstLine="480" w:firstLineChars="200"/>
              <w:rPr>
                <w:color w:val="auto"/>
                <w:sz w:val="24"/>
                <w:highlight w:val="none"/>
              </w:rPr>
            </w:pPr>
            <w:r>
              <w:rPr>
                <w:rFonts w:hint="eastAsia"/>
                <w:color w:val="auto"/>
                <w:sz w:val="24"/>
                <w:highlight w:val="none"/>
                <w:lang w:val="en-US" w:eastAsia="zh-CN"/>
              </w:rPr>
              <w:t>本项目主要生产</w:t>
            </w:r>
            <w:r>
              <w:rPr>
                <w:rFonts w:hint="eastAsia"/>
                <w:color w:val="auto"/>
                <w:sz w:val="24"/>
                <w:highlight w:val="none"/>
              </w:rPr>
              <w:t>超细重钙、高端彩砂、骨料碎石及水洗（机制）沙及特种干混砂浆。对照《产业结构调整指导目录（2024本）》，</w:t>
            </w:r>
            <w:r>
              <w:rPr>
                <w:rFonts w:hint="eastAsia" w:cs="宋体"/>
                <w:color w:val="auto"/>
                <w:sz w:val="24"/>
                <w:highlight w:val="none"/>
              </w:rPr>
              <w:t>本项目不属于目录中的限制及淘汰类，为允许类项目</w:t>
            </w:r>
            <w:r>
              <w:rPr>
                <w:rFonts w:hint="eastAsia"/>
                <w:color w:val="auto"/>
                <w:sz w:val="24"/>
                <w:highlight w:val="none"/>
              </w:rPr>
              <w:t>，故本项目建设符合国家产业政策。此外，</w:t>
            </w:r>
            <w:r>
              <w:rPr>
                <w:color w:val="auto"/>
                <w:sz w:val="24"/>
                <w:highlight w:val="none"/>
              </w:rPr>
              <w:t>本项目已取得陕西省企业投资项目备案确认书（</w:t>
            </w:r>
            <w:r>
              <w:rPr>
                <w:rFonts w:hint="eastAsia"/>
                <w:color w:val="auto"/>
                <w:sz w:val="24"/>
                <w:highlight w:val="none"/>
              </w:rPr>
              <w:t>2510-610723-04-05-677184</w:t>
            </w:r>
            <w:r>
              <w:rPr>
                <w:color w:val="auto"/>
                <w:sz w:val="24"/>
                <w:highlight w:val="none"/>
              </w:rPr>
              <w:t>），项目符合地方产业政策。</w:t>
            </w:r>
          </w:p>
          <w:p w14:paraId="0352E129">
            <w:pPr>
              <w:pStyle w:val="46"/>
              <w:spacing w:line="360" w:lineRule="auto"/>
              <w:ind w:firstLine="480" w:firstLineChars="200"/>
              <w:rPr>
                <w:color w:val="auto"/>
                <w:highlight w:val="none"/>
              </w:rPr>
            </w:pPr>
            <w:r>
              <w:rPr>
                <w:color w:val="auto"/>
                <w:highlight w:val="none"/>
              </w:rPr>
              <w:t>综上，本项目符合国家与地方</w:t>
            </w:r>
            <w:r>
              <w:rPr>
                <w:rFonts w:hint="eastAsia"/>
                <w:color w:val="auto"/>
                <w:highlight w:val="none"/>
              </w:rPr>
              <w:t>现行</w:t>
            </w:r>
            <w:r>
              <w:rPr>
                <w:color w:val="auto"/>
                <w:highlight w:val="none"/>
              </w:rPr>
              <w:t>产业政策。</w:t>
            </w:r>
          </w:p>
          <w:p w14:paraId="7B1518D0">
            <w:pPr>
              <w:numPr>
                <w:ilvl w:val="0"/>
                <w:numId w:val="1"/>
              </w:numPr>
              <w:autoSpaceDE w:val="0"/>
              <w:autoSpaceDN w:val="0"/>
              <w:adjustRightInd w:val="0"/>
              <w:snapToGrid w:val="0"/>
              <w:spacing w:line="360" w:lineRule="auto"/>
              <w:ind w:firstLine="480" w:firstLineChars="200"/>
              <w:rPr>
                <w:color w:val="auto"/>
                <w:sz w:val="24"/>
                <w:highlight w:val="none"/>
              </w:rPr>
            </w:pPr>
            <w:r>
              <w:rPr>
                <w:color w:val="auto"/>
                <w:sz w:val="24"/>
                <w:highlight w:val="none"/>
              </w:rPr>
              <w:t>“三线一单”符合性分析</w:t>
            </w:r>
          </w:p>
          <w:p w14:paraId="3AE0CA75">
            <w:pPr>
              <w:autoSpaceDE w:val="0"/>
              <w:autoSpaceDN w:val="0"/>
              <w:adjustRightInd w:val="0"/>
              <w:snapToGrid w:val="0"/>
              <w:spacing w:line="360" w:lineRule="auto"/>
              <w:ind w:firstLine="480" w:firstLineChars="200"/>
              <w:rPr>
                <w:b/>
                <w:bCs/>
                <w:color w:val="auto"/>
                <w:sz w:val="24"/>
                <w:highlight w:val="none"/>
              </w:rPr>
            </w:pPr>
            <w:r>
              <w:rPr>
                <w:rFonts w:hint="eastAsia"/>
                <w:color w:val="auto"/>
                <w:sz w:val="24"/>
                <w:highlight w:val="none"/>
              </w:rPr>
              <w:t>根据《关于以改善环境质量为核心加强环境影响评价管理的通知》（环环评〔2016〕150号）规定，建设项目“三线一单”相符性分析如下：</w:t>
            </w:r>
          </w:p>
          <w:p w14:paraId="6EFC0A7C">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 xml:space="preserve">1-1  </w:t>
            </w:r>
            <w:r>
              <w:rPr>
                <w:b/>
                <w:bCs/>
                <w:color w:val="auto"/>
                <w:szCs w:val="21"/>
                <w:highlight w:val="none"/>
              </w:rPr>
              <w:t>与</w:t>
            </w:r>
            <w:r>
              <w:rPr>
                <w:rFonts w:hint="eastAsia"/>
                <w:b/>
                <w:bCs/>
                <w:color w:val="auto"/>
                <w:szCs w:val="21"/>
                <w:highlight w:val="none"/>
              </w:rPr>
              <w:t>“三线一单”的符合性分析</w:t>
            </w:r>
          </w:p>
          <w:tbl>
            <w:tblPr>
              <w:tblStyle w:val="32"/>
              <w:tblW w:w="81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4625"/>
              <w:gridCol w:w="2157"/>
              <w:gridCol w:w="727"/>
            </w:tblGrid>
            <w:tr w14:paraId="35F43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restart"/>
                  <w:vAlign w:val="center"/>
                </w:tcPr>
                <w:p w14:paraId="66E78FB6">
                  <w:pPr>
                    <w:adjustRightInd w:val="0"/>
                    <w:snapToGrid w:val="0"/>
                    <w:jc w:val="center"/>
                    <w:rPr>
                      <w:color w:val="auto"/>
                      <w:szCs w:val="21"/>
                      <w:highlight w:val="none"/>
                    </w:rPr>
                  </w:pPr>
                  <w:r>
                    <w:rPr>
                      <w:color w:val="auto"/>
                      <w:highlight w:val="none"/>
                    </w:rPr>
                    <w:t>强化“三线一单”约束作用</w:t>
                  </w:r>
                </w:p>
              </w:tc>
              <w:tc>
                <w:tcPr>
                  <w:tcW w:w="4625" w:type="dxa"/>
                  <w:vAlign w:val="center"/>
                </w:tcPr>
                <w:p w14:paraId="7413A385">
                  <w:pPr>
                    <w:autoSpaceDE w:val="0"/>
                    <w:autoSpaceDN w:val="0"/>
                    <w:adjustRightInd w:val="0"/>
                    <w:snapToGrid w:val="0"/>
                    <w:jc w:val="center"/>
                    <w:rPr>
                      <w:color w:val="auto"/>
                      <w:szCs w:val="21"/>
                      <w:highlight w:val="none"/>
                    </w:rPr>
                  </w:pPr>
                  <w:r>
                    <w:rPr>
                      <w:rFonts w:hint="eastAsia"/>
                      <w:color w:val="auto"/>
                      <w:highlight w:val="none"/>
                    </w:rPr>
                    <w:t>“三线一单”约束作用</w:t>
                  </w:r>
                </w:p>
              </w:tc>
              <w:tc>
                <w:tcPr>
                  <w:tcW w:w="2157" w:type="dxa"/>
                  <w:vAlign w:val="center"/>
                </w:tcPr>
                <w:p w14:paraId="7072BF2D">
                  <w:pPr>
                    <w:autoSpaceDE w:val="0"/>
                    <w:autoSpaceDN w:val="0"/>
                    <w:adjustRightInd w:val="0"/>
                    <w:snapToGrid w:val="0"/>
                    <w:jc w:val="center"/>
                    <w:rPr>
                      <w:color w:val="auto"/>
                      <w:szCs w:val="21"/>
                      <w:highlight w:val="none"/>
                    </w:rPr>
                  </w:pPr>
                  <w:r>
                    <w:rPr>
                      <w:color w:val="auto"/>
                      <w:highlight w:val="none"/>
                    </w:rPr>
                    <w:t>本项目情况</w:t>
                  </w:r>
                </w:p>
              </w:tc>
              <w:tc>
                <w:tcPr>
                  <w:tcW w:w="727" w:type="dxa"/>
                  <w:vAlign w:val="center"/>
                </w:tcPr>
                <w:p w14:paraId="7593297A">
                  <w:pPr>
                    <w:autoSpaceDE w:val="0"/>
                    <w:autoSpaceDN w:val="0"/>
                    <w:adjustRightInd w:val="0"/>
                    <w:snapToGrid w:val="0"/>
                    <w:jc w:val="center"/>
                    <w:rPr>
                      <w:color w:val="auto"/>
                      <w:szCs w:val="21"/>
                      <w:highlight w:val="none"/>
                    </w:rPr>
                  </w:pPr>
                  <w:r>
                    <w:rPr>
                      <w:color w:val="auto"/>
                      <w:highlight w:val="none"/>
                    </w:rPr>
                    <w:t>结论</w:t>
                  </w:r>
                </w:p>
              </w:tc>
            </w:tr>
            <w:tr w14:paraId="79AEB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5C4AC1B8">
                  <w:pPr>
                    <w:adjustRightInd w:val="0"/>
                    <w:snapToGrid w:val="0"/>
                    <w:jc w:val="center"/>
                    <w:rPr>
                      <w:color w:val="auto"/>
                      <w:szCs w:val="21"/>
                      <w:highlight w:val="none"/>
                    </w:rPr>
                  </w:pPr>
                </w:p>
              </w:tc>
              <w:tc>
                <w:tcPr>
                  <w:tcW w:w="4625" w:type="dxa"/>
                  <w:vAlign w:val="center"/>
                </w:tcPr>
                <w:p w14:paraId="2162537F">
                  <w:pPr>
                    <w:autoSpaceDE w:val="0"/>
                    <w:autoSpaceDN w:val="0"/>
                    <w:adjustRightInd w:val="0"/>
                    <w:snapToGrid w:val="0"/>
                    <w:spacing w:line="280" w:lineRule="exact"/>
                    <w:rPr>
                      <w:color w:val="auto"/>
                      <w:szCs w:val="21"/>
                      <w:highlight w:val="none"/>
                    </w:rPr>
                  </w:pPr>
                  <w:r>
                    <w:rPr>
                      <w:color w:val="auto"/>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57" w:type="dxa"/>
                  <w:vAlign w:val="center"/>
                </w:tcPr>
                <w:p w14:paraId="445F19A2">
                  <w:pPr>
                    <w:widowControl/>
                    <w:adjustRightInd w:val="0"/>
                    <w:snapToGrid w:val="0"/>
                    <w:rPr>
                      <w:color w:val="auto"/>
                      <w:szCs w:val="21"/>
                      <w:highlight w:val="none"/>
                    </w:rPr>
                  </w:pPr>
                  <w:r>
                    <w:rPr>
                      <w:color w:val="auto"/>
                      <w:highlight w:val="none"/>
                    </w:rPr>
                    <w:t>本项目</w:t>
                  </w:r>
                  <w:r>
                    <w:rPr>
                      <w:rFonts w:hint="eastAsia"/>
                      <w:color w:val="auto"/>
                      <w:highlight w:val="none"/>
                    </w:rPr>
                    <w:t>位于洋县戚氏街道（附图2），</w:t>
                  </w:r>
                  <w:r>
                    <w:rPr>
                      <w:rFonts w:hint="default" w:ascii="Times New Roman" w:hAnsi="Times New Roman" w:cs="Times New Roman"/>
                      <w:color w:val="auto"/>
                      <w:kern w:val="0"/>
                      <w:szCs w:val="21"/>
                      <w:highlight w:val="none"/>
                    </w:rPr>
                    <w:t>经对</w:t>
                  </w:r>
                  <w:r>
                    <w:rPr>
                      <w:rFonts w:hint="eastAsia" w:cs="Times New Roman"/>
                      <w:color w:val="auto"/>
                      <w:kern w:val="0"/>
                      <w:szCs w:val="21"/>
                      <w:highlight w:val="none"/>
                      <w:lang w:val="en-US" w:eastAsia="zh-CN"/>
                    </w:rPr>
                    <w:t>照</w:t>
                  </w:r>
                  <w:r>
                    <w:rPr>
                      <w:rFonts w:hint="default" w:ascii="Times New Roman" w:hAnsi="Times New Roman" w:cs="Times New Roman"/>
                      <w:color w:val="auto"/>
                      <w:kern w:val="0"/>
                      <w:szCs w:val="21"/>
                      <w:highlight w:val="none"/>
                    </w:rPr>
                    <w:t>“三线一单”，</w:t>
                  </w:r>
                  <w:r>
                    <w:rPr>
                      <w:rFonts w:hint="eastAsia"/>
                      <w:color w:val="auto"/>
                      <w:highlight w:val="none"/>
                      <w:lang w:val="en-US" w:eastAsia="zh-CN"/>
                    </w:rPr>
                    <w:t>项目</w:t>
                  </w:r>
                  <w:r>
                    <w:rPr>
                      <w:rFonts w:hint="eastAsia" w:ascii="宋体" w:hAnsi="宋体" w:cs="宋体"/>
                      <w:color w:val="auto"/>
                      <w:kern w:val="0"/>
                      <w:szCs w:val="21"/>
                      <w:highlight w:val="none"/>
                    </w:rPr>
                    <w:t>不在生态保护红线范围内</w:t>
                  </w:r>
                </w:p>
              </w:tc>
              <w:tc>
                <w:tcPr>
                  <w:tcW w:w="727" w:type="dxa"/>
                  <w:vAlign w:val="center"/>
                </w:tcPr>
                <w:p w14:paraId="06814EC8">
                  <w:pPr>
                    <w:adjustRightInd w:val="0"/>
                    <w:snapToGrid w:val="0"/>
                    <w:jc w:val="center"/>
                    <w:rPr>
                      <w:color w:val="auto"/>
                      <w:szCs w:val="21"/>
                      <w:highlight w:val="none"/>
                    </w:rPr>
                  </w:pPr>
                  <w:r>
                    <w:rPr>
                      <w:color w:val="auto"/>
                      <w:szCs w:val="21"/>
                      <w:highlight w:val="none"/>
                    </w:rPr>
                    <w:t>符合</w:t>
                  </w:r>
                </w:p>
              </w:tc>
            </w:tr>
            <w:tr w14:paraId="0A706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296B7978">
                  <w:pPr>
                    <w:adjustRightInd w:val="0"/>
                    <w:snapToGrid w:val="0"/>
                    <w:jc w:val="center"/>
                    <w:rPr>
                      <w:color w:val="auto"/>
                      <w:szCs w:val="21"/>
                      <w:highlight w:val="none"/>
                    </w:rPr>
                  </w:pPr>
                </w:p>
              </w:tc>
              <w:tc>
                <w:tcPr>
                  <w:tcW w:w="4625" w:type="dxa"/>
                  <w:vAlign w:val="center"/>
                </w:tcPr>
                <w:p w14:paraId="54494B88">
                  <w:pPr>
                    <w:widowControl/>
                    <w:adjustRightInd w:val="0"/>
                    <w:snapToGrid w:val="0"/>
                    <w:spacing w:line="280" w:lineRule="exact"/>
                    <w:rPr>
                      <w:color w:val="auto"/>
                      <w:szCs w:val="21"/>
                      <w:highlight w:val="none"/>
                    </w:rPr>
                  </w:pPr>
                  <w:r>
                    <w:rPr>
                      <w:color w:val="auto"/>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57" w:type="dxa"/>
                  <w:vAlign w:val="center"/>
                </w:tcPr>
                <w:p w14:paraId="5A90C341">
                  <w:pPr>
                    <w:pStyle w:val="46"/>
                    <w:widowControl/>
                    <w:snapToGrid w:val="0"/>
                    <w:jc w:val="both"/>
                    <w:rPr>
                      <w:color w:val="auto"/>
                      <w:szCs w:val="21"/>
                      <w:highlight w:val="none"/>
                    </w:rPr>
                  </w:pPr>
                  <w:r>
                    <w:rPr>
                      <w:rFonts w:ascii="Times New Roman" w:cs="Times New Roman"/>
                      <w:color w:val="auto"/>
                      <w:sz w:val="21"/>
                      <w:szCs w:val="21"/>
                      <w:highlight w:val="none"/>
                    </w:rPr>
                    <w:t>项目在采取报告中提出的各项污染防治措施后，不会对周围环境造成明显影响，</w:t>
                  </w:r>
                  <w:r>
                    <w:rPr>
                      <w:rFonts w:hint="eastAsia" w:ascii="Times New Roman" w:cs="Times New Roman"/>
                      <w:color w:val="auto"/>
                      <w:sz w:val="21"/>
                      <w:szCs w:val="21"/>
                      <w:highlight w:val="none"/>
                    </w:rPr>
                    <w:t>项目不会突破环境质量底线</w:t>
                  </w:r>
                </w:p>
              </w:tc>
              <w:tc>
                <w:tcPr>
                  <w:tcW w:w="727" w:type="dxa"/>
                  <w:vAlign w:val="center"/>
                </w:tcPr>
                <w:p w14:paraId="072F7CF4">
                  <w:pPr>
                    <w:adjustRightInd w:val="0"/>
                    <w:snapToGrid w:val="0"/>
                    <w:jc w:val="center"/>
                    <w:rPr>
                      <w:color w:val="auto"/>
                      <w:szCs w:val="21"/>
                      <w:highlight w:val="none"/>
                    </w:rPr>
                  </w:pPr>
                  <w:r>
                    <w:rPr>
                      <w:color w:val="auto"/>
                      <w:szCs w:val="21"/>
                      <w:highlight w:val="none"/>
                    </w:rPr>
                    <w:t>符合</w:t>
                  </w:r>
                </w:p>
              </w:tc>
            </w:tr>
            <w:tr w14:paraId="1FCD5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58A5139B">
                  <w:pPr>
                    <w:adjustRightInd w:val="0"/>
                    <w:snapToGrid w:val="0"/>
                    <w:jc w:val="center"/>
                    <w:rPr>
                      <w:color w:val="auto"/>
                      <w:szCs w:val="21"/>
                      <w:highlight w:val="none"/>
                    </w:rPr>
                  </w:pPr>
                </w:p>
              </w:tc>
              <w:tc>
                <w:tcPr>
                  <w:tcW w:w="4625" w:type="dxa"/>
                  <w:vAlign w:val="center"/>
                </w:tcPr>
                <w:p w14:paraId="36BB8C7C">
                  <w:pPr>
                    <w:widowControl/>
                    <w:adjustRightInd w:val="0"/>
                    <w:snapToGrid w:val="0"/>
                    <w:spacing w:line="280" w:lineRule="exact"/>
                    <w:rPr>
                      <w:color w:val="auto"/>
                      <w:szCs w:val="21"/>
                      <w:highlight w:val="none"/>
                    </w:rPr>
                  </w:pPr>
                  <w:r>
                    <w:rPr>
                      <w:color w:val="auto"/>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57" w:type="dxa"/>
                  <w:vAlign w:val="center"/>
                </w:tcPr>
                <w:p w14:paraId="295132AB">
                  <w:pPr>
                    <w:widowControl/>
                    <w:adjustRightInd w:val="0"/>
                    <w:snapToGrid w:val="0"/>
                    <w:rPr>
                      <w:color w:val="auto"/>
                      <w:szCs w:val="21"/>
                      <w:highlight w:val="none"/>
                    </w:rPr>
                  </w:pPr>
                  <w:r>
                    <w:rPr>
                      <w:rFonts w:hint="eastAsia"/>
                      <w:color w:val="auto"/>
                      <w:highlight w:val="none"/>
                    </w:rPr>
                    <w:t>本次</w:t>
                  </w:r>
                  <w:r>
                    <w:rPr>
                      <w:rFonts w:hint="eastAsia"/>
                      <w:color w:val="auto"/>
                      <w:highlight w:val="none"/>
                      <w:lang w:val="en-US" w:eastAsia="zh-CN"/>
                    </w:rPr>
                    <w:t>项目</w:t>
                  </w:r>
                  <w:r>
                    <w:rPr>
                      <w:rFonts w:hint="eastAsia"/>
                      <w:color w:val="auto"/>
                      <w:highlight w:val="none"/>
                    </w:rPr>
                    <w:t>不新增占地，在原有厂区内进行</w:t>
                  </w:r>
                  <w:r>
                    <w:rPr>
                      <w:rFonts w:hint="eastAsia"/>
                      <w:color w:val="auto"/>
                      <w:highlight w:val="none"/>
                      <w:lang w:val="en-US" w:eastAsia="zh-CN"/>
                    </w:rPr>
                    <w:t>建设</w:t>
                  </w:r>
                  <w:r>
                    <w:rPr>
                      <w:rFonts w:hint="eastAsia"/>
                      <w:color w:val="auto"/>
                      <w:highlight w:val="none"/>
                    </w:rPr>
                    <w:t>，</w:t>
                  </w:r>
                  <w:r>
                    <w:rPr>
                      <w:rFonts w:hint="eastAsia"/>
                      <w:color w:val="auto"/>
                      <w:highlight w:val="none"/>
                      <w:lang w:val="en-US" w:eastAsia="zh-CN"/>
                    </w:rPr>
                    <w:t>项目用地为建设用地，建设方已与洋县有色工业园区管委会签订土地租赁合同</w:t>
                  </w:r>
                  <w:r>
                    <w:rPr>
                      <w:rFonts w:hint="eastAsia"/>
                      <w:color w:val="auto"/>
                      <w:highlight w:val="none"/>
                    </w:rPr>
                    <w:t>。运营期内电能、水、土地等不会突破资源利用上线</w:t>
                  </w:r>
                </w:p>
              </w:tc>
              <w:tc>
                <w:tcPr>
                  <w:tcW w:w="727" w:type="dxa"/>
                  <w:vAlign w:val="center"/>
                </w:tcPr>
                <w:p w14:paraId="202B8C19">
                  <w:pPr>
                    <w:adjustRightInd w:val="0"/>
                    <w:snapToGrid w:val="0"/>
                    <w:jc w:val="center"/>
                    <w:rPr>
                      <w:color w:val="auto"/>
                      <w:szCs w:val="21"/>
                      <w:highlight w:val="none"/>
                    </w:rPr>
                  </w:pPr>
                  <w:r>
                    <w:rPr>
                      <w:color w:val="auto"/>
                      <w:szCs w:val="21"/>
                      <w:highlight w:val="none"/>
                    </w:rPr>
                    <w:t>符合</w:t>
                  </w:r>
                </w:p>
              </w:tc>
            </w:tr>
            <w:tr w14:paraId="6C98E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051C9B3D">
                  <w:pPr>
                    <w:adjustRightInd w:val="0"/>
                    <w:snapToGrid w:val="0"/>
                    <w:jc w:val="center"/>
                    <w:rPr>
                      <w:color w:val="auto"/>
                      <w:szCs w:val="21"/>
                      <w:highlight w:val="none"/>
                    </w:rPr>
                  </w:pPr>
                </w:p>
              </w:tc>
              <w:tc>
                <w:tcPr>
                  <w:tcW w:w="4625" w:type="dxa"/>
                  <w:vAlign w:val="center"/>
                </w:tcPr>
                <w:p w14:paraId="3BEEEFC6">
                  <w:pPr>
                    <w:widowControl/>
                    <w:adjustRightInd w:val="0"/>
                    <w:snapToGrid w:val="0"/>
                    <w:spacing w:line="280" w:lineRule="exact"/>
                    <w:rPr>
                      <w:color w:val="auto"/>
                      <w:szCs w:val="21"/>
                      <w:highlight w:val="none"/>
                    </w:rPr>
                  </w:pPr>
                  <w:r>
                    <w:rPr>
                      <w:color w:val="auto"/>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157" w:type="dxa"/>
                  <w:vAlign w:val="center"/>
                </w:tcPr>
                <w:p w14:paraId="20A8F775">
                  <w:pPr>
                    <w:widowControl/>
                    <w:adjustRightInd w:val="0"/>
                    <w:snapToGrid w:val="0"/>
                    <w:rPr>
                      <w:color w:val="auto"/>
                      <w:szCs w:val="21"/>
                      <w:highlight w:val="none"/>
                    </w:rPr>
                  </w:pPr>
                  <w:r>
                    <w:rPr>
                      <w:rFonts w:hAnsi="宋体"/>
                      <w:color w:val="auto"/>
                      <w:szCs w:val="21"/>
                      <w:highlight w:val="none"/>
                    </w:rPr>
                    <w:t>项目不</w:t>
                  </w:r>
                  <w:r>
                    <w:rPr>
                      <w:rFonts w:hint="eastAsia" w:hAnsi="宋体"/>
                      <w:color w:val="auto"/>
                      <w:szCs w:val="21"/>
                      <w:highlight w:val="none"/>
                    </w:rPr>
                    <w:t>属于《汉中市生态环境准入清单（试行）》中禁止与限制开发建设活动，且不属于</w:t>
                  </w:r>
                  <w:r>
                    <w:rPr>
                      <w:rFonts w:hAnsi="宋体"/>
                      <w:color w:val="auto"/>
                      <w:szCs w:val="21"/>
                      <w:highlight w:val="none"/>
                    </w:rPr>
                    <w:t>《陕西省</w:t>
                  </w:r>
                  <w:r>
                    <w:rPr>
                      <w:rFonts w:hint="eastAsia" w:hAnsi="宋体"/>
                      <w:color w:val="auto"/>
                      <w:szCs w:val="21"/>
                      <w:highlight w:val="none"/>
                    </w:rPr>
                    <w:t>洋县</w:t>
                  </w:r>
                  <w:r>
                    <w:rPr>
                      <w:rFonts w:hAnsi="宋体"/>
                      <w:color w:val="auto"/>
                      <w:szCs w:val="21"/>
                      <w:highlight w:val="none"/>
                    </w:rPr>
                    <w:t>重点生态功能区产业准入负面清单》</w:t>
                  </w:r>
                  <w:r>
                    <w:rPr>
                      <w:rFonts w:hint="eastAsia" w:hAnsi="宋体"/>
                      <w:color w:val="auto"/>
                      <w:szCs w:val="21"/>
                      <w:highlight w:val="none"/>
                    </w:rPr>
                    <w:t>规定的禁止与限制管控产业</w:t>
                  </w:r>
                </w:p>
              </w:tc>
              <w:tc>
                <w:tcPr>
                  <w:tcW w:w="727" w:type="dxa"/>
                  <w:vAlign w:val="center"/>
                </w:tcPr>
                <w:p w14:paraId="3D88EE13">
                  <w:pPr>
                    <w:adjustRightInd w:val="0"/>
                    <w:snapToGrid w:val="0"/>
                    <w:jc w:val="center"/>
                    <w:rPr>
                      <w:color w:val="auto"/>
                      <w:szCs w:val="21"/>
                      <w:highlight w:val="none"/>
                    </w:rPr>
                  </w:pPr>
                  <w:r>
                    <w:rPr>
                      <w:color w:val="auto"/>
                      <w:szCs w:val="21"/>
                      <w:highlight w:val="none"/>
                    </w:rPr>
                    <w:t>符合</w:t>
                  </w:r>
                </w:p>
              </w:tc>
            </w:tr>
          </w:tbl>
          <w:p w14:paraId="6EC5BA52">
            <w:pPr>
              <w:adjustRightInd w:val="0"/>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与《汉中市“三线一单”生态环境分区管控方案》的符合性</w:t>
            </w:r>
            <w:r>
              <w:rPr>
                <w:rFonts w:hint="eastAsia"/>
                <w:color w:val="auto"/>
                <w:sz w:val="24"/>
                <w:highlight w:val="none"/>
              </w:rPr>
              <w:t>分析</w:t>
            </w:r>
          </w:p>
          <w:p w14:paraId="3C7D7F20">
            <w:pPr>
              <w:spacing w:line="360" w:lineRule="auto"/>
              <w:ind w:firstLine="480" w:firstLineChars="200"/>
              <w:rPr>
                <w:color w:val="auto"/>
                <w:sz w:val="24"/>
                <w:highlight w:val="none"/>
              </w:rPr>
            </w:pPr>
            <w:r>
              <w:rPr>
                <w:rFonts w:hint="eastAsia"/>
                <w:color w:val="auto"/>
                <w:sz w:val="24"/>
                <w:szCs w:val="32"/>
                <w:highlight w:val="none"/>
              </w:rPr>
              <w:t>根据汉中市人民政府办公室《关于印发2023年汉中市生态环境分区管控调整方案的通知》（汉政办函〔2024〕23号），结合“陕西省‘三线一单’数据应用管理平台（V1.0）”分析可知：</w:t>
            </w:r>
            <w:r>
              <w:rPr>
                <w:color w:val="auto"/>
                <w:sz w:val="24"/>
                <w:szCs w:val="32"/>
                <w:highlight w:val="none"/>
              </w:rPr>
              <w:t>本</w:t>
            </w:r>
            <w:r>
              <w:rPr>
                <w:rFonts w:hint="eastAsia"/>
                <w:color w:val="auto"/>
                <w:sz w:val="24"/>
                <w:szCs w:val="32"/>
                <w:highlight w:val="none"/>
              </w:rPr>
              <w:t>项目所在区域属重点管控单元—洋县现代材料工业园区，具体分析内容见下文“一图一表一说明”。</w:t>
            </w:r>
          </w:p>
          <w:p w14:paraId="2F58F219">
            <w:pPr>
              <w:spacing w:line="360" w:lineRule="auto"/>
              <w:ind w:firstLine="480" w:firstLineChars="200"/>
              <w:rPr>
                <w:rFonts w:hint="eastAsia"/>
                <w:color w:val="auto"/>
                <w:sz w:val="24"/>
                <w:szCs w:val="32"/>
                <w:highlight w:val="none"/>
              </w:rPr>
            </w:pPr>
            <w:r>
              <w:rPr>
                <w:rFonts w:hint="eastAsia" w:ascii="宋体" w:hAnsi="宋体" w:cs="宋体"/>
                <w:color w:val="auto"/>
                <w:sz w:val="24"/>
                <w:szCs w:val="32"/>
                <w:highlight w:val="none"/>
              </w:rPr>
              <w:t>①</w:t>
            </w:r>
            <w:r>
              <w:rPr>
                <w:rFonts w:hint="eastAsia"/>
                <w:color w:val="auto"/>
                <w:sz w:val="24"/>
                <w:szCs w:val="32"/>
                <w:highlight w:val="none"/>
              </w:rPr>
              <w:t>一图：</w:t>
            </w:r>
          </w:p>
          <w:p w14:paraId="31281E7B">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969510" cy="3462655"/>
                  <wp:effectExtent l="12700" t="12700" r="27940" b="29845"/>
                  <wp:docPr id="1" name="图片 1" descr="三线一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线一单1"/>
                          <pic:cNvPicPr>
                            <a:picLocks noChangeAspect="1"/>
                          </pic:cNvPicPr>
                        </pic:nvPicPr>
                        <pic:blipFill>
                          <a:blip r:embed="rId8"/>
                          <a:stretch>
                            <a:fillRect/>
                          </a:stretch>
                        </pic:blipFill>
                        <pic:spPr>
                          <a:xfrm>
                            <a:off x="0" y="0"/>
                            <a:ext cx="4969510" cy="3462655"/>
                          </a:xfrm>
                          <a:prstGeom prst="rect">
                            <a:avLst/>
                          </a:prstGeom>
                          <a:ln w="12700" cmpd="sng">
                            <a:solidFill>
                              <a:schemeClr val="tx1"/>
                            </a:solidFill>
                            <a:prstDash val="solid"/>
                          </a:ln>
                        </pic:spPr>
                      </pic:pic>
                    </a:graphicData>
                  </a:graphic>
                </wp:inline>
              </w:drawing>
            </w:r>
          </w:p>
          <w:p w14:paraId="791866EF">
            <w:pPr>
              <w:pStyle w:val="46"/>
              <w:spacing w:line="360" w:lineRule="auto"/>
              <w:jc w:val="center"/>
              <w:rPr>
                <w:rFonts w:ascii="Times New Roman" w:cs="Times New Roman"/>
                <w:b/>
                <w:color w:val="auto"/>
                <w:sz w:val="21"/>
                <w:szCs w:val="21"/>
                <w:highlight w:val="none"/>
              </w:rPr>
            </w:pPr>
            <w:r>
              <w:rPr>
                <w:rFonts w:ascii="Times New Roman" w:cs="Times New Roman"/>
                <w:b/>
                <w:color w:val="auto"/>
                <w:sz w:val="21"/>
                <w:szCs w:val="21"/>
                <w:highlight w:val="none"/>
              </w:rPr>
              <w:t>图1-1   项目与陕西省“三线一单”数据应用系统对比图</w:t>
            </w:r>
          </w:p>
          <w:p w14:paraId="2E5F4F9C">
            <w:pPr>
              <w:pStyle w:val="46"/>
              <w:spacing w:line="360" w:lineRule="auto"/>
              <w:ind w:firstLine="480" w:firstLineChars="200"/>
              <w:jc w:val="both"/>
              <w:rPr>
                <w:rFonts w:ascii="Times New Roman" w:cs="Times New Roman"/>
                <w:bCs/>
                <w:color w:val="auto"/>
                <w:highlight w:val="none"/>
              </w:rPr>
            </w:pPr>
            <w:r>
              <w:rPr>
                <w:rFonts w:hint="eastAsia" w:hAnsi="宋体"/>
                <w:bCs/>
                <w:color w:val="auto"/>
                <w:highlight w:val="none"/>
              </w:rPr>
              <w:t>②</w:t>
            </w:r>
            <w:r>
              <w:rPr>
                <w:rFonts w:hint="eastAsia" w:ascii="Times New Roman" w:cs="Times New Roman"/>
                <w:bCs/>
                <w:color w:val="auto"/>
                <w:highlight w:val="none"/>
              </w:rPr>
              <w:t>一表：</w:t>
            </w:r>
          </w:p>
          <w:p w14:paraId="1311AC01">
            <w:pPr>
              <w:pStyle w:val="46"/>
              <w:jc w:val="center"/>
              <w:rPr>
                <w:rFonts w:ascii="Times New Roman" w:cs="Times New Roman"/>
                <w:color w:val="auto"/>
                <w:sz w:val="21"/>
                <w:szCs w:val="21"/>
                <w:highlight w:val="none"/>
              </w:rPr>
            </w:pPr>
            <w:r>
              <w:rPr>
                <w:rFonts w:ascii="Times New Roman" w:cs="Times New Roman"/>
                <w:b/>
                <w:color w:val="auto"/>
                <w:sz w:val="21"/>
                <w:szCs w:val="18"/>
                <w:highlight w:val="none"/>
              </w:rPr>
              <w:t>表1-</w:t>
            </w:r>
            <w:r>
              <w:rPr>
                <w:rFonts w:hint="eastAsia" w:ascii="Times New Roman" w:cs="Times New Roman"/>
                <w:b/>
                <w:color w:val="auto"/>
                <w:sz w:val="21"/>
                <w:szCs w:val="18"/>
                <w:highlight w:val="none"/>
              </w:rPr>
              <w:t>2</w:t>
            </w:r>
            <w:r>
              <w:rPr>
                <w:rFonts w:ascii="Times New Roman" w:cs="Times New Roman"/>
                <w:b/>
                <w:color w:val="auto"/>
                <w:sz w:val="21"/>
                <w:szCs w:val="18"/>
                <w:highlight w:val="none"/>
              </w:rPr>
              <w:t xml:space="preserve">  项目与汉中市“三线一单”生态环境分区管控方案相符性分析</w:t>
            </w:r>
          </w:p>
          <w:tbl>
            <w:tblPr>
              <w:tblStyle w:val="32"/>
              <w:tblW w:w="8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5"/>
              <w:gridCol w:w="631"/>
              <w:gridCol w:w="631"/>
              <w:gridCol w:w="2908"/>
              <w:gridCol w:w="1776"/>
              <w:gridCol w:w="728"/>
              <w:gridCol w:w="741"/>
            </w:tblGrid>
            <w:tr w14:paraId="35962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394" w:type="pct"/>
                  <w:tcBorders>
                    <w:tl2br w:val="nil"/>
                    <w:tr2bl w:val="nil"/>
                  </w:tcBorders>
                  <w:vAlign w:val="center"/>
                </w:tcPr>
                <w:p w14:paraId="059D040C">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50EDDFB5">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单元</w:t>
                  </w:r>
                </w:p>
              </w:tc>
              <w:tc>
                <w:tcPr>
                  <w:tcW w:w="391" w:type="pct"/>
                  <w:tcBorders>
                    <w:tl2br w:val="nil"/>
                    <w:tr2bl w:val="nil"/>
                  </w:tcBorders>
                  <w:vAlign w:val="center"/>
                </w:tcPr>
                <w:p w14:paraId="6493A2E6">
                  <w:pPr>
                    <w:pStyle w:val="46"/>
                    <w:jc w:val="center"/>
                    <w:rPr>
                      <w:rFonts w:hint="eastAsia" w:ascii="Times New Roman" w:cs="Times New Roman"/>
                      <w:color w:val="auto"/>
                      <w:sz w:val="21"/>
                      <w:szCs w:val="21"/>
                      <w:highlight w:val="none"/>
                    </w:rPr>
                  </w:pPr>
                  <w:r>
                    <w:rPr>
                      <w:rFonts w:hint="eastAsia" w:ascii="Times New Roman" w:cs="Times New Roman"/>
                      <w:color w:val="auto"/>
                      <w:sz w:val="21"/>
                      <w:szCs w:val="21"/>
                      <w:highlight w:val="none"/>
                    </w:rPr>
                    <w:t>单元</w:t>
                  </w:r>
                </w:p>
                <w:p w14:paraId="12B8DB13">
                  <w:pPr>
                    <w:pStyle w:val="46"/>
                    <w:jc w:val="center"/>
                    <w:rPr>
                      <w:rFonts w:hint="eastAsia" w:ascii="Times New Roman" w:cs="Times New Roman"/>
                      <w:color w:val="auto"/>
                      <w:sz w:val="21"/>
                      <w:szCs w:val="21"/>
                      <w:highlight w:val="none"/>
                    </w:rPr>
                  </w:pPr>
                  <w:r>
                    <w:rPr>
                      <w:rFonts w:hint="eastAsia" w:ascii="Times New Roman" w:cs="Times New Roman"/>
                      <w:color w:val="auto"/>
                      <w:sz w:val="21"/>
                      <w:szCs w:val="21"/>
                      <w:highlight w:val="none"/>
                    </w:rPr>
                    <w:t>要素</w:t>
                  </w:r>
                </w:p>
                <w:p w14:paraId="13AA0C70">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属性</w:t>
                  </w:r>
                </w:p>
              </w:tc>
              <w:tc>
                <w:tcPr>
                  <w:tcW w:w="391" w:type="pct"/>
                  <w:tcBorders>
                    <w:tl2br w:val="nil"/>
                    <w:tr2bl w:val="nil"/>
                  </w:tcBorders>
                  <w:vAlign w:val="center"/>
                </w:tcPr>
                <w:p w14:paraId="1E583F11">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6B4619D1">
                  <w:pPr>
                    <w:pStyle w:val="46"/>
                    <w:jc w:val="center"/>
                    <w:rPr>
                      <w:rFonts w:hint="eastAsia" w:ascii="Times New Roman" w:cs="Times New Roman"/>
                      <w:color w:val="auto"/>
                      <w:sz w:val="21"/>
                      <w:szCs w:val="21"/>
                      <w:highlight w:val="none"/>
                    </w:rPr>
                  </w:pPr>
                  <w:r>
                    <w:rPr>
                      <w:rFonts w:hint="eastAsia" w:ascii="Times New Roman" w:cs="Times New Roman"/>
                      <w:color w:val="auto"/>
                      <w:sz w:val="21"/>
                      <w:szCs w:val="21"/>
                      <w:highlight w:val="none"/>
                    </w:rPr>
                    <w:t>维度</w:t>
                  </w:r>
                </w:p>
              </w:tc>
              <w:tc>
                <w:tcPr>
                  <w:tcW w:w="1806" w:type="pct"/>
                  <w:tcBorders>
                    <w:tl2br w:val="nil"/>
                    <w:tr2bl w:val="nil"/>
                  </w:tcBorders>
                  <w:vAlign w:val="center"/>
                </w:tcPr>
                <w:p w14:paraId="7CC916BF">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管控要求</w:t>
                  </w:r>
                </w:p>
              </w:tc>
              <w:tc>
                <w:tcPr>
                  <w:tcW w:w="1103" w:type="pct"/>
                  <w:tcBorders>
                    <w:tl2br w:val="nil"/>
                    <w:tr2bl w:val="nil"/>
                  </w:tcBorders>
                  <w:vAlign w:val="center"/>
                </w:tcPr>
                <w:p w14:paraId="13DD2180">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本项目情况</w:t>
                  </w:r>
                </w:p>
              </w:tc>
              <w:tc>
                <w:tcPr>
                  <w:tcW w:w="452" w:type="pct"/>
                  <w:tcBorders>
                    <w:tl2br w:val="nil"/>
                    <w:tr2bl w:val="nil"/>
                  </w:tcBorders>
                  <w:vAlign w:val="center"/>
                </w:tcPr>
                <w:p w14:paraId="1AF38494">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符合性分析</w:t>
                  </w:r>
                </w:p>
              </w:tc>
              <w:tc>
                <w:tcPr>
                  <w:tcW w:w="460" w:type="pct"/>
                  <w:tcBorders>
                    <w:tl2br w:val="nil"/>
                    <w:tr2bl w:val="nil"/>
                  </w:tcBorders>
                  <w:vAlign w:val="center"/>
                </w:tcPr>
                <w:p w14:paraId="3A0FF800">
                  <w:pPr>
                    <w:pStyle w:val="46"/>
                    <w:jc w:val="center"/>
                    <w:rPr>
                      <w:rFonts w:hint="eastAsia"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rPr>
                    <w:t>占地面积</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lang w:val="en-US" w:eastAsia="zh-CN"/>
                    </w:rPr>
                    <w:t>平方米</w:t>
                  </w:r>
                  <w:r>
                    <w:rPr>
                      <w:rFonts w:hint="eastAsia" w:ascii="Times New Roman" w:cs="Times New Roman"/>
                      <w:color w:val="auto"/>
                      <w:sz w:val="21"/>
                      <w:szCs w:val="21"/>
                      <w:highlight w:val="none"/>
                      <w:lang w:eastAsia="zh-CN"/>
                    </w:rPr>
                    <w:t>）</w:t>
                  </w:r>
                </w:p>
              </w:tc>
            </w:tr>
            <w:tr w14:paraId="05E74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394" w:type="pct"/>
                  <w:vMerge w:val="restart"/>
                  <w:tcBorders>
                    <w:tl2br w:val="nil"/>
                    <w:tr2bl w:val="nil"/>
                  </w:tcBorders>
                  <w:vAlign w:val="center"/>
                </w:tcPr>
                <w:p w14:paraId="4783A3E3">
                  <w:pPr>
                    <w:jc w:val="center"/>
                    <w:rPr>
                      <w:color w:val="auto"/>
                      <w:szCs w:val="21"/>
                      <w:highlight w:val="none"/>
                    </w:rPr>
                  </w:pPr>
                  <w:r>
                    <w:rPr>
                      <w:rFonts w:hint="eastAsia"/>
                      <w:color w:val="auto"/>
                      <w:szCs w:val="21"/>
                      <w:highlight w:val="none"/>
                    </w:rPr>
                    <w:t>洋县现代材料工业园区</w:t>
                  </w:r>
                </w:p>
              </w:tc>
              <w:tc>
                <w:tcPr>
                  <w:tcW w:w="391" w:type="pct"/>
                  <w:tcBorders>
                    <w:tl2br w:val="nil"/>
                    <w:tr2bl w:val="nil"/>
                  </w:tcBorders>
                  <w:vAlign w:val="center"/>
                </w:tcPr>
                <w:p w14:paraId="45E18BBA">
                  <w:pPr>
                    <w:widowControl/>
                    <w:snapToGrid w:val="0"/>
                    <w:jc w:val="center"/>
                    <w:rPr>
                      <w:rFonts w:ascii="宋体" w:hAnsi="宋体" w:cs="宋体"/>
                      <w:color w:val="auto"/>
                      <w:szCs w:val="21"/>
                      <w:highlight w:val="none"/>
                    </w:rPr>
                  </w:pPr>
                  <w:r>
                    <w:rPr>
                      <w:rFonts w:hint="eastAsia" w:ascii="宋体" w:hAnsi="宋体" w:cs="宋体"/>
                      <w:color w:val="auto"/>
                      <w:szCs w:val="21"/>
                      <w:highlight w:val="none"/>
                    </w:rPr>
                    <w:t>大气环境布局敏感重点管控区、水环境城镇生活污染重点管控区、土地资源重点管控区、洋县现代材料工业园区</w:t>
                  </w:r>
                </w:p>
              </w:tc>
              <w:tc>
                <w:tcPr>
                  <w:tcW w:w="391" w:type="pct"/>
                  <w:tcBorders>
                    <w:tl2br w:val="nil"/>
                    <w:tr2bl w:val="nil"/>
                  </w:tcBorders>
                  <w:vAlign w:val="center"/>
                </w:tcPr>
                <w:p w14:paraId="152096A0">
                  <w:pPr>
                    <w:widowControl/>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空间布局约束</w:t>
                  </w:r>
                </w:p>
              </w:tc>
              <w:tc>
                <w:tcPr>
                  <w:tcW w:w="1806" w:type="pct"/>
                  <w:tcBorders>
                    <w:tl2br w:val="nil"/>
                    <w:tr2bl w:val="nil"/>
                  </w:tcBorders>
                  <w:vAlign w:val="center"/>
                </w:tcPr>
                <w:p w14:paraId="412CD483">
                  <w:pPr>
                    <w:snapToGrid w:val="0"/>
                    <w:rPr>
                      <w:rFonts w:hint="eastAsia"/>
                      <w:color w:val="auto"/>
                      <w:szCs w:val="21"/>
                      <w:highlight w:val="none"/>
                    </w:rPr>
                  </w:pPr>
                  <w:r>
                    <w:rPr>
                      <w:rFonts w:hint="eastAsia"/>
                      <w:color w:val="auto"/>
                      <w:szCs w:val="21"/>
                      <w:highlight w:val="none"/>
                    </w:rPr>
                    <w:t>大气环境布局敏感重点管控区：1.严格控制新增《陕西省“两高”项目管理暂行目录》行业项目（民生等项目除外，后续对“两高”范围国家如有新规定的，从其规定）。2.推动重污染企业搬迁入园或依法关闭。</w:t>
                  </w:r>
                </w:p>
                <w:p w14:paraId="253E3E05">
                  <w:pPr>
                    <w:snapToGrid w:val="0"/>
                    <w:rPr>
                      <w:rFonts w:hint="eastAsia"/>
                      <w:color w:val="auto"/>
                      <w:szCs w:val="21"/>
                      <w:highlight w:val="none"/>
                    </w:rPr>
                  </w:pPr>
                  <w:r>
                    <w:rPr>
                      <w:rFonts w:hint="eastAsia"/>
                      <w:color w:val="auto"/>
                      <w:szCs w:val="21"/>
                      <w:highlight w:val="none"/>
                    </w:rPr>
                    <w:t>水环境城镇生活污染重点管控区：加快建设城中村、老旧城区、建制镇、城乡结合部等生活污水收集管网，填补污水收集管网空白区。新建居住社区应同步规划、建设污水收集管网，推动支线管网和出户管的连接建设。</w:t>
                  </w:r>
                </w:p>
                <w:p w14:paraId="49305DFD">
                  <w:pPr>
                    <w:snapToGrid w:val="0"/>
                    <w:rPr>
                      <w:color w:val="auto"/>
                      <w:szCs w:val="21"/>
                      <w:highlight w:val="none"/>
                    </w:rPr>
                  </w:pPr>
                  <w:r>
                    <w:rPr>
                      <w:rFonts w:hint="eastAsia"/>
                      <w:b/>
                      <w:bCs/>
                      <w:color w:val="auto"/>
                      <w:szCs w:val="21"/>
                      <w:highlight w:val="none"/>
                    </w:rPr>
                    <w:t>洋县现代材料工业园区</w:t>
                  </w:r>
                  <w:r>
                    <w:rPr>
                      <w:rFonts w:hint="eastAsia"/>
                      <w:color w:val="auto"/>
                      <w:szCs w:val="21"/>
                      <w:highlight w:val="none"/>
                    </w:rPr>
                    <w:t xml:space="preserve"> 1.不得引入列入《环境准入负面清单》的项目。2.对不符合园区产业布局的现有企业制定迁出计划，或者调整园区规划产业布局，确保现有企业与规划的产业布局相符。3.执行汉中市生态环境要素分区总体准入清单要求中“5.3 大气环境布局敏感重点管控区”准入要求。4.执行汉中市生态环境要素分区总体准入清单要求中“5.5水环境城镇生活污染重点管控区”准入要求。5.农用地优先保护区执行汉中市生态环境要素分区总体准入清单中“4.2 农用地优先保护区”准入要求。6.农用地污染风险重点管控区执行汉中市生态环境要素分区总体准入清单中“5.6 农用地污染风险重点管控区”准入要求。7.江河湖库岸线优先保护区执行汉中市生态环境要素分区总体准入清单中“4.3江河湖库岸线优先保护区”准入要求。</w:t>
                  </w:r>
                </w:p>
              </w:tc>
              <w:tc>
                <w:tcPr>
                  <w:tcW w:w="1103" w:type="pct"/>
                  <w:tcBorders>
                    <w:tl2br w:val="nil"/>
                    <w:tr2bl w:val="nil"/>
                  </w:tcBorders>
                  <w:vAlign w:val="center"/>
                </w:tcPr>
                <w:p w14:paraId="138DF150">
                  <w:pPr>
                    <w:keepNext w:val="0"/>
                    <w:keepLines w:val="0"/>
                    <w:suppressLineNumbers w:val="0"/>
                    <w:spacing w:before="0" w:beforeAutospacing="0" w:after="0" w:afterAutospacing="0"/>
                    <w:ind w:left="0" w:right="0"/>
                    <w:jc w:val="both"/>
                    <w:rPr>
                      <w:rFonts w:hint="eastAsia"/>
                      <w:color w:val="auto"/>
                      <w:szCs w:val="21"/>
                      <w:highlight w:val="none"/>
                      <w:lang w:val="en-US" w:eastAsia="zh-CN"/>
                    </w:rPr>
                  </w:pPr>
                  <w:r>
                    <w:rPr>
                      <w:rFonts w:hint="default"/>
                      <w:color w:val="auto"/>
                      <w:szCs w:val="21"/>
                      <w:highlight w:val="none"/>
                    </w:rPr>
                    <w:t>根据《陕西省</w:t>
                  </w:r>
                  <w:r>
                    <w:rPr>
                      <w:rFonts w:hint="eastAsia"/>
                      <w:color w:val="auto"/>
                      <w:szCs w:val="21"/>
                      <w:highlight w:val="none"/>
                    </w:rPr>
                    <w:t>“</w:t>
                  </w:r>
                  <w:r>
                    <w:rPr>
                      <w:rFonts w:hint="default"/>
                      <w:color w:val="auto"/>
                      <w:szCs w:val="21"/>
                      <w:highlight w:val="none"/>
                    </w:rPr>
                    <w:t>两高</w:t>
                  </w:r>
                  <w:r>
                    <w:rPr>
                      <w:rFonts w:hint="eastAsia"/>
                      <w:color w:val="auto"/>
                      <w:szCs w:val="21"/>
                      <w:highlight w:val="none"/>
                    </w:rPr>
                    <w:t>”</w:t>
                  </w:r>
                  <w:r>
                    <w:rPr>
                      <w:rFonts w:hint="default"/>
                      <w:color w:val="auto"/>
                      <w:szCs w:val="21"/>
                      <w:highlight w:val="none"/>
                    </w:rPr>
                    <w:t>项目</w:t>
                  </w:r>
                  <w:r>
                    <w:rPr>
                      <w:rFonts w:hint="eastAsia"/>
                      <w:color w:val="auto"/>
                      <w:szCs w:val="21"/>
                      <w:highlight w:val="none"/>
                      <w:lang w:val="en-US" w:eastAsia="zh-CN"/>
                    </w:rPr>
                    <w:t>重点管理范围</w:t>
                  </w:r>
                  <w:r>
                    <w:rPr>
                      <w:rFonts w:hint="default"/>
                      <w:color w:val="auto"/>
                      <w:szCs w:val="21"/>
                      <w:highlight w:val="none"/>
                    </w:rPr>
                    <w:t>（202</w:t>
                  </w:r>
                  <w:r>
                    <w:rPr>
                      <w:rFonts w:hint="eastAsia"/>
                      <w:color w:val="auto"/>
                      <w:szCs w:val="21"/>
                      <w:highlight w:val="none"/>
                      <w:lang w:val="en-US" w:eastAsia="zh-CN"/>
                    </w:rPr>
                    <w:t>5</w:t>
                  </w:r>
                  <w:r>
                    <w:rPr>
                      <w:rFonts w:hint="default"/>
                      <w:color w:val="auto"/>
                      <w:szCs w:val="21"/>
                      <w:highlight w:val="none"/>
                    </w:rPr>
                    <w:t>年版）》（陕发改环资</w:t>
                  </w:r>
                  <w:r>
                    <w:rPr>
                      <w:rFonts w:hint="eastAsia"/>
                      <w:color w:val="auto"/>
                      <w:szCs w:val="21"/>
                      <w:highlight w:val="none"/>
                      <w:lang w:eastAsia="zh-CN"/>
                    </w:rPr>
                    <w:t>〔</w:t>
                  </w:r>
                  <w:r>
                    <w:rPr>
                      <w:rFonts w:hint="default"/>
                      <w:color w:val="auto"/>
                      <w:szCs w:val="21"/>
                      <w:highlight w:val="none"/>
                    </w:rPr>
                    <w:t>202</w:t>
                  </w:r>
                  <w:r>
                    <w:rPr>
                      <w:rFonts w:hint="eastAsia"/>
                      <w:color w:val="auto"/>
                      <w:szCs w:val="21"/>
                      <w:highlight w:val="none"/>
                      <w:lang w:val="en-US" w:eastAsia="zh-CN"/>
                    </w:rPr>
                    <w:t>5</w:t>
                  </w:r>
                  <w:r>
                    <w:rPr>
                      <w:rFonts w:hint="eastAsia"/>
                      <w:color w:val="auto"/>
                      <w:szCs w:val="21"/>
                      <w:highlight w:val="none"/>
                      <w:lang w:eastAsia="zh-CN"/>
                    </w:rPr>
                    <w:t>〕</w:t>
                  </w:r>
                  <w:r>
                    <w:rPr>
                      <w:rFonts w:hint="eastAsia"/>
                      <w:color w:val="auto"/>
                      <w:szCs w:val="21"/>
                      <w:highlight w:val="none"/>
                      <w:lang w:val="en-US" w:eastAsia="zh-CN"/>
                    </w:rPr>
                    <w:t>703</w:t>
                  </w:r>
                  <w:r>
                    <w:rPr>
                      <w:rFonts w:hint="default"/>
                      <w:color w:val="auto"/>
                      <w:szCs w:val="21"/>
                      <w:highlight w:val="none"/>
                    </w:rPr>
                    <w:t>号）可知</w:t>
                  </w:r>
                  <w:r>
                    <w:rPr>
                      <w:rFonts w:hint="eastAsia"/>
                      <w:color w:val="auto"/>
                      <w:szCs w:val="21"/>
                      <w:highlight w:val="none"/>
                    </w:rPr>
                    <w:t>，本项目不属于“两高”项目</w:t>
                  </w:r>
                  <w:r>
                    <w:rPr>
                      <w:rFonts w:hint="eastAsia"/>
                      <w:color w:val="auto"/>
                      <w:szCs w:val="21"/>
                      <w:highlight w:val="none"/>
                      <w:lang w:eastAsia="zh-CN"/>
                    </w:rPr>
                    <w:t>。</w:t>
                  </w:r>
                  <w:r>
                    <w:rPr>
                      <w:rFonts w:hint="eastAsia"/>
                      <w:color w:val="auto"/>
                      <w:szCs w:val="21"/>
                      <w:highlight w:val="none"/>
                      <w:lang w:val="en-US" w:eastAsia="zh-CN"/>
                    </w:rPr>
                    <w:t>建设方不属于重污染企业。</w:t>
                  </w:r>
                </w:p>
                <w:p w14:paraId="4979EF75">
                  <w:pPr>
                    <w:pStyle w:val="41"/>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项目区</w:t>
                  </w:r>
                  <w:r>
                    <w:rPr>
                      <w:rFonts w:hint="eastAsia" w:ascii="Times New Roman" w:hAnsi="Times New Roman" w:cs="Times New Roman"/>
                      <w:color w:val="auto"/>
                      <w:kern w:val="2"/>
                      <w:sz w:val="21"/>
                      <w:szCs w:val="21"/>
                      <w:highlight w:val="none"/>
                      <w:lang w:val="en-US" w:eastAsia="zh-CN" w:bidi="ar-SA"/>
                    </w:rPr>
                    <w:t>域</w:t>
                  </w:r>
                  <w:r>
                    <w:rPr>
                      <w:rFonts w:hint="eastAsia" w:ascii="Times New Roman" w:hAnsi="Times New Roman" w:eastAsia="宋体" w:cs="Times New Roman"/>
                      <w:color w:val="auto"/>
                      <w:kern w:val="2"/>
                      <w:sz w:val="21"/>
                      <w:szCs w:val="21"/>
                      <w:highlight w:val="none"/>
                      <w:lang w:val="en-US" w:eastAsia="zh-CN" w:bidi="ar-SA"/>
                    </w:rPr>
                    <w:t>市政</w:t>
                  </w:r>
                  <w:r>
                    <w:rPr>
                      <w:rFonts w:hint="eastAsia" w:ascii="Times New Roman" w:hAnsi="Times New Roman" w:cs="Times New Roman"/>
                      <w:color w:val="auto"/>
                      <w:kern w:val="2"/>
                      <w:sz w:val="21"/>
                      <w:szCs w:val="21"/>
                      <w:highlight w:val="none"/>
                      <w:lang w:val="en-US" w:eastAsia="zh-CN" w:bidi="ar-SA"/>
                    </w:rPr>
                    <w:t>污水</w:t>
                  </w:r>
                  <w:r>
                    <w:rPr>
                      <w:rFonts w:hint="eastAsia" w:ascii="Times New Roman" w:hAnsi="Times New Roman" w:eastAsia="宋体" w:cs="Times New Roman"/>
                      <w:color w:val="auto"/>
                      <w:kern w:val="2"/>
                      <w:sz w:val="21"/>
                      <w:szCs w:val="21"/>
                      <w:highlight w:val="none"/>
                      <w:lang w:val="en-US" w:eastAsia="zh-CN" w:bidi="ar-SA"/>
                    </w:rPr>
                    <w:t>管网正在建设，建成后</w:t>
                  </w:r>
                  <w:r>
                    <w:rPr>
                      <w:rFonts w:hint="eastAsia" w:ascii="Times New Roman" w:hAnsi="Times New Roman" w:cs="Times New Roman"/>
                      <w:color w:val="auto"/>
                      <w:kern w:val="2"/>
                      <w:sz w:val="21"/>
                      <w:szCs w:val="21"/>
                      <w:highlight w:val="none"/>
                      <w:lang w:val="en-US" w:eastAsia="zh-CN" w:bidi="ar-SA"/>
                    </w:rPr>
                    <w:t>可</w:t>
                  </w:r>
                  <w:r>
                    <w:rPr>
                      <w:rFonts w:hint="eastAsia" w:ascii="Times New Roman" w:hAnsi="Times New Roman" w:eastAsia="宋体" w:cs="Times New Roman"/>
                      <w:color w:val="auto"/>
                      <w:kern w:val="2"/>
                      <w:sz w:val="21"/>
                      <w:szCs w:val="21"/>
                      <w:highlight w:val="none"/>
                      <w:lang w:val="en-US" w:eastAsia="zh-CN" w:bidi="ar-SA"/>
                    </w:rPr>
                    <w:t>收纳本项目污水</w:t>
                  </w:r>
                  <w:r>
                    <w:rPr>
                      <w:rFonts w:hint="eastAsia" w:ascii="Times New Roman" w:hAnsi="Times New Roman" w:cs="Times New Roman"/>
                      <w:color w:val="auto"/>
                      <w:kern w:val="2"/>
                      <w:sz w:val="21"/>
                      <w:szCs w:val="21"/>
                      <w:highlight w:val="none"/>
                      <w:lang w:val="en-US" w:eastAsia="zh-CN" w:bidi="ar-SA"/>
                    </w:rPr>
                    <w:t>；</w:t>
                  </w:r>
                </w:p>
                <w:p w14:paraId="0361CEE8">
                  <w:pPr>
                    <w:rPr>
                      <w:color w:val="auto"/>
                      <w:szCs w:val="21"/>
                      <w:highlight w:val="none"/>
                    </w:rPr>
                  </w:pPr>
                  <w:r>
                    <w:rPr>
                      <w:rFonts w:hint="eastAsia" w:hAnsi="宋体"/>
                      <w:color w:val="auto"/>
                      <w:szCs w:val="21"/>
                      <w:highlight w:val="none"/>
                      <w:lang w:val="en-US" w:eastAsia="zh-CN"/>
                    </w:rPr>
                    <w:t>本项目</w:t>
                  </w:r>
                  <w:r>
                    <w:rPr>
                      <w:rFonts w:hAnsi="宋体"/>
                      <w:color w:val="auto"/>
                      <w:szCs w:val="21"/>
                      <w:highlight w:val="none"/>
                    </w:rPr>
                    <w:t>不</w:t>
                  </w:r>
                  <w:r>
                    <w:rPr>
                      <w:rFonts w:hint="eastAsia" w:hAnsi="宋体"/>
                      <w:color w:val="auto"/>
                      <w:szCs w:val="21"/>
                      <w:highlight w:val="none"/>
                    </w:rPr>
                    <w:t>属于《汉中市生态环境准入清单（试行）》中禁止与限制开发建设活动，且不属于</w:t>
                  </w:r>
                  <w:r>
                    <w:rPr>
                      <w:rFonts w:hAnsi="宋体"/>
                      <w:color w:val="auto"/>
                      <w:szCs w:val="21"/>
                      <w:highlight w:val="none"/>
                    </w:rPr>
                    <w:t>《陕西省</w:t>
                  </w:r>
                  <w:r>
                    <w:rPr>
                      <w:rFonts w:hint="eastAsia" w:hAnsi="宋体"/>
                      <w:color w:val="auto"/>
                      <w:szCs w:val="21"/>
                      <w:highlight w:val="none"/>
                    </w:rPr>
                    <w:t>洋县</w:t>
                  </w:r>
                  <w:r>
                    <w:rPr>
                      <w:rFonts w:hAnsi="宋体"/>
                      <w:color w:val="auto"/>
                      <w:szCs w:val="21"/>
                      <w:highlight w:val="none"/>
                    </w:rPr>
                    <w:t>重点生态功能区产业准入负面清单》</w:t>
                  </w:r>
                  <w:r>
                    <w:rPr>
                      <w:rFonts w:hint="eastAsia" w:hAnsi="宋体"/>
                      <w:color w:val="auto"/>
                      <w:szCs w:val="21"/>
                      <w:highlight w:val="none"/>
                    </w:rPr>
                    <w:t>规定的禁止与限制管控产业。</w:t>
                  </w:r>
                  <w:r>
                    <w:rPr>
                      <w:rFonts w:hint="eastAsia"/>
                      <w:color w:val="auto"/>
                      <w:sz w:val="21"/>
                      <w:szCs w:val="21"/>
                      <w:highlight w:val="none"/>
                      <w:lang w:val="en-US" w:eastAsia="zh-CN"/>
                    </w:rPr>
                    <w:t>在</w:t>
                  </w:r>
                  <w:r>
                    <w:rPr>
                      <w:rFonts w:ascii="Times New Roman" w:cs="Times New Roman"/>
                      <w:color w:val="auto"/>
                      <w:sz w:val="21"/>
                      <w:szCs w:val="21"/>
                      <w:highlight w:val="none"/>
                    </w:rPr>
                    <w:t>2022年编制省级农高区创建规划之前</w:t>
                  </w:r>
                  <w:r>
                    <w:rPr>
                      <w:rFonts w:hint="eastAsia" w:ascii="Times New Roman" w:cs="Times New Roman"/>
                      <w:color w:val="auto"/>
                      <w:sz w:val="21"/>
                      <w:szCs w:val="21"/>
                      <w:highlight w:val="none"/>
                      <w:lang w:val="en-US" w:eastAsia="zh-CN"/>
                    </w:rPr>
                    <w:t>建设方</w:t>
                  </w:r>
                  <w:r>
                    <w:rPr>
                      <w:rFonts w:ascii="Times New Roman" w:cs="Times New Roman"/>
                      <w:color w:val="auto"/>
                      <w:sz w:val="21"/>
                      <w:szCs w:val="21"/>
                      <w:highlight w:val="none"/>
                    </w:rPr>
                    <w:t>就已经存在，</w:t>
                  </w:r>
                  <w:r>
                    <w:rPr>
                      <w:rFonts w:hint="eastAsia" w:ascii="Times New Roman" w:cs="Times New Roman"/>
                      <w:color w:val="auto"/>
                      <w:sz w:val="21"/>
                      <w:szCs w:val="21"/>
                      <w:highlight w:val="none"/>
                      <w:lang w:val="en-US" w:eastAsia="zh-CN"/>
                    </w:rPr>
                    <w:t>建设方为现有保留企业。</w:t>
                  </w:r>
                  <w:r>
                    <w:rPr>
                      <w:rFonts w:ascii="Times New Roman" w:cs="Times New Roman"/>
                      <w:color w:val="auto"/>
                      <w:sz w:val="21"/>
                      <w:szCs w:val="21"/>
                      <w:highlight w:val="none"/>
                    </w:rPr>
                    <w:t>本次</w:t>
                  </w:r>
                  <w:r>
                    <w:rPr>
                      <w:rFonts w:hint="eastAsia" w:cs="Times New Roman"/>
                      <w:color w:val="auto"/>
                      <w:sz w:val="21"/>
                      <w:szCs w:val="21"/>
                      <w:highlight w:val="none"/>
                      <w:lang w:val="en-US" w:eastAsia="zh-CN"/>
                    </w:rPr>
                    <w:t>变动</w:t>
                  </w:r>
                  <w:r>
                    <w:rPr>
                      <w:rFonts w:hint="eastAsia" w:ascii="Times New Roman" w:cs="Times New Roman"/>
                      <w:color w:val="auto"/>
                      <w:sz w:val="21"/>
                      <w:szCs w:val="21"/>
                      <w:highlight w:val="none"/>
                      <w:lang w:val="en-US" w:eastAsia="zh-CN"/>
                    </w:rPr>
                    <w:t>项目</w:t>
                  </w:r>
                  <w:r>
                    <w:rPr>
                      <w:rFonts w:ascii="Times New Roman" w:cs="Times New Roman"/>
                      <w:color w:val="auto"/>
                      <w:sz w:val="21"/>
                      <w:szCs w:val="21"/>
                      <w:highlight w:val="none"/>
                    </w:rPr>
                    <w:t>在原有厂区内进行，</w:t>
                  </w:r>
                  <w:r>
                    <w:rPr>
                      <w:rFonts w:hint="eastAsia" w:ascii="Times New Roman" w:cs="Times New Roman"/>
                      <w:color w:val="auto"/>
                      <w:sz w:val="21"/>
                      <w:szCs w:val="21"/>
                      <w:highlight w:val="none"/>
                      <w:lang w:val="en-US" w:eastAsia="zh-CN"/>
                    </w:rPr>
                    <w:t>与原有项目属于同一行业（均为非金属矿物制品生产行业）</w:t>
                  </w:r>
                  <w:r>
                    <w:rPr>
                      <w:rFonts w:hint="eastAsia" w:cs="Times New Roman"/>
                      <w:color w:val="auto"/>
                      <w:sz w:val="21"/>
                      <w:szCs w:val="21"/>
                      <w:highlight w:val="none"/>
                      <w:lang w:val="en-US" w:eastAsia="zh-CN"/>
                    </w:rPr>
                    <w:t>，因此项目</w:t>
                  </w:r>
                  <w:r>
                    <w:rPr>
                      <w:rFonts w:hint="eastAsia"/>
                      <w:color w:val="auto"/>
                      <w:szCs w:val="21"/>
                      <w:highlight w:val="none"/>
                    </w:rPr>
                    <w:t>与规划的产业布局相符</w:t>
                  </w:r>
                  <w:r>
                    <w:rPr>
                      <w:rFonts w:hint="eastAsia" w:ascii="Times New Roman" w:cs="Times New Roman"/>
                      <w:color w:val="auto"/>
                      <w:sz w:val="21"/>
                      <w:szCs w:val="21"/>
                      <w:highlight w:val="none"/>
                      <w:lang w:eastAsia="zh-CN"/>
                    </w:rPr>
                    <w:t>。</w:t>
                  </w:r>
                  <w:r>
                    <w:rPr>
                      <w:rFonts w:hint="eastAsia" w:hAnsi="宋体"/>
                      <w:color w:val="auto"/>
                      <w:szCs w:val="21"/>
                      <w:highlight w:val="none"/>
                    </w:rPr>
                    <w:t>此外，本项目用地</w:t>
                  </w:r>
                  <w:r>
                    <w:rPr>
                      <w:rFonts w:hint="eastAsia" w:hAnsi="宋体"/>
                      <w:color w:val="auto"/>
                      <w:szCs w:val="21"/>
                      <w:highlight w:val="none"/>
                      <w:lang w:val="en-US" w:eastAsia="zh-CN"/>
                    </w:rPr>
                    <w:t>为建设用地，</w:t>
                  </w:r>
                  <w:r>
                    <w:rPr>
                      <w:rFonts w:hint="eastAsia" w:hAnsi="宋体"/>
                      <w:color w:val="auto"/>
                      <w:szCs w:val="21"/>
                      <w:highlight w:val="none"/>
                    </w:rPr>
                    <w:t>不涉及农用地。</w:t>
                  </w:r>
                </w:p>
              </w:tc>
              <w:tc>
                <w:tcPr>
                  <w:tcW w:w="452" w:type="pct"/>
                  <w:tcBorders>
                    <w:tl2br w:val="nil"/>
                    <w:tr2bl w:val="nil"/>
                  </w:tcBorders>
                  <w:vAlign w:val="center"/>
                </w:tcPr>
                <w:p w14:paraId="48AD7255">
                  <w:pPr>
                    <w:jc w:val="center"/>
                    <w:rPr>
                      <w:color w:val="auto"/>
                      <w:szCs w:val="21"/>
                      <w:highlight w:val="none"/>
                    </w:rPr>
                  </w:pPr>
                  <w:r>
                    <w:rPr>
                      <w:color w:val="auto"/>
                      <w:szCs w:val="21"/>
                      <w:highlight w:val="none"/>
                    </w:rPr>
                    <w:t>符合</w:t>
                  </w:r>
                </w:p>
              </w:tc>
              <w:tc>
                <w:tcPr>
                  <w:tcW w:w="460" w:type="pct"/>
                  <w:vMerge w:val="restart"/>
                  <w:tcBorders>
                    <w:tl2br w:val="nil"/>
                    <w:tr2bl w:val="nil"/>
                  </w:tcBorders>
                  <w:vAlign w:val="center"/>
                </w:tcPr>
                <w:p w14:paraId="1D323259">
                  <w:pPr>
                    <w:jc w:val="center"/>
                    <w:rPr>
                      <w:color w:val="auto"/>
                      <w:szCs w:val="21"/>
                      <w:highlight w:val="none"/>
                    </w:rPr>
                  </w:pPr>
                  <w:r>
                    <w:rPr>
                      <w:rFonts w:hint="eastAsia"/>
                      <w:color w:val="auto"/>
                      <w:szCs w:val="21"/>
                      <w:highlight w:val="none"/>
                      <w:lang w:val="en-US" w:eastAsia="zh-CN"/>
                    </w:rPr>
                    <w:t>40443</w:t>
                  </w:r>
                </w:p>
              </w:tc>
            </w:tr>
            <w:tr w14:paraId="79673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1" w:hRule="atLeast"/>
              </w:trPr>
              <w:tc>
                <w:tcPr>
                  <w:tcW w:w="394" w:type="pct"/>
                  <w:vMerge w:val="continue"/>
                  <w:tcBorders>
                    <w:tl2br w:val="nil"/>
                    <w:tr2bl w:val="nil"/>
                  </w:tcBorders>
                  <w:vAlign w:val="center"/>
                </w:tcPr>
                <w:p w14:paraId="3F49D474">
                  <w:pPr>
                    <w:jc w:val="center"/>
                    <w:rPr>
                      <w:color w:val="auto"/>
                      <w:szCs w:val="21"/>
                      <w:highlight w:val="none"/>
                    </w:rPr>
                  </w:pPr>
                </w:p>
              </w:tc>
              <w:tc>
                <w:tcPr>
                  <w:tcW w:w="783" w:type="pct"/>
                  <w:gridSpan w:val="2"/>
                  <w:tcBorders>
                    <w:tl2br w:val="nil"/>
                    <w:tr2bl w:val="nil"/>
                  </w:tcBorders>
                  <w:vAlign w:val="center"/>
                </w:tcPr>
                <w:p w14:paraId="1F580889">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污染物排放管控</w:t>
                  </w:r>
                </w:p>
              </w:tc>
              <w:tc>
                <w:tcPr>
                  <w:tcW w:w="1806" w:type="pct"/>
                  <w:tcBorders>
                    <w:tl2br w:val="nil"/>
                    <w:tr2bl w:val="nil"/>
                  </w:tcBorders>
                  <w:vAlign w:val="center"/>
                </w:tcPr>
                <w:p w14:paraId="30D6321B">
                  <w:pPr>
                    <w:snapToGrid w:val="0"/>
                    <w:rPr>
                      <w:rFonts w:hint="eastAsia"/>
                      <w:color w:val="auto"/>
                      <w:szCs w:val="21"/>
                      <w:highlight w:val="none"/>
                    </w:rPr>
                  </w:pPr>
                  <w:r>
                    <w:rPr>
                      <w:rFonts w:hint="eastAsia"/>
                      <w:color w:val="auto"/>
                      <w:szCs w:val="21"/>
                      <w:highlight w:val="none"/>
                    </w:rPr>
                    <w:t>大气环境布局敏感重点管控区：1.鼓励将老旧车辆和非道路移动机械替换为清洁能源车辆。推进新能源或清洁能源汽车使用。</w:t>
                  </w:r>
                </w:p>
                <w:p w14:paraId="2B3A2897">
                  <w:pPr>
                    <w:snapToGrid w:val="0"/>
                    <w:rPr>
                      <w:rFonts w:hint="eastAsia"/>
                      <w:color w:val="auto"/>
                      <w:szCs w:val="21"/>
                      <w:highlight w:val="none"/>
                    </w:rPr>
                  </w:pPr>
                  <w:r>
                    <w:rPr>
                      <w:rFonts w:hint="eastAsia"/>
                      <w:color w:val="auto"/>
                      <w:szCs w:val="21"/>
                      <w:highlight w:val="none"/>
                    </w:rPr>
                    <w:t>水环境城镇生活污染重点管控区：1.加强城镇污水收集处理设施建设与提标改造。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p w14:paraId="26D581D0">
                  <w:pPr>
                    <w:snapToGrid w:val="0"/>
                    <w:rPr>
                      <w:color w:val="auto"/>
                      <w:szCs w:val="21"/>
                      <w:highlight w:val="none"/>
                    </w:rPr>
                  </w:pPr>
                  <w:r>
                    <w:rPr>
                      <w:rFonts w:hint="eastAsia"/>
                      <w:b/>
                      <w:bCs/>
                      <w:color w:val="auto"/>
                      <w:szCs w:val="21"/>
                      <w:highlight w:val="none"/>
                    </w:rPr>
                    <w:t>洋县现代材料工业园区</w:t>
                  </w:r>
                  <w:r>
                    <w:rPr>
                      <w:rFonts w:hint="eastAsia"/>
                      <w:color w:val="auto"/>
                      <w:szCs w:val="21"/>
                      <w:highlight w:val="none"/>
                    </w:rPr>
                    <w:t xml:space="preserve"> 1.不得在汉江、溢水河上设置新的废水排放口。2.制定区域污染物减排方案及污染物总量管控要求，采取有效措施减少主要污染物和挥发性有机物等污染物的排放总量，确保区域环境质量达标。3.执行汉中市生态环境要素分区总体准入清单要求中“5.3大气环境布局敏感重点管控区”准入要求。4.执行汉中市生态环境要素分区总体准入清单要求中“5.5 水环境城镇生活污染重点管控区”准入要求。5.农用地污染风险重点管控区执行汉中市生态环境要素分区总体准入清单中“5.6 农用地污染风险重点管控区”准入要求。</w:t>
                  </w:r>
                </w:p>
              </w:tc>
              <w:tc>
                <w:tcPr>
                  <w:tcW w:w="1103" w:type="pct"/>
                  <w:tcBorders>
                    <w:tl2br w:val="nil"/>
                    <w:tr2bl w:val="nil"/>
                  </w:tcBorders>
                  <w:vAlign w:val="center"/>
                </w:tcPr>
                <w:p w14:paraId="73049CB6">
                  <w:pPr>
                    <w:rPr>
                      <w:rFonts w:hint="eastAsia"/>
                      <w:color w:val="auto"/>
                      <w:szCs w:val="21"/>
                      <w:highlight w:val="none"/>
                    </w:rPr>
                  </w:pPr>
                  <w:r>
                    <w:rPr>
                      <w:rFonts w:hint="eastAsia"/>
                      <w:color w:val="auto"/>
                      <w:szCs w:val="21"/>
                      <w:highlight w:val="none"/>
                      <w:lang w:val="en-US" w:eastAsia="zh-CN"/>
                    </w:rPr>
                    <w:t>建设方将优选</w:t>
                  </w:r>
                  <w:r>
                    <w:rPr>
                      <w:rFonts w:hint="eastAsia"/>
                      <w:color w:val="auto"/>
                      <w:szCs w:val="21"/>
                      <w:highlight w:val="none"/>
                    </w:rPr>
                    <w:t>清洁能源汽车使用。</w:t>
                  </w:r>
                </w:p>
                <w:p w14:paraId="587F2F14">
                  <w:pPr>
                    <w:rPr>
                      <w:rFonts w:hint="eastAsia"/>
                      <w:color w:val="auto"/>
                      <w:szCs w:val="21"/>
                      <w:highlight w:val="none"/>
                    </w:rPr>
                  </w:pPr>
                  <w:r>
                    <w:rPr>
                      <w:rFonts w:hint="eastAsia"/>
                      <w:szCs w:val="21"/>
                    </w:rPr>
                    <w:t>厂区实行</w:t>
                  </w:r>
                  <w:r>
                    <w:rPr>
                      <w:szCs w:val="21"/>
                    </w:rPr>
                    <w:t>雨污分流</w:t>
                  </w:r>
                  <w:r>
                    <w:rPr>
                      <w:rFonts w:hint="eastAsia"/>
                      <w:szCs w:val="21"/>
                    </w:rPr>
                    <w:t>措施</w:t>
                  </w:r>
                  <w:r>
                    <w:rPr>
                      <w:rFonts w:hint="eastAsia"/>
                      <w:szCs w:val="21"/>
                      <w:lang w:eastAsia="zh-CN"/>
                    </w:rPr>
                    <w:t>，</w:t>
                  </w:r>
                  <w:r>
                    <w:rPr>
                      <w:szCs w:val="21"/>
                    </w:rPr>
                    <w:t>雨水经雨水渠外排；</w:t>
                  </w:r>
                  <w:r>
                    <w:rPr>
                      <w:rFonts w:hint="eastAsia" w:ascii="Times New Roman" w:hAnsi="Times New Roman" w:eastAsia="宋体" w:cs="Times New Roman"/>
                      <w:color w:val="auto"/>
                      <w:kern w:val="2"/>
                      <w:sz w:val="21"/>
                      <w:szCs w:val="21"/>
                      <w:highlight w:val="none"/>
                      <w:lang w:val="en-US" w:eastAsia="zh-CN" w:bidi="ar-SA"/>
                    </w:rPr>
                    <w:t>项目区生活污水经厂区化粪池处理后</w:t>
                  </w:r>
                  <w:r>
                    <w:rPr>
                      <w:rFonts w:hint="eastAsia" w:cs="Times New Roman"/>
                      <w:color w:val="auto"/>
                      <w:kern w:val="2"/>
                      <w:sz w:val="21"/>
                      <w:szCs w:val="21"/>
                      <w:highlight w:val="none"/>
                      <w:lang w:val="en-US" w:eastAsia="zh-CN" w:bidi="ar-SA"/>
                    </w:rPr>
                    <w:t>用于周边农田施肥</w:t>
                  </w:r>
                  <w:r>
                    <w:rPr>
                      <w:rFonts w:hint="eastAsia" w:ascii="Times New Roman" w:hAnsi="Times New Roman" w:eastAsia="宋体" w:cs="Times New Roman"/>
                      <w:color w:val="auto"/>
                      <w:kern w:val="2"/>
                      <w:sz w:val="21"/>
                      <w:szCs w:val="21"/>
                      <w:highlight w:val="none"/>
                      <w:lang w:val="en-US" w:eastAsia="zh-CN" w:bidi="ar-SA"/>
                    </w:rPr>
                    <w:t>。</w:t>
                  </w:r>
                </w:p>
                <w:p w14:paraId="35D49BAA">
                  <w:pPr>
                    <w:rPr>
                      <w:color w:val="auto"/>
                      <w:szCs w:val="21"/>
                      <w:highlight w:val="none"/>
                    </w:rPr>
                  </w:pPr>
                  <w:r>
                    <w:rPr>
                      <w:rFonts w:hint="eastAsia"/>
                      <w:color w:val="auto"/>
                      <w:szCs w:val="21"/>
                      <w:highlight w:val="none"/>
                    </w:rPr>
                    <w:t>本项目位于环境质量达标区，厂区无废水排放口</w:t>
                  </w:r>
                  <w:r>
                    <w:rPr>
                      <w:rFonts w:hint="eastAsia"/>
                      <w:color w:val="auto"/>
                      <w:szCs w:val="21"/>
                      <w:highlight w:val="none"/>
                      <w:lang w:eastAsia="zh-CN"/>
                    </w:rPr>
                    <w:t>；</w:t>
                  </w:r>
                  <w:r>
                    <w:rPr>
                      <w:rFonts w:hint="eastAsia"/>
                      <w:color w:val="auto"/>
                      <w:szCs w:val="21"/>
                      <w:highlight w:val="none"/>
                    </w:rPr>
                    <w:t>运营期生产废水不外排，</w:t>
                  </w:r>
                  <w:r>
                    <w:rPr>
                      <w:rFonts w:hint="eastAsia"/>
                      <w:color w:val="auto"/>
                      <w:szCs w:val="21"/>
                      <w:highlight w:val="none"/>
                      <w:lang w:val="en-US" w:eastAsia="zh-CN"/>
                    </w:rPr>
                    <w:t>洗砂及</w:t>
                  </w:r>
                  <w:r>
                    <w:rPr>
                      <w:rFonts w:hint="eastAsia"/>
                      <w:color w:val="auto"/>
                      <w:szCs w:val="21"/>
                      <w:highlight w:val="none"/>
                    </w:rPr>
                    <w:t>洗车废水经沉淀池处理后回用。</w:t>
                  </w:r>
                  <w:r>
                    <w:rPr>
                      <w:rFonts w:hint="eastAsia"/>
                      <w:color w:val="auto"/>
                      <w:szCs w:val="21"/>
                      <w:highlight w:val="none"/>
                      <w:lang w:val="en-US" w:eastAsia="zh-CN"/>
                    </w:rPr>
                    <w:t>运营期各生产线废气</w:t>
                  </w:r>
                  <w:r>
                    <w:rPr>
                      <w:rFonts w:hint="eastAsia"/>
                      <w:color w:val="auto"/>
                      <w:szCs w:val="21"/>
                      <w:highlight w:val="none"/>
                    </w:rPr>
                    <w:t>采取集尘设施+</w:t>
                  </w:r>
                  <w:r>
                    <w:rPr>
                      <w:rFonts w:hint="eastAsia"/>
                      <w:color w:val="auto"/>
                      <w:szCs w:val="21"/>
                      <w:highlight w:val="none"/>
                      <w:lang w:val="en-US" w:eastAsia="zh-CN"/>
                    </w:rPr>
                    <w:t>袋式</w:t>
                  </w:r>
                  <w:r>
                    <w:rPr>
                      <w:rFonts w:hint="eastAsia"/>
                      <w:color w:val="auto"/>
                      <w:szCs w:val="21"/>
                      <w:highlight w:val="none"/>
                    </w:rPr>
                    <w:t>除尘</w:t>
                  </w:r>
                  <w:r>
                    <w:rPr>
                      <w:rFonts w:hint="eastAsia"/>
                      <w:color w:val="auto"/>
                      <w:szCs w:val="21"/>
                      <w:highlight w:val="none"/>
                      <w:lang w:val="en-US" w:eastAsia="zh-CN"/>
                    </w:rPr>
                    <w:t>处理后达标排放</w:t>
                  </w:r>
                  <w:r>
                    <w:rPr>
                      <w:rFonts w:hint="eastAsia"/>
                      <w:color w:val="auto"/>
                      <w:szCs w:val="21"/>
                      <w:highlight w:val="none"/>
                      <w:lang w:eastAsia="zh-CN"/>
                    </w:rPr>
                    <w:t>；</w:t>
                  </w:r>
                  <w:r>
                    <w:rPr>
                      <w:rFonts w:hint="eastAsia"/>
                      <w:color w:val="auto"/>
                      <w:szCs w:val="21"/>
                      <w:highlight w:val="none"/>
                    </w:rPr>
                    <w:t>合理控制装卸料高度、原料区进行三面封闭+顶棚处理、成品区封闭处理等措施处理有组织和无组织废气，确保废气达标排放。</w:t>
                  </w:r>
                </w:p>
              </w:tc>
              <w:tc>
                <w:tcPr>
                  <w:tcW w:w="452" w:type="pct"/>
                  <w:tcBorders>
                    <w:tl2br w:val="nil"/>
                    <w:tr2bl w:val="nil"/>
                  </w:tcBorders>
                  <w:vAlign w:val="center"/>
                </w:tcPr>
                <w:p w14:paraId="2081AB14">
                  <w:pPr>
                    <w:jc w:val="center"/>
                    <w:rPr>
                      <w:color w:val="auto"/>
                      <w:szCs w:val="21"/>
                      <w:highlight w:val="none"/>
                    </w:rPr>
                  </w:pPr>
                  <w:r>
                    <w:rPr>
                      <w:color w:val="auto"/>
                      <w:szCs w:val="21"/>
                      <w:highlight w:val="none"/>
                    </w:rPr>
                    <w:t>符合</w:t>
                  </w:r>
                </w:p>
              </w:tc>
              <w:tc>
                <w:tcPr>
                  <w:tcW w:w="460" w:type="pct"/>
                  <w:vMerge w:val="continue"/>
                  <w:tcBorders>
                    <w:tl2br w:val="nil"/>
                    <w:tr2bl w:val="nil"/>
                  </w:tcBorders>
                  <w:vAlign w:val="center"/>
                </w:tcPr>
                <w:p w14:paraId="04591E92">
                  <w:pPr>
                    <w:jc w:val="center"/>
                    <w:rPr>
                      <w:color w:val="auto"/>
                      <w:szCs w:val="21"/>
                      <w:highlight w:val="none"/>
                    </w:rPr>
                  </w:pPr>
                </w:p>
              </w:tc>
            </w:tr>
            <w:tr w14:paraId="6E3FA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394" w:type="pct"/>
                  <w:vMerge w:val="continue"/>
                  <w:tcBorders>
                    <w:tl2br w:val="nil"/>
                    <w:tr2bl w:val="nil"/>
                  </w:tcBorders>
                  <w:vAlign w:val="center"/>
                </w:tcPr>
                <w:p w14:paraId="72D2CCDB">
                  <w:pPr>
                    <w:jc w:val="center"/>
                    <w:rPr>
                      <w:color w:val="auto"/>
                      <w:szCs w:val="21"/>
                      <w:highlight w:val="none"/>
                    </w:rPr>
                  </w:pPr>
                </w:p>
              </w:tc>
              <w:tc>
                <w:tcPr>
                  <w:tcW w:w="783" w:type="pct"/>
                  <w:gridSpan w:val="2"/>
                  <w:tcBorders>
                    <w:tl2br w:val="nil"/>
                    <w:tr2bl w:val="nil"/>
                  </w:tcBorders>
                  <w:vAlign w:val="center"/>
                </w:tcPr>
                <w:p w14:paraId="34EEF782">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环境风险防控</w:t>
                  </w:r>
                </w:p>
              </w:tc>
              <w:tc>
                <w:tcPr>
                  <w:tcW w:w="1806" w:type="pct"/>
                  <w:tcBorders>
                    <w:tl2br w:val="nil"/>
                    <w:tr2bl w:val="nil"/>
                  </w:tcBorders>
                  <w:vAlign w:val="center"/>
                </w:tcPr>
                <w:p w14:paraId="2C159277">
                  <w:pPr>
                    <w:snapToGrid w:val="0"/>
                    <w:jc w:val="left"/>
                    <w:rPr>
                      <w:color w:val="auto"/>
                      <w:kern w:val="0"/>
                      <w:szCs w:val="21"/>
                      <w:highlight w:val="none"/>
                    </w:rPr>
                  </w:pPr>
                  <w:r>
                    <w:rPr>
                      <w:rFonts w:hint="eastAsia"/>
                      <w:color w:val="auto"/>
                      <w:kern w:val="0"/>
                      <w:szCs w:val="21"/>
                      <w:highlight w:val="none"/>
                    </w:rPr>
                    <w:t>1.</w:t>
                  </w:r>
                  <w:r>
                    <w:rPr>
                      <w:color w:val="auto"/>
                      <w:kern w:val="0"/>
                      <w:szCs w:val="21"/>
                      <w:highlight w:val="none"/>
                    </w:rPr>
                    <w:t>加强园区危险化学品等储运的环境风险管理，强化应急响应联动机制，防范对汉江水质的影响，保证区域的水环境安全。</w:t>
                  </w:r>
                </w:p>
                <w:p w14:paraId="3E623BFB">
                  <w:pPr>
                    <w:snapToGrid w:val="0"/>
                    <w:jc w:val="left"/>
                    <w:rPr>
                      <w:color w:val="auto"/>
                      <w:szCs w:val="21"/>
                      <w:highlight w:val="none"/>
                    </w:rPr>
                  </w:pPr>
                  <w:r>
                    <w:rPr>
                      <w:color w:val="auto"/>
                      <w:szCs w:val="21"/>
                      <w:highlight w:val="none"/>
                      <w:lang w:bidi="zh-CN"/>
                    </w:rPr>
                    <w:t>2.农用地安全利用重点管控区执行本清单汉中市总体准入要求中“</w:t>
                  </w:r>
                  <w:r>
                    <w:rPr>
                      <w:b/>
                      <w:color w:val="auto"/>
                      <w:szCs w:val="21"/>
                      <w:highlight w:val="none"/>
                      <w:lang w:bidi="zh-CN"/>
                    </w:rPr>
                    <w:t>5.</w:t>
                  </w:r>
                  <w:r>
                    <w:rPr>
                      <w:rFonts w:hint="eastAsia"/>
                      <w:b/>
                      <w:color w:val="auto"/>
                      <w:szCs w:val="21"/>
                      <w:highlight w:val="none"/>
                      <w:lang w:val="en-US" w:bidi="zh-CN"/>
                    </w:rPr>
                    <w:t>6</w:t>
                  </w:r>
                  <w:r>
                    <w:rPr>
                      <w:b/>
                      <w:color w:val="auto"/>
                      <w:szCs w:val="21"/>
                      <w:highlight w:val="none"/>
                      <w:lang w:bidi="zh-CN"/>
                    </w:rPr>
                    <w:t>农用地污染风险重点管控区</w:t>
                  </w:r>
                  <w:r>
                    <w:rPr>
                      <w:color w:val="auto"/>
                      <w:szCs w:val="21"/>
                      <w:highlight w:val="none"/>
                      <w:lang w:bidi="zh-CN"/>
                    </w:rPr>
                    <w:t>”准入要求。</w:t>
                  </w:r>
                </w:p>
              </w:tc>
              <w:tc>
                <w:tcPr>
                  <w:tcW w:w="1103" w:type="pct"/>
                  <w:tcBorders>
                    <w:tl2br w:val="nil"/>
                    <w:tr2bl w:val="nil"/>
                  </w:tcBorders>
                  <w:vAlign w:val="center"/>
                </w:tcPr>
                <w:p w14:paraId="34D1110C">
                  <w:pPr>
                    <w:rPr>
                      <w:color w:val="auto"/>
                      <w:szCs w:val="21"/>
                      <w:highlight w:val="none"/>
                    </w:rPr>
                  </w:pPr>
                  <w:r>
                    <w:rPr>
                      <w:rFonts w:hint="eastAsia"/>
                      <w:color w:val="auto"/>
                      <w:szCs w:val="21"/>
                      <w:highlight w:val="none"/>
                    </w:rPr>
                    <w:t>本项目环境风险物质—废润滑油采用专用容器收集后</w:t>
                  </w:r>
                  <w:r>
                    <w:rPr>
                      <w:rFonts w:hint="eastAsia"/>
                      <w:color w:val="auto"/>
                      <w:szCs w:val="21"/>
                      <w:highlight w:val="none"/>
                      <w:lang w:val="en-US" w:eastAsia="zh-CN"/>
                    </w:rPr>
                    <w:t>暂存</w:t>
                  </w:r>
                  <w:r>
                    <w:rPr>
                      <w:rFonts w:hint="eastAsia"/>
                      <w:color w:val="auto"/>
                      <w:szCs w:val="21"/>
                      <w:highlight w:val="none"/>
                    </w:rPr>
                    <w:t>于危废</w:t>
                  </w:r>
                  <w:r>
                    <w:rPr>
                      <w:rFonts w:hint="eastAsia"/>
                      <w:color w:val="auto"/>
                      <w:szCs w:val="21"/>
                      <w:highlight w:val="none"/>
                      <w:lang w:val="en-US" w:eastAsia="zh-CN"/>
                    </w:rPr>
                    <w:t>贮存库</w:t>
                  </w:r>
                  <w:r>
                    <w:rPr>
                      <w:rFonts w:hint="eastAsia"/>
                      <w:color w:val="auto"/>
                      <w:szCs w:val="21"/>
                      <w:highlight w:val="none"/>
                    </w:rPr>
                    <w:t>，危废</w:t>
                  </w:r>
                  <w:r>
                    <w:rPr>
                      <w:rFonts w:hint="eastAsia"/>
                      <w:color w:val="auto"/>
                      <w:szCs w:val="21"/>
                      <w:highlight w:val="none"/>
                      <w:lang w:val="en-US" w:eastAsia="zh-CN"/>
                    </w:rPr>
                    <w:t>贮存库地面重点防渗，</w:t>
                  </w:r>
                  <w:r>
                    <w:rPr>
                      <w:rFonts w:hint="eastAsia"/>
                      <w:color w:val="auto"/>
                      <w:szCs w:val="21"/>
                      <w:highlight w:val="none"/>
                    </w:rPr>
                    <w:t>底部设置托盘，执行定期巡检制度，运营期不会对汉江水质造成影响。</w:t>
                  </w:r>
                  <w:r>
                    <w:rPr>
                      <w:rFonts w:hint="eastAsia" w:hAnsi="宋体"/>
                      <w:color w:val="auto"/>
                      <w:szCs w:val="21"/>
                      <w:highlight w:val="none"/>
                    </w:rPr>
                    <w:t>此外，本项目用地为工业用地，不涉及农用地。</w:t>
                  </w:r>
                </w:p>
              </w:tc>
              <w:tc>
                <w:tcPr>
                  <w:tcW w:w="452" w:type="pct"/>
                  <w:tcBorders>
                    <w:tl2br w:val="nil"/>
                    <w:tr2bl w:val="nil"/>
                  </w:tcBorders>
                  <w:vAlign w:val="center"/>
                </w:tcPr>
                <w:p w14:paraId="26F15672">
                  <w:pPr>
                    <w:jc w:val="center"/>
                    <w:rPr>
                      <w:color w:val="auto"/>
                      <w:szCs w:val="21"/>
                      <w:highlight w:val="none"/>
                    </w:rPr>
                  </w:pPr>
                  <w:r>
                    <w:rPr>
                      <w:color w:val="auto"/>
                      <w:szCs w:val="21"/>
                      <w:highlight w:val="none"/>
                    </w:rPr>
                    <w:t>符合</w:t>
                  </w:r>
                </w:p>
              </w:tc>
              <w:tc>
                <w:tcPr>
                  <w:tcW w:w="460" w:type="pct"/>
                  <w:vMerge w:val="continue"/>
                  <w:tcBorders>
                    <w:tl2br w:val="nil"/>
                    <w:tr2bl w:val="nil"/>
                  </w:tcBorders>
                  <w:vAlign w:val="center"/>
                </w:tcPr>
                <w:p w14:paraId="78B6B8F3">
                  <w:pPr>
                    <w:jc w:val="center"/>
                    <w:rPr>
                      <w:color w:val="auto"/>
                      <w:szCs w:val="21"/>
                      <w:highlight w:val="none"/>
                    </w:rPr>
                  </w:pPr>
                </w:p>
              </w:tc>
            </w:tr>
            <w:tr w14:paraId="20CC5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4" w:hRule="atLeast"/>
              </w:trPr>
              <w:tc>
                <w:tcPr>
                  <w:tcW w:w="394" w:type="pct"/>
                  <w:vMerge w:val="continue"/>
                  <w:tcBorders>
                    <w:tl2br w:val="nil"/>
                    <w:tr2bl w:val="nil"/>
                  </w:tcBorders>
                  <w:vAlign w:val="center"/>
                </w:tcPr>
                <w:p w14:paraId="060F6D64">
                  <w:pPr>
                    <w:jc w:val="center"/>
                    <w:rPr>
                      <w:color w:val="auto"/>
                      <w:szCs w:val="21"/>
                      <w:highlight w:val="none"/>
                    </w:rPr>
                  </w:pPr>
                </w:p>
              </w:tc>
              <w:tc>
                <w:tcPr>
                  <w:tcW w:w="783" w:type="pct"/>
                  <w:gridSpan w:val="2"/>
                  <w:tcBorders>
                    <w:tl2br w:val="nil"/>
                    <w:tr2bl w:val="nil"/>
                  </w:tcBorders>
                  <w:vAlign w:val="center"/>
                </w:tcPr>
                <w:p w14:paraId="110C52F8">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资源</w:t>
                  </w:r>
                  <w:r>
                    <w:rPr>
                      <w:rFonts w:hint="eastAsia" w:ascii="宋体" w:hAnsi="宋体" w:cs="宋体"/>
                      <w:color w:val="auto"/>
                      <w:kern w:val="0"/>
                      <w:szCs w:val="21"/>
                      <w:highlight w:val="none"/>
                      <w:lang w:val="en-US" w:eastAsia="zh-CN"/>
                    </w:rPr>
                    <w:t>开发</w:t>
                  </w:r>
                  <w:r>
                    <w:rPr>
                      <w:rFonts w:hint="eastAsia" w:ascii="宋体" w:hAnsi="宋体" w:cs="宋体"/>
                      <w:color w:val="auto"/>
                      <w:kern w:val="0"/>
                      <w:szCs w:val="21"/>
                      <w:highlight w:val="none"/>
                    </w:rPr>
                    <w:t>效率要求</w:t>
                  </w:r>
                </w:p>
              </w:tc>
              <w:tc>
                <w:tcPr>
                  <w:tcW w:w="1806" w:type="pct"/>
                  <w:tcBorders>
                    <w:tl2br w:val="nil"/>
                    <w:tr2bl w:val="nil"/>
                  </w:tcBorders>
                  <w:vAlign w:val="center"/>
                </w:tcPr>
                <w:p w14:paraId="55F0EC40">
                  <w:pPr>
                    <w:snapToGrid w:val="0"/>
                    <w:jc w:val="left"/>
                    <w:rPr>
                      <w:rFonts w:hint="eastAsia"/>
                      <w:color w:val="auto"/>
                      <w:szCs w:val="21"/>
                      <w:highlight w:val="none"/>
                    </w:rPr>
                  </w:pPr>
                  <w:r>
                    <w:rPr>
                      <w:rFonts w:hint="eastAsia"/>
                      <w:color w:val="auto"/>
                      <w:szCs w:val="21"/>
                      <w:highlight w:val="none"/>
                    </w:rPr>
                    <w:t>土地资源重点管控区：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w:t>
                  </w:r>
                </w:p>
                <w:p w14:paraId="177842ED">
                  <w:pPr>
                    <w:snapToGrid w:val="0"/>
                    <w:jc w:val="both"/>
                    <w:rPr>
                      <w:color w:val="auto"/>
                      <w:szCs w:val="21"/>
                      <w:highlight w:val="none"/>
                    </w:rPr>
                  </w:pPr>
                  <w:r>
                    <w:rPr>
                      <w:rFonts w:hint="eastAsia"/>
                      <w:color w:val="auto"/>
                      <w:szCs w:val="21"/>
                      <w:highlight w:val="none"/>
                    </w:rPr>
                    <w:t>洋县现代材料工业园区 1.优化区内能源结构、提升清洁能源使用率、循环利用</w:t>
                  </w:r>
                  <w:r>
                    <w:rPr>
                      <w:rFonts w:hint="eastAsia"/>
                      <w:color w:val="auto"/>
                      <w:szCs w:val="21"/>
                      <w:highlight w:val="none"/>
                      <w:lang w:eastAsia="zh-CN"/>
                    </w:rPr>
                    <w:t>。</w:t>
                  </w:r>
                  <w:r>
                    <w:rPr>
                      <w:rFonts w:hint="eastAsia"/>
                      <w:color w:val="auto"/>
                      <w:szCs w:val="21"/>
                      <w:highlight w:val="none"/>
                    </w:rPr>
                    <w:t>规划应明确园区污水处理厂建设进度计划，同步规划中水用系统，污废水经处理后尽量综合利用。2.执行汉中市生态环境要素分区总体准入清单要求中“5.9土地资源重点管控区”准入要求。</w:t>
                  </w:r>
                </w:p>
              </w:tc>
              <w:tc>
                <w:tcPr>
                  <w:tcW w:w="1103" w:type="pct"/>
                  <w:tcBorders>
                    <w:tl2br w:val="nil"/>
                    <w:tr2bl w:val="nil"/>
                  </w:tcBorders>
                  <w:vAlign w:val="center"/>
                </w:tcPr>
                <w:p w14:paraId="090FDAB1">
                  <w:pPr>
                    <w:rPr>
                      <w:color w:val="auto"/>
                      <w:szCs w:val="21"/>
                      <w:highlight w:val="none"/>
                    </w:rPr>
                  </w:pPr>
                  <w:r>
                    <w:rPr>
                      <w:rFonts w:hint="eastAsia" w:hAnsi="宋体"/>
                      <w:color w:val="auto"/>
                      <w:szCs w:val="21"/>
                      <w:highlight w:val="none"/>
                    </w:rPr>
                    <w:t>本项目</w:t>
                  </w:r>
                  <w:r>
                    <w:rPr>
                      <w:rFonts w:hint="eastAsia"/>
                      <w:color w:val="auto"/>
                      <w:szCs w:val="21"/>
                      <w:highlight w:val="none"/>
                    </w:rPr>
                    <w:t>在工业产业区块内布局</w:t>
                  </w:r>
                  <w:r>
                    <w:rPr>
                      <w:rFonts w:hint="eastAsia"/>
                      <w:color w:val="auto"/>
                      <w:szCs w:val="21"/>
                      <w:highlight w:val="none"/>
                      <w:lang w:eastAsia="zh-CN"/>
                    </w:rPr>
                    <w:t>，</w:t>
                  </w:r>
                  <w:r>
                    <w:rPr>
                      <w:rFonts w:hint="eastAsia" w:hAnsi="宋体"/>
                      <w:color w:val="auto"/>
                      <w:szCs w:val="21"/>
                      <w:highlight w:val="none"/>
                    </w:rPr>
                    <w:t>用地为</w:t>
                  </w:r>
                  <w:r>
                    <w:rPr>
                      <w:rFonts w:hint="eastAsia" w:hAnsi="宋体"/>
                      <w:color w:val="auto"/>
                      <w:szCs w:val="21"/>
                      <w:highlight w:val="none"/>
                      <w:lang w:val="en-US" w:eastAsia="zh-CN"/>
                    </w:rPr>
                    <w:t>建设</w:t>
                  </w:r>
                  <w:r>
                    <w:rPr>
                      <w:rFonts w:hint="eastAsia" w:hAnsi="宋体"/>
                      <w:color w:val="auto"/>
                      <w:szCs w:val="21"/>
                      <w:highlight w:val="none"/>
                    </w:rPr>
                    <w:t>用地。</w:t>
                  </w:r>
                  <w:r>
                    <w:rPr>
                      <w:rFonts w:hint="eastAsia"/>
                      <w:color w:val="auto"/>
                      <w:szCs w:val="21"/>
                      <w:highlight w:val="none"/>
                    </w:rPr>
                    <w:t>本项目采用清洁能源—电，运营期生产废水</w:t>
                  </w:r>
                  <w:r>
                    <w:rPr>
                      <w:rFonts w:hint="eastAsia"/>
                      <w:color w:val="auto"/>
                      <w:szCs w:val="21"/>
                      <w:highlight w:val="none"/>
                      <w:lang w:val="en-US" w:eastAsia="zh-CN"/>
                    </w:rPr>
                    <w:t>循环利用不外排</w:t>
                  </w:r>
                  <w:r>
                    <w:rPr>
                      <w:rFonts w:hint="eastAsia"/>
                      <w:color w:val="auto"/>
                      <w:szCs w:val="21"/>
                      <w:highlight w:val="none"/>
                    </w:rPr>
                    <w:t>，生活污水经化粪池处理后</w:t>
                  </w:r>
                  <w:r>
                    <w:rPr>
                      <w:rFonts w:hint="eastAsia"/>
                      <w:color w:val="auto"/>
                      <w:szCs w:val="21"/>
                      <w:highlight w:val="none"/>
                      <w:lang w:val="en-US" w:eastAsia="zh-CN"/>
                    </w:rPr>
                    <w:t>用于周边农田施肥</w:t>
                  </w:r>
                  <w:r>
                    <w:rPr>
                      <w:rFonts w:hint="eastAsia"/>
                      <w:color w:val="auto"/>
                      <w:szCs w:val="21"/>
                      <w:highlight w:val="none"/>
                    </w:rPr>
                    <w:t>。</w:t>
                  </w:r>
                </w:p>
              </w:tc>
              <w:tc>
                <w:tcPr>
                  <w:tcW w:w="452" w:type="pct"/>
                  <w:tcBorders>
                    <w:tl2br w:val="nil"/>
                    <w:tr2bl w:val="nil"/>
                  </w:tcBorders>
                  <w:vAlign w:val="center"/>
                </w:tcPr>
                <w:p w14:paraId="61B7347C">
                  <w:pPr>
                    <w:jc w:val="center"/>
                    <w:rPr>
                      <w:color w:val="auto"/>
                      <w:szCs w:val="21"/>
                      <w:highlight w:val="none"/>
                    </w:rPr>
                  </w:pPr>
                  <w:r>
                    <w:rPr>
                      <w:color w:val="auto"/>
                      <w:szCs w:val="21"/>
                      <w:highlight w:val="none"/>
                    </w:rPr>
                    <w:t>符合</w:t>
                  </w:r>
                </w:p>
              </w:tc>
              <w:tc>
                <w:tcPr>
                  <w:tcW w:w="460" w:type="pct"/>
                  <w:vMerge w:val="continue"/>
                  <w:tcBorders>
                    <w:tl2br w:val="nil"/>
                    <w:tr2bl w:val="nil"/>
                  </w:tcBorders>
                  <w:vAlign w:val="center"/>
                </w:tcPr>
                <w:p w14:paraId="3F0260AC">
                  <w:pPr>
                    <w:jc w:val="center"/>
                    <w:rPr>
                      <w:color w:val="auto"/>
                      <w:szCs w:val="21"/>
                      <w:highlight w:val="none"/>
                    </w:rPr>
                  </w:pPr>
                </w:p>
              </w:tc>
            </w:tr>
            <w:tr w14:paraId="5A9DB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4" w:hRule="atLeast"/>
              </w:trPr>
              <w:tc>
                <w:tcPr>
                  <w:tcW w:w="394" w:type="pct"/>
                  <w:vMerge w:val="restart"/>
                  <w:tcBorders>
                    <w:tl2br w:val="nil"/>
                    <w:tr2bl w:val="nil"/>
                  </w:tcBorders>
                  <w:vAlign w:val="center"/>
                </w:tcPr>
                <w:p w14:paraId="6923B762">
                  <w:pPr>
                    <w:jc w:val="center"/>
                    <w:rPr>
                      <w:rFonts w:hint="eastAsia"/>
                      <w:color w:val="auto"/>
                      <w:szCs w:val="21"/>
                      <w:highlight w:val="none"/>
                    </w:rPr>
                  </w:pPr>
                  <w:r>
                    <w:rPr>
                      <w:rFonts w:hint="eastAsia"/>
                      <w:color w:val="auto"/>
                      <w:szCs w:val="21"/>
                      <w:highlight w:val="none"/>
                    </w:rPr>
                    <w:t>陕西省 汉中市</w:t>
                  </w:r>
                </w:p>
                <w:p w14:paraId="691B714C">
                  <w:pPr>
                    <w:jc w:val="center"/>
                    <w:rPr>
                      <w:rFonts w:hint="eastAsia"/>
                      <w:color w:val="auto"/>
                      <w:szCs w:val="21"/>
                      <w:highlight w:val="none"/>
                    </w:rPr>
                  </w:pPr>
                  <w:r>
                    <w:rPr>
                      <w:rFonts w:hint="eastAsia"/>
                      <w:color w:val="auto"/>
                      <w:szCs w:val="21"/>
                      <w:highlight w:val="none"/>
                    </w:rPr>
                    <w:t>洋县重 点管控</w:t>
                  </w:r>
                </w:p>
                <w:p w14:paraId="7452A70B">
                  <w:pPr>
                    <w:jc w:val="center"/>
                    <w:rPr>
                      <w:color w:val="auto"/>
                      <w:szCs w:val="21"/>
                      <w:highlight w:val="none"/>
                    </w:rPr>
                  </w:pPr>
                  <w:r>
                    <w:rPr>
                      <w:rFonts w:hint="eastAsia"/>
                      <w:color w:val="auto"/>
                      <w:szCs w:val="21"/>
                      <w:highlight w:val="none"/>
                    </w:rPr>
                    <w:t>单元1</w:t>
                  </w:r>
                </w:p>
              </w:tc>
              <w:tc>
                <w:tcPr>
                  <w:tcW w:w="391" w:type="pct"/>
                  <w:tcBorders>
                    <w:tl2br w:val="nil"/>
                    <w:tr2bl w:val="nil"/>
                  </w:tcBorders>
                  <w:vAlign w:val="center"/>
                </w:tcPr>
                <w:p w14:paraId="5AF8DDFD">
                  <w:pPr>
                    <w:widowControl/>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大气环境布局敏感重点管控区、水</w:t>
                  </w:r>
                </w:p>
                <w:p w14:paraId="771C8CA1">
                  <w:pPr>
                    <w:widowControl/>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环境城镇生活污染重点管控区</w:t>
                  </w:r>
                </w:p>
              </w:tc>
              <w:tc>
                <w:tcPr>
                  <w:tcW w:w="391" w:type="pct"/>
                  <w:tcBorders>
                    <w:tl2br w:val="nil"/>
                    <w:tr2bl w:val="nil"/>
                  </w:tcBorders>
                  <w:vAlign w:val="center"/>
                </w:tcPr>
                <w:p w14:paraId="49C4B5DE">
                  <w:pPr>
                    <w:widowControl/>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空间布局约束</w:t>
                  </w:r>
                </w:p>
              </w:tc>
              <w:tc>
                <w:tcPr>
                  <w:tcW w:w="1806" w:type="pct"/>
                  <w:tcBorders>
                    <w:tl2br w:val="nil"/>
                    <w:tr2bl w:val="nil"/>
                  </w:tcBorders>
                  <w:vAlign w:val="center"/>
                </w:tcPr>
                <w:p w14:paraId="4BA33081">
                  <w:pPr>
                    <w:snapToGrid w:val="0"/>
                    <w:jc w:val="both"/>
                    <w:rPr>
                      <w:rFonts w:hint="eastAsia"/>
                      <w:color w:val="auto"/>
                      <w:szCs w:val="21"/>
                      <w:highlight w:val="none"/>
                    </w:rPr>
                  </w:pPr>
                  <w:r>
                    <w:rPr>
                      <w:rFonts w:hint="eastAsia"/>
                      <w:color w:val="auto"/>
                      <w:szCs w:val="21"/>
                      <w:highlight w:val="none"/>
                    </w:rPr>
                    <w:t>大气环境布局敏感重点管控区：1.严格控制新增《陕西省“两高”项目管理暂行目录》行业项目（民生等项目除外，后续对“两高”范围国家如有新规定的，从其规定）。</w:t>
                  </w:r>
                </w:p>
                <w:p w14:paraId="48F0E920">
                  <w:pPr>
                    <w:numPr>
                      <w:ilvl w:val="0"/>
                      <w:numId w:val="0"/>
                    </w:numPr>
                    <w:snapToGrid w:val="0"/>
                    <w:jc w:val="both"/>
                    <w:rPr>
                      <w:rFonts w:hint="eastAsia"/>
                      <w:color w:val="auto"/>
                      <w:szCs w:val="21"/>
                      <w:highlight w:val="none"/>
                    </w:rPr>
                  </w:pPr>
                  <w:r>
                    <w:rPr>
                      <w:rFonts w:hint="eastAsia"/>
                      <w:color w:val="auto"/>
                      <w:szCs w:val="21"/>
                      <w:highlight w:val="none"/>
                      <w:lang w:val="en-US" w:eastAsia="zh-CN"/>
                    </w:rPr>
                    <w:t>2.</w:t>
                  </w:r>
                  <w:r>
                    <w:rPr>
                      <w:rFonts w:hint="eastAsia"/>
                      <w:color w:val="auto"/>
                      <w:szCs w:val="21"/>
                      <w:highlight w:val="none"/>
                    </w:rPr>
                    <w:t>推动重污染企业搬迁入园或依法关闭。</w:t>
                  </w:r>
                </w:p>
                <w:p w14:paraId="4B261EB4">
                  <w:pPr>
                    <w:numPr>
                      <w:ilvl w:val="0"/>
                      <w:numId w:val="0"/>
                    </w:numPr>
                    <w:snapToGrid w:val="0"/>
                    <w:jc w:val="both"/>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rPr>
                    <w:t>水环境城镇生活污染重点管控区：加快建设城中村、老旧城区、建制镇、城乡结合部等生活污水收集管网，填补污水收集管网空白区。新建居住社区应同步规划、建设污水收集管网，推动支线管网和出户管的连接建设。</w:t>
                  </w:r>
                </w:p>
              </w:tc>
              <w:tc>
                <w:tcPr>
                  <w:tcW w:w="1103" w:type="pct"/>
                  <w:tcBorders>
                    <w:tl2br w:val="nil"/>
                    <w:tr2bl w:val="nil"/>
                  </w:tcBorders>
                  <w:vAlign w:val="center"/>
                </w:tcPr>
                <w:p w14:paraId="5ADD8E67">
                  <w:pPr>
                    <w:keepNext w:val="0"/>
                    <w:keepLines w:val="0"/>
                    <w:suppressLineNumbers w:val="0"/>
                    <w:spacing w:before="0" w:beforeAutospacing="0" w:after="0" w:afterAutospacing="0"/>
                    <w:ind w:left="0" w:right="0"/>
                    <w:jc w:val="both"/>
                    <w:rPr>
                      <w:rFonts w:hint="eastAsia" w:hAnsi="宋体"/>
                      <w:color w:val="auto"/>
                      <w:szCs w:val="21"/>
                      <w:highlight w:val="none"/>
                    </w:rPr>
                  </w:pPr>
                  <w:r>
                    <w:rPr>
                      <w:rFonts w:hint="default"/>
                      <w:color w:val="auto"/>
                      <w:szCs w:val="21"/>
                      <w:highlight w:val="none"/>
                    </w:rPr>
                    <w:t>根据《陕西省</w:t>
                  </w:r>
                  <w:r>
                    <w:rPr>
                      <w:rFonts w:hint="eastAsia"/>
                      <w:color w:val="auto"/>
                      <w:szCs w:val="21"/>
                      <w:highlight w:val="none"/>
                    </w:rPr>
                    <w:t>“</w:t>
                  </w:r>
                  <w:r>
                    <w:rPr>
                      <w:rFonts w:hint="default"/>
                      <w:color w:val="auto"/>
                      <w:szCs w:val="21"/>
                      <w:highlight w:val="none"/>
                    </w:rPr>
                    <w:t>两高</w:t>
                  </w:r>
                  <w:r>
                    <w:rPr>
                      <w:rFonts w:hint="eastAsia"/>
                      <w:color w:val="auto"/>
                      <w:szCs w:val="21"/>
                      <w:highlight w:val="none"/>
                    </w:rPr>
                    <w:t>”</w:t>
                  </w:r>
                  <w:r>
                    <w:rPr>
                      <w:rFonts w:hint="default"/>
                      <w:color w:val="auto"/>
                      <w:szCs w:val="21"/>
                      <w:highlight w:val="none"/>
                    </w:rPr>
                    <w:t>项目</w:t>
                  </w:r>
                  <w:r>
                    <w:rPr>
                      <w:rFonts w:hint="eastAsia"/>
                      <w:color w:val="auto"/>
                      <w:szCs w:val="21"/>
                      <w:highlight w:val="none"/>
                      <w:lang w:val="en-US" w:eastAsia="zh-CN"/>
                    </w:rPr>
                    <w:t>重点管理范围</w:t>
                  </w:r>
                  <w:r>
                    <w:rPr>
                      <w:rFonts w:hint="default"/>
                      <w:color w:val="auto"/>
                      <w:szCs w:val="21"/>
                      <w:highlight w:val="none"/>
                    </w:rPr>
                    <w:t>（202</w:t>
                  </w:r>
                  <w:r>
                    <w:rPr>
                      <w:rFonts w:hint="eastAsia"/>
                      <w:color w:val="auto"/>
                      <w:szCs w:val="21"/>
                      <w:highlight w:val="none"/>
                      <w:lang w:val="en-US" w:eastAsia="zh-CN"/>
                    </w:rPr>
                    <w:t>5</w:t>
                  </w:r>
                  <w:r>
                    <w:rPr>
                      <w:rFonts w:hint="default"/>
                      <w:color w:val="auto"/>
                      <w:szCs w:val="21"/>
                      <w:highlight w:val="none"/>
                    </w:rPr>
                    <w:t>年版）》（陕发改环资</w:t>
                  </w:r>
                  <w:r>
                    <w:rPr>
                      <w:rFonts w:hint="eastAsia"/>
                      <w:color w:val="auto"/>
                      <w:szCs w:val="21"/>
                      <w:highlight w:val="none"/>
                      <w:lang w:eastAsia="zh-CN"/>
                    </w:rPr>
                    <w:t>〔</w:t>
                  </w:r>
                  <w:r>
                    <w:rPr>
                      <w:rFonts w:hint="default"/>
                      <w:color w:val="auto"/>
                      <w:szCs w:val="21"/>
                      <w:highlight w:val="none"/>
                    </w:rPr>
                    <w:t>202</w:t>
                  </w:r>
                  <w:r>
                    <w:rPr>
                      <w:rFonts w:hint="eastAsia"/>
                      <w:color w:val="auto"/>
                      <w:szCs w:val="21"/>
                      <w:highlight w:val="none"/>
                      <w:lang w:val="en-US" w:eastAsia="zh-CN"/>
                    </w:rPr>
                    <w:t>5</w:t>
                  </w:r>
                  <w:r>
                    <w:rPr>
                      <w:rFonts w:hint="eastAsia"/>
                      <w:color w:val="auto"/>
                      <w:szCs w:val="21"/>
                      <w:highlight w:val="none"/>
                      <w:lang w:eastAsia="zh-CN"/>
                    </w:rPr>
                    <w:t>〕</w:t>
                  </w:r>
                  <w:r>
                    <w:rPr>
                      <w:rFonts w:hint="eastAsia"/>
                      <w:color w:val="auto"/>
                      <w:szCs w:val="21"/>
                      <w:highlight w:val="none"/>
                      <w:lang w:val="en-US" w:eastAsia="zh-CN"/>
                    </w:rPr>
                    <w:t>703</w:t>
                  </w:r>
                  <w:r>
                    <w:rPr>
                      <w:rFonts w:hint="default"/>
                      <w:color w:val="auto"/>
                      <w:szCs w:val="21"/>
                      <w:highlight w:val="none"/>
                    </w:rPr>
                    <w:t>号）可知</w:t>
                  </w:r>
                  <w:r>
                    <w:rPr>
                      <w:rFonts w:hint="eastAsia"/>
                      <w:color w:val="auto"/>
                      <w:szCs w:val="21"/>
                      <w:highlight w:val="none"/>
                    </w:rPr>
                    <w:t>，本项目不属于“两高”项目</w:t>
                  </w:r>
                  <w:r>
                    <w:rPr>
                      <w:rFonts w:hint="eastAsia"/>
                      <w:color w:val="auto"/>
                      <w:szCs w:val="21"/>
                      <w:highlight w:val="none"/>
                      <w:lang w:eastAsia="zh-CN"/>
                    </w:rPr>
                    <w:t>。</w:t>
                  </w:r>
                  <w:r>
                    <w:rPr>
                      <w:rFonts w:hint="eastAsia"/>
                      <w:color w:val="auto"/>
                      <w:szCs w:val="21"/>
                      <w:highlight w:val="none"/>
                      <w:lang w:val="en-US" w:eastAsia="zh-CN"/>
                    </w:rPr>
                    <w:t>建设方不属于重污染企业。</w:t>
                  </w:r>
                </w:p>
              </w:tc>
              <w:tc>
                <w:tcPr>
                  <w:tcW w:w="452" w:type="pct"/>
                  <w:tcBorders>
                    <w:tl2br w:val="nil"/>
                    <w:tr2bl w:val="nil"/>
                  </w:tcBorders>
                  <w:vAlign w:val="center"/>
                </w:tcPr>
                <w:p w14:paraId="04D0CDFB">
                  <w:pPr>
                    <w:jc w:val="center"/>
                    <w:rPr>
                      <w:color w:val="auto"/>
                      <w:szCs w:val="21"/>
                      <w:highlight w:val="none"/>
                    </w:rPr>
                  </w:pPr>
                  <w:r>
                    <w:rPr>
                      <w:color w:val="auto"/>
                      <w:szCs w:val="21"/>
                      <w:highlight w:val="none"/>
                    </w:rPr>
                    <w:t>符合</w:t>
                  </w:r>
                </w:p>
              </w:tc>
              <w:tc>
                <w:tcPr>
                  <w:tcW w:w="460" w:type="pct"/>
                  <w:vMerge w:val="restart"/>
                  <w:tcBorders>
                    <w:tl2br w:val="nil"/>
                    <w:tr2bl w:val="nil"/>
                  </w:tcBorders>
                  <w:vAlign w:val="center"/>
                </w:tcPr>
                <w:p w14:paraId="2F4D5E28">
                  <w:pPr>
                    <w:jc w:val="center"/>
                    <w:rPr>
                      <w:rFonts w:hint="default" w:eastAsia="宋体"/>
                      <w:color w:val="auto"/>
                      <w:szCs w:val="21"/>
                      <w:highlight w:val="none"/>
                      <w:lang w:val="en-US" w:eastAsia="zh-CN"/>
                    </w:rPr>
                  </w:pPr>
                  <w:r>
                    <w:rPr>
                      <w:rFonts w:hint="eastAsia"/>
                      <w:color w:val="auto"/>
                      <w:szCs w:val="21"/>
                      <w:highlight w:val="none"/>
                      <w:lang w:val="en-US" w:eastAsia="zh-CN"/>
                    </w:rPr>
                    <w:t>49388</w:t>
                  </w:r>
                </w:p>
              </w:tc>
            </w:tr>
            <w:tr w14:paraId="2DB43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4" w:hRule="atLeast"/>
              </w:trPr>
              <w:tc>
                <w:tcPr>
                  <w:tcW w:w="394" w:type="pct"/>
                  <w:vMerge w:val="continue"/>
                  <w:tcBorders>
                    <w:tl2br w:val="nil"/>
                    <w:tr2bl w:val="nil"/>
                  </w:tcBorders>
                  <w:vAlign w:val="center"/>
                </w:tcPr>
                <w:p w14:paraId="22864319">
                  <w:pPr>
                    <w:jc w:val="center"/>
                    <w:rPr>
                      <w:rFonts w:hint="eastAsia"/>
                      <w:color w:val="auto"/>
                      <w:szCs w:val="21"/>
                      <w:highlight w:val="none"/>
                    </w:rPr>
                  </w:pPr>
                </w:p>
              </w:tc>
              <w:tc>
                <w:tcPr>
                  <w:tcW w:w="391" w:type="pct"/>
                  <w:tcBorders>
                    <w:tl2br w:val="nil"/>
                    <w:tr2bl w:val="nil"/>
                  </w:tcBorders>
                  <w:vAlign w:val="center"/>
                </w:tcPr>
                <w:p w14:paraId="78DCE2B0">
                  <w:pPr>
                    <w:widowControl/>
                    <w:snapToGrid w:val="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w:t>
                  </w:r>
                </w:p>
              </w:tc>
              <w:tc>
                <w:tcPr>
                  <w:tcW w:w="391" w:type="pct"/>
                  <w:tcBorders>
                    <w:tl2br w:val="nil"/>
                    <w:tr2bl w:val="nil"/>
                  </w:tcBorders>
                  <w:vAlign w:val="center"/>
                </w:tcPr>
                <w:p w14:paraId="03017B5E">
                  <w:pPr>
                    <w:widowControl/>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污染物排放管</w:t>
                  </w:r>
                </w:p>
                <w:p w14:paraId="5E2723C3">
                  <w:pPr>
                    <w:widowControl/>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控</w:t>
                  </w:r>
                </w:p>
              </w:tc>
              <w:tc>
                <w:tcPr>
                  <w:tcW w:w="1806" w:type="pct"/>
                  <w:tcBorders>
                    <w:tl2br w:val="nil"/>
                    <w:tr2bl w:val="nil"/>
                  </w:tcBorders>
                  <w:vAlign w:val="center"/>
                </w:tcPr>
                <w:p w14:paraId="24FE4E18">
                  <w:pPr>
                    <w:snapToGrid w:val="0"/>
                    <w:jc w:val="both"/>
                    <w:rPr>
                      <w:rFonts w:hint="eastAsia"/>
                      <w:color w:val="auto"/>
                      <w:szCs w:val="21"/>
                      <w:highlight w:val="none"/>
                    </w:rPr>
                  </w:pPr>
                  <w:r>
                    <w:rPr>
                      <w:rFonts w:hint="eastAsia"/>
                      <w:color w:val="auto"/>
                      <w:szCs w:val="21"/>
                      <w:highlight w:val="none"/>
                    </w:rPr>
                    <w:t>大气环境布局敏感重点管控区：1.鼓励将老旧车辆和非道路移动机械替换为清洁能源车辆。推进新能源或清洁能源汽车使用。</w:t>
                  </w:r>
                </w:p>
                <w:p w14:paraId="5E6B37C1">
                  <w:pPr>
                    <w:snapToGrid w:val="0"/>
                    <w:jc w:val="both"/>
                    <w:rPr>
                      <w:rFonts w:hint="eastAsia"/>
                      <w:color w:val="auto"/>
                      <w:szCs w:val="21"/>
                      <w:highlight w:val="none"/>
                    </w:rPr>
                  </w:pPr>
                  <w:r>
                    <w:rPr>
                      <w:rFonts w:hint="eastAsia"/>
                      <w:color w:val="auto"/>
                      <w:szCs w:val="21"/>
                      <w:highlight w:val="none"/>
                    </w:rPr>
                    <w:t>水环境城镇生活污染重点管控区：1.加强城镇污水收集处理设施建设与提标改造。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tc>
              <w:tc>
                <w:tcPr>
                  <w:tcW w:w="1103" w:type="pct"/>
                  <w:tcBorders>
                    <w:tl2br w:val="nil"/>
                    <w:tr2bl w:val="nil"/>
                  </w:tcBorders>
                  <w:vAlign w:val="center"/>
                </w:tcPr>
                <w:p w14:paraId="5C721ED5">
                  <w:pPr>
                    <w:rPr>
                      <w:rFonts w:hint="eastAsia"/>
                      <w:color w:val="auto"/>
                      <w:szCs w:val="21"/>
                      <w:highlight w:val="none"/>
                    </w:rPr>
                  </w:pPr>
                  <w:r>
                    <w:rPr>
                      <w:rFonts w:hint="eastAsia"/>
                      <w:color w:val="auto"/>
                      <w:szCs w:val="21"/>
                      <w:highlight w:val="none"/>
                      <w:lang w:val="en-US" w:eastAsia="zh-CN"/>
                    </w:rPr>
                    <w:t>建设方将优选</w:t>
                  </w:r>
                  <w:r>
                    <w:rPr>
                      <w:rFonts w:hint="eastAsia"/>
                      <w:color w:val="auto"/>
                      <w:szCs w:val="21"/>
                      <w:highlight w:val="none"/>
                    </w:rPr>
                    <w:t>清洁能源汽车使用。</w:t>
                  </w:r>
                </w:p>
                <w:p w14:paraId="3AE07804">
                  <w:pPr>
                    <w:rPr>
                      <w:rFonts w:hint="eastAsia"/>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项目区</w:t>
                  </w:r>
                  <w:r>
                    <w:rPr>
                      <w:rFonts w:hint="eastAsia" w:ascii="Times New Roman" w:hAnsi="Times New Roman" w:cs="Times New Roman"/>
                      <w:color w:val="auto"/>
                      <w:kern w:val="2"/>
                      <w:sz w:val="21"/>
                      <w:szCs w:val="21"/>
                      <w:highlight w:val="none"/>
                      <w:lang w:val="en-US" w:eastAsia="zh-CN" w:bidi="ar-SA"/>
                    </w:rPr>
                    <w:t>域</w:t>
                  </w:r>
                  <w:r>
                    <w:rPr>
                      <w:rFonts w:hint="eastAsia" w:ascii="Times New Roman" w:hAnsi="Times New Roman" w:eastAsia="宋体" w:cs="Times New Roman"/>
                      <w:color w:val="auto"/>
                      <w:kern w:val="2"/>
                      <w:sz w:val="21"/>
                      <w:szCs w:val="21"/>
                      <w:highlight w:val="none"/>
                      <w:lang w:val="en-US" w:eastAsia="zh-CN" w:bidi="ar-SA"/>
                    </w:rPr>
                    <w:t>市政</w:t>
                  </w:r>
                  <w:r>
                    <w:rPr>
                      <w:rFonts w:hint="eastAsia" w:ascii="Times New Roman" w:hAnsi="Times New Roman" w:cs="Times New Roman"/>
                      <w:color w:val="auto"/>
                      <w:kern w:val="2"/>
                      <w:sz w:val="21"/>
                      <w:szCs w:val="21"/>
                      <w:highlight w:val="none"/>
                      <w:lang w:val="en-US" w:eastAsia="zh-CN" w:bidi="ar-SA"/>
                    </w:rPr>
                    <w:t>污水</w:t>
                  </w:r>
                  <w:r>
                    <w:rPr>
                      <w:rFonts w:hint="eastAsia" w:ascii="Times New Roman" w:hAnsi="Times New Roman" w:eastAsia="宋体" w:cs="Times New Roman"/>
                      <w:color w:val="auto"/>
                      <w:kern w:val="2"/>
                      <w:sz w:val="21"/>
                      <w:szCs w:val="21"/>
                      <w:highlight w:val="none"/>
                      <w:lang w:val="en-US" w:eastAsia="zh-CN" w:bidi="ar-SA"/>
                    </w:rPr>
                    <w:t>管网正在建设，建成后</w:t>
                  </w:r>
                  <w:r>
                    <w:rPr>
                      <w:rFonts w:hint="eastAsia" w:ascii="Times New Roman" w:hAnsi="Times New Roman" w:cs="Times New Roman"/>
                      <w:color w:val="auto"/>
                      <w:kern w:val="2"/>
                      <w:sz w:val="21"/>
                      <w:szCs w:val="21"/>
                      <w:highlight w:val="none"/>
                      <w:lang w:val="en-US" w:eastAsia="zh-CN" w:bidi="ar-SA"/>
                    </w:rPr>
                    <w:t>可</w:t>
                  </w:r>
                  <w:r>
                    <w:rPr>
                      <w:rFonts w:hint="eastAsia" w:ascii="Times New Roman" w:hAnsi="Times New Roman" w:eastAsia="宋体" w:cs="Times New Roman"/>
                      <w:color w:val="auto"/>
                      <w:kern w:val="2"/>
                      <w:sz w:val="21"/>
                      <w:szCs w:val="21"/>
                      <w:highlight w:val="none"/>
                      <w:lang w:val="en-US" w:eastAsia="zh-CN" w:bidi="ar-SA"/>
                    </w:rPr>
                    <w:t>收纳本项目污水</w:t>
                  </w:r>
                  <w:r>
                    <w:rPr>
                      <w:rFonts w:hint="eastAsia" w:cs="Times New Roman"/>
                      <w:color w:val="auto"/>
                      <w:kern w:val="2"/>
                      <w:sz w:val="21"/>
                      <w:szCs w:val="21"/>
                      <w:highlight w:val="none"/>
                      <w:lang w:val="en-US" w:eastAsia="zh-CN" w:bidi="ar-SA"/>
                    </w:rPr>
                    <w:t>。</w:t>
                  </w:r>
                  <w:r>
                    <w:rPr>
                      <w:rFonts w:hint="eastAsia"/>
                      <w:szCs w:val="21"/>
                    </w:rPr>
                    <w:t>厂区实行</w:t>
                  </w:r>
                  <w:r>
                    <w:rPr>
                      <w:szCs w:val="21"/>
                    </w:rPr>
                    <w:t>雨污分流</w:t>
                  </w:r>
                  <w:r>
                    <w:rPr>
                      <w:rFonts w:hint="eastAsia"/>
                      <w:szCs w:val="21"/>
                    </w:rPr>
                    <w:t>措施</w:t>
                  </w:r>
                  <w:r>
                    <w:rPr>
                      <w:rFonts w:hint="eastAsia"/>
                      <w:szCs w:val="21"/>
                      <w:lang w:eastAsia="zh-CN"/>
                    </w:rPr>
                    <w:t>，</w:t>
                  </w:r>
                  <w:r>
                    <w:rPr>
                      <w:szCs w:val="21"/>
                    </w:rPr>
                    <w:t>雨水经雨水渠外排；</w:t>
                  </w:r>
                  <w:r>
                    <w:rPr>
                      <w:rFonts w:hint="eastAsia" w:ascii="Times New Roman" w:hAnsi="Times New Roman" w:eastAsia="宋体" w:cs="Times New Roman"/>
                      <w:color w:val="auto"/>
                      <w:kern w:val="2"/>
                      <w:sz w:val="21"/>
                      <w:szCs w:val="21"/>
                      <w:highlight w:val="none"/>
                      <w:lang w:val="en-US" w:eastAsia="zh-CN" w:bidi="ar-SA"/>
                    </w:rPr>
                    <w:t>项目生活污水经厂区化粪池处理后</w:t>
                  </w:r>
                  <w:r>
                    <w:rPr>
                      <w:rFonts w:hint="eastAsia" w:cs="Times New Roman"/>
                      <w:color w:val="auto"/>
                      <w:kern w:val="2"/>
                      <w:sz w:val="21"/>
                      <w:szCs w:val="21"/>
                      <w:highlight w:val="none"/>
                      <w:lang w:val="en-US" w:eastAsia="zh-CN" w:bidi="ar-SA"/>
                    </w:rPr>
                    <w:t>用于周边农田施肥</w:t>
                  </w:r>
                </w:p>
                <w:p w14:paraId="67819559">
                  <w:pPr>
                    <w:rPr>
                      <w:rFonts w:hint="eastAsia" w:hAnsi="宋体"/>
                      <w:color w:val="auto"/>
                      <w:szCs w:val="21"/>
                      <w:highlight w:val="none"/>
                    </w:rPr>
                  </w:pPr>
                </w:p>
              </w:tc>
              <w:tc>
                <w:tcPr>
                  <w:tcW w:w="452" w:type="pct"/>
                  <w:tcBorders>
                    <w:tl2br w:val="nil"/>
                    <w:tr2bl w:val="nil"/>
                  </w:tcBorders>
                  <w:vAlign w:val="center"/>
                </w:tcPr>
                <w:p w14:paraId="3D232A4E">
                  <w:pPr>
                    <w:jc w:val="center"/>
                    <w:rPr>
                      <w:color w:val="auto"/>
                      <w:szCs w:val="21"/>
                      <w:highlight w:val="none"/>
                    </w:rPr>
                  </w:pPr>
                  <w:r>
                    <w:rPr>
                      <w:color w:val="auto"/>
                      <w:szCs w:val="21"/>
                      <w:highlight w:val="none"/>
                    </w:rPr>
                    <w:t>符合</w:t>
                  </w:r>
                </w:p>
              </w:tc>
              <w:tc>
                <w:tcPr>
                  <w:tcW w:w="460" w:type="pct"/>
                  <w:vMerge w:val="continue"/>
                  <w:tcBorders>
                    <w:tl2br w:val="nil"/>
                    <w:tr2bl w:val="nil"/>
                  </w:tcBorders>
                  <w:vAlign w:val="center"/>
                </w:tcPr>
                <w:p w14:paraId="70240CF5">
                  <w:pPr>
                    <w:jc w:val="center"/>
                    <w:rPr>
                      <w:color w:val="auto"/>
                      <w:szCs w:val="21"/>
                      <w:highlight w:val="none"/>
                    </w:rPr>
                  </w:pPr>
                </w:p>
              </w:tc>
            </w:tr>
          </w:tbl>
          <w:p w14:paraId="121E1177">
            <w:pPr>
              <w:pStyle w:val="135"/>
              <w:spacing w:line="360" w:lineRule="auto"/>
              <w:rPr>
                <w:color w:val="auto"/>
                <w:sz w:val="24"/>
                <w:highlight w:val="none"/>
              </w:rPr>
            </w:pPr>
            <w:r>
              <w:rPr>
                <w:rFonts w:hint="eastAsia" w:ascii="宋体" w:cs="宋体"/>
                <w:color w:val="auto"/>
                <w:sz w:val="24"/>
                <w:highlight w:val="none"/>
              </w:rPr>
              <w:t>③</w:t>
            </w:r>
            <w:r>
              <w:rPr>
                <w:rFonts w:hint="eastAsia"/>
                <w:color w:val="auto"/>
                <w:sz w:val="24"/>
                <w:highlight w:val="none"/>
              </w:rPr>
              <w:t>一说明：</w:t>
            </w:r>
          </w:p>
          <w:p w14:paraId="28B7E590">
            <w:pPr>
              <w:pStyle w:val="41"/>
              <w:spacing w:line="360" w:lineRule="auto"/>
              <w:ind w:firstLine="480" w:firstLineChars="200"/>
              <w:rPr>
                <w:rFonts w:ascii="Times New Roman" w:hAnsi="Times New Roman" w:cs="Times New Roman"/>
                <w:color w:val="auto"/>
                <w:szCs w:val="32"/>
                <w:highlight w:val="none"/>
              </w:rPr>
            </w:pPr>
            <w:r>
              <w:rPr>
                <w:rFonts w:ascii="Times New Roman" w:hAnsi="Times New Roman" w:cs="Times New Roman"/>
                <w:color w:val="auto"/>
                <w:highlight w:val="none"/>
              </w:rPr>
              <w:t>根据图1-1和表1-</w:t>
            </w:r>
            <w:r>
              <w:rPr>
                <w:rFonts w:hint="eastAsia" w:ascii="Times New Roman" w:hAnsi="Times New Roman" w:cs="Times New Roman"/>
                <w:color w:val="auto"/>
                <w:highlight w:val="none"/>
              </w:rPr>
              <w:t>2</w:t>
            </w:r>
            <w:r>
              <w:rPr>
                <w:rFonts w:ascii="Times New Roman" w:hAnsi="Times New Roman" w:cs="Times New Roman"/>
                <w:color w:val="auto"/>
                <w:highlight w:val="none"/>
              </w:rPr>
              <w:t>中对比结果可知，本项目符合汉中市</w:t>
            </w:r>
            <w:r>
              <w:rPr>
                <w:rFonts w:ascii="Times New Roman" w:hAnsi="Times New Roman" w:cs="Times New Roman"/>
                <w:color w:val="auto"/>
                <w:szCs w:val="32"/>
                <w:highlight w:val="none"/>
              </w:rPr>
              <w:t>生态环境管控单元中相关要求。</w:t>
            </w:r>
          </w:p>
          <w:p w14:paraId="196DF0B1">
            <w:pPr>
              <w:pStyle w:val="41"/>
              <w:spacing w:line="360" w:lineRule="auto"/>
              <w:ind w:firstLine="480" w:firstLineChars="200"/>
              <w:rPr>
                <w:rFonts w:hint="eastAsia" w:ascii="Times New Roman" w:hAnsi="Times New Roman" w:eastAsia="宋体" w:cs="Times New Roman"/>
                <w:color w:val="auto"/>
                <w:szCs w:val="32"/>
                <w:highlight w:val="none"/>
                <w:lang w:eastAsia="zh-CN"/>
              </w:rPr>
            </w:pPr>
            <w:r>
              <w:rPr>
                <w:rFonts w:hint="eastAsia"/>
                <w:color w:val="auto"/>
                <w:szCs w:val="21"/>
                <w:highlight w:val="none"/>
                <w:lang w:eastAsia="zh-CN"/>
              </w:rPr>
              <w:t>结合《陕西省人民政府关于同意建设洋县农业高新技术产业示范区的批复》（</w:t>
            </w:r>
            <w:r>
              <w:rPr>
                <w:rFonts w:hint="default" w:ascii="Times New Roman" w:hAnsi="Times New Roman" w:cs="Times New Roman"/>
                <w:color w:val="auto"/>
                <w:szCs w:val="21"/>
                <w:highlight w:val="none"/>
                <w:lang w:eastAsia="zh-CN"/>
              </w:rPr>
              <w:t>陕政函</w:t>
            </w:r>
            <w:r>
              <w:rPr>
                <w:rFonts w:hint="eastAsia" w:ascii="宋体" w:hAnsi="宋体" w:eastAsia="宋体" w:cs="宋体"/>
                <w:color w:val="auto"/>
                <w:szCs w:val="21"/>
                <w:highlight w:val="none"/>
                <w:lang w:eastAsia="zh-CN"/>
              </w:rPr>
              <w:t>〔</w:t>
            </w:r>
            <w:r>
              <w:rPr>
                <w:rFonts w:hint="default" w:ascii="Times New Roman" w:hAnsi="Times New Roman" w:cs="Times New Roman"/>
                <w:color w:val="auto"/>
                <w:szCs w:val="21"/>
                <w:highlight w:val="none"/>
                <w:lang w:eastAsia="zh-CN"/>
              </w:rPr>
              <w:t>2024</w:t>
            </w:r>
            <w:r>
              <w:rPr>
                <w:rFonts w:hint="eastAsia" w:ascii="宋体" w:hAnsi="宋体" w:eastAsia="宋体" w:cs="宋体"/>
                <w:color w:val="auto"/>
                <w:szCs w:val="21"/>
                <w:highlight w:val="none"/>
                <w:lang w:eastAsia="zh-CN"/>
              </w:rPr>
              <w:t>〕</w:t>
            </w:r>
            <w:r>
              <w:rPr>
                <w:rFonts w:hint="default" w:ascii="Times New Roman" w:hAnsi="Times New Roman" w:cs="Times New Roman"/>
                <w:color w:val="auto"/>
                <w:szCs w:val="21"/>
                <w:highlight w:val="none"/>
                <w:lang w:eastAsia="zh-CN"/>
              </w:rPr>
              <w:t>185号</w:t>
            </w:r>
            <w:r>
              <w:rPr>
                <w:rFonts w:hint="eastAsia"/>
                <w:color w:val="auto"/>
                <w:szCs w:val="21"/>
                <w:highlight w:val="none"/>
                <w:lang w:eastAsia="zh-CN"/>
              </w:rPr>
              <w:t>）可知，</w:t>
            </w:r>
            <w:r>
              <w:rPr>
                <w:rFonts w:hint="default" w:ascii="Times New Roman" w:hAnsi="Times New Roman" w:cs="Times New Roman"/>
                <w:color w:val="auto"/>
                <w:szCs w:val="21"/>
                <w:highlight w:val="none"/>
                <w:lang w:eastAsia="zh-CN"/>
              </w:rPr>
              <w:t>自</w:t>
            </w:r>
            <w:r>
              <w:rPr>
                <w:rFonts w:hint="eastAsia" w:ascii="Times New Roman" w:hAnsi="Times New Roman" w:cs="Times New Roman"/>
                <w:color w:val="auto"/>
                <w:szCs w:val="21"/>
                <w:highlight w:val="none"/>
                <w:lang w:eastAsia="zh-CN"/>
              </w:rPr>
              <w:t>批复之日（</w:t>
            </w:r>
            <w:r>
              <w:rPr>
                <w:rFonts w:hint="default" w:ascii="Times New Roman" w:hAnsi="Times New Roman" w:cs="Times New Roman"/>
                <w:color w:val="auto"/>
                <w:szCs w:val="21"/>
                <w:highlight w:val="none"/>
                <w:lang w:val="en-US" w:eastAsia="zh-CN"/>
              </w:rPr>
              <w:t>2024年1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月</w:t>
            </w:r>
            <w:r>
              <w:rPr>
                <w:rFonts w:hint="eastAsia" w:ascii="Times New Roman" w:hAnsi="Times New Roman" w:cs="Times New Roman"/>
                <w:color w:val="auto"/>
                <w:szCs w:val="21"/>
                <w:highlight w:val="none"/>
                <w:lang w:val="en-US" w:eastAsia="zh-CN"/>
              </w:rPr>
              <w:t>29日</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起，</w:t>
            </w:r>
            <w:r>
              <w:rPr>
                <w:rFonts w:hint="eastAsia"/>
                <w:color w:val="auto"/>
                <w:szCs w:val="21"/>
                <w:highlight w:val="none"/>
              </w:rPr>
              <w:t>洋县现代材料工业园区</w:t>
            </w:r>
            <w:r>
              <w:rPr>
                <w:rFonts w:hint="eastAsia"/>
                <w:color w:val="auto"/>
                <w:szCs w:val="21"/>
                <w:highlight w:val="none"/>
                <w:lang w:eastAsia="zh-CN"/>
              </w:rPr>
              <w:t>此部分已被</w:t>
            </w:r>
            <w:r>
              <w:rPr>
                <w:rFonts w:hint="eastAsia" w:ascii="Times New Roman" w:hAnsi="Times New Roman" w:cs="Times New Roman"/>
                <w:color w:val="auto"/>
                <w:szCs w:val="32"/>
                <w:highlight w:val="none"/>
              </w:rPr>
              <w:t>洋县农业高新技术产业示范区</w:t>
            </w:r>
            <w:r>
              <w:rPr>
                <w:rFonts w:hint="eastAsia" w:ascii="Times New Roman" w:hAnsi="Times New Roman" w:cs="Times New Roman"/>
                <w:color w:val="auto"/>
                <w:szCs w:val="32"/>
                <w:highlight w:val="none"/>
                <w:lang w:eastAsia="zh-CN"/>
              </w:rPr>
              <w:t>替代，后续该地块执行《</w:t>
            </w:r>
            <w:r>
              <w:rPr>
                <w:rFonts w:hint="default" w:ascii="Times New Roman" w:hAnsi="Times New Roman" w:cs="Times New Roman"/>
                <w:color w:val="auto"/>
                <w:kern w:val="21"/>
                <w:sz w:val="24"/>
                <w:highlight w:val="none"/>
              </w:rPr>
              <w:t>陕西洋县农业高新技术产业示范区建设发展规划（2023</w:t>
            </w:r>
            <w:r>
              <w:rPr>
                <w:rFonts w:hint="eastAsia" w:ascii="Times New Roman" w:hAnsi="Times New Roman" w:cs="Times New Roman"/>
                <w:color w:val="auto"/>
                <w:kern w:val="21"/>
                <w:sz w:val="24"/>
                <w:highlight w:val="none"/>
                <w:lang w:eastAsia="zh-CN"/>
              </w:rPr>
              <w:t>—</w:t>
            </w:r>
            <w:r>
              <w:rPr>
                <w:rFonts w:hint="default" w:ascii="Times New Roman" w:hAnsi="Times New Roman" w:cs="Times New Roman"/>
                <w:color w:val="auto"/>
                <w:kern w:val="21"/>
                <w:sz w:val="24"/>
                <w:highlight w:val="none"/>
              </w:rPr>
              <w:t>2027年）</w:t>
            </w:r>
            <w:r>
              <w:rPr>
                <w:rFonts w:hint="eastAsia" w:ascii="Times New Roman" w:hAnsi="Times New Roman" w:cs="Times New Roman"/>
                <w:color w:val="auto"/>
                <w:szCs w:val="32"/>
                <w:highlight w:val="none"/>
                <w:lang w:eastAsia="zh-CN"/>
              </w:rPr>
              <w:t>》。结合前文分析可知，本项目建设</w:t>
            </w:r>
            <w:r>
              <w:rPr>
                <w:rFonts w:hint="eastAsia" w:ascii="Times New Roman" w:hAnsi="Times New Roman" w:cs="Times New Roman"/>
                <w:color w:val="auto"/>
                <w:szCs w:val="32"/>
                <w:highlight w:val="none"/>
                <w:lang w:val="en-US" w:eastAsia="zh-CN"/>
              </w:rPr>
              <w:t>与</w:t>
            </w:r>
            <w:r>
              <w:rPr>
                <w:rFonts w:hint="eastAsia"/>
                <w:color w:val="auto"/>
                <w:szCs w:val="21"/>
                <w:highlight w:val="none"/>
              </w:rPr>
              <w:t>洋县现代材料工业园区</w:t>
            </w:r>
            <w:r>
              <w:rPr>
                <w:rFonts w:hint="eastAsia"/>
                <w:color w:val="auto"/>
                <w:szCs w:val="21"/>
                <w:highlight w:val="none"/>
                <w:lang w:val="en-US" w:eastAsia="zh-CN"/>
              </w:rPr>
              <w:t>及</w:t>
            </w:r>
            <w:r>
              <w:rPr>
                <w:rFonts w:hint="eastAsia" w:ascii="Times New Roman" w:hAnsi="Times New Roman" w:cs="Times New Roman"/>
                <w:color w:val="auto"/>
                <w:szCs w:val="32"/>
                <w:highlight w:val="none"/>
              </w:rPr>
              <w:t>洋县农业高新技术产业示范区</w:t>
            </w:r>
            <w:r>
              <w:rPr>
                <w:rFonts w:hint="eastAsia" w:ascii="Times New Roman" w:hAnsi="Times New Roman" w:cs="Times New Roman"/>
                <w:color w:val="auto"/>
                <w:szCs w:val="32"/>
                <w:highlight w:val="none"/>
                <w:lang w:eastAsia="zh-CN"/>
              </w:rPr>
              <w:t>相关</w:t>
            </w:r>
            <w:r>
              <w:rPr>
                <w:rFonts w:hint="eastAsia" w:ascii="Times New Roman" w:hAnsi="Times New Roman" w:cs="Times New Roman"/>
                <w:color w:val="auto"/>
                <w:szCs w:val="32"/>
                <w:highlight w:val="none"/>
                <w:lang w:val="en-US" w:eastAsia="zh-CN"/>
              </w:rPr>
              <w:t>要求均</w:t>
            </w:r>
            <w:r>
              <w:rPr>
                <w:rFonts w:hint="eastAsia" w:ascii="Times New Roman" w:hAnsi="Times New Roman" w:cs="Times New Roman"/>
                <w:color w:val="auto"/>
                <w:szCs w:val="32"/>
                <w:highlight w:val="none"/>
                <w:lang w:eastAsia="zh-CN"/>
              </w:rPr>
              <w:t>符合。</w:t>
            </w:r>
          </w:p>
          <w:p w14:paraId="70D68269">
            <w:pPr>
              <w:pStyle w:val="135"/>
              <w:spacing w:line="360" w:lineRule="auto"/>
              <w:rPr>
                <w:color w:val="auto"/>
                <w:sz w:val="24"/>
                <w:highlight w:val="none"/>
              </w:rPr>
            </w:pPr>
            <w:r>
              <w:rPr>
                <w:rFonts w:hint="eastAsia"/>
                <w:color w:val="auto"/>
                <w:sz w:val="24"/>
                <w:highlight w:val="none"/>
              </w:rPr>
              <w:t>4、与省、市、县（区）“十四五”生态环境保护规划的符合性分析</w:t>
            </w:r>
          </w:p>
          <w:p w14:paraId="169363F9">
            <w:pPr>
              <w:wordWrap w:val="0"/>
              <w:jc w:val="center"/>
              <w:rPr>
                <w:b/>
                <w:bCs/>
                <w:color w:val="auto"/>
                <w:szCs w:val="21"/>
                <w:highlight w:val="none"/>
              </w:rPr>
            </w:pPr>
            <w:r>
              <w:rPr>
                <w:b/>
                <w:bCs/>
                <w:color w:val="auto"/>
                <w:szCs w:val="21"/>
                <w:highlight w:val="none"/>
              </w:rPr>
              <w:t>表1-</w:t>
            </w:r>
            <w:r>
              <w:rPr>
                <w:rFonts w:hint="eastAsia"/>
                <w:b/>
                <w:bCs/>
                <w:color w:val="auto"/>
                <w:szCs w:val="21"/>
                <w:highlight w:val="none"/>
              </w:rPr>
              <w:t>3</w:t>
            </w:r>
            <w:r>
              <w:rPr>
                <w:b/>
                <w:bCs/>
                <w:color w:val="auto"/>
                <w:szCs w:val="21"/>
                <w:highlight w:val="none"/>
              </w:rPr>
              <w:t xml:space="preserve">  </w:t>
            </w:r>
            <w:r>
              <w:rPr>
                <w:rFonts w:hint="eastAsia"/>
                <w:b/>
                <w:bCs/>
                <w:color w:val="auto"/>
                <w:szCs w:val="21"/>
                <w:highlight w:val="none"/>
              </w:rPr>
              <w:t>本</w:t>
            </w:r>
            <w:r>
              <w:rPr>
                <w:b/>
                <w:bCs/>
                <w:color w:val="auto"/>
                <w:szCs w:val="21"/>
                <w:highlight w:val="none"/>
              </w:rPr>
              <w:t>项目与</w:t>
            </w:r>
            <w:r>
              <w:rPr>
                <w:rFonts w:hint="eastAsia"/>
                <w:b/>
                <w:bCs/>
                <w:color w:val="auto"/>
                <w:szCs w:val="21"/>
                <w:highlight w:val="none"/>
              </w:rPr>
              <w:t>省、市、县区“十四五”生态环境保护规划的符合性一览表</w:t>
            </w:r>
          </w:p>
          <w:tbl>
            <w:tblPr>
              <w:tblStyle w:val="32"/>
              <w:tblW w:w="81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4240"/>
              <w:gridCol w:w="1550"/>
              <w:gridCol w:w="936"/>
            </w:tblGrid>
            <w:tr w14:paraId="10EDB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tcBorders>
                    <w:tl2br w:val="nil"/>
                    <w:tr2bl w:val="nil"/>
                  </w:tcBorders>
                  <w:vAlign w:val="center"/>
                </w:tcPr>
                <w:p w14:paraId="30318714">
                  <w:pPr>
                    <w:wordWrap w:val="0"/>
                    <w:jc w:val="center"/>
                    <w:rPr>
                      <w:color w:val="auto"/>
                      <w:szCs w:val="21"/>
                      <w:highlight w:val="none"/>
                    </w:rPr>
                  </w:pPr>
                  <w:r>
                    <w:rPr>
                      <w:color w:val="auto"/>
                      <w:szCs w:val="21"/>
                      <w:highlight w:val="none"/>
                    </w:rPr>
                    <w:t>相关政策</w:t>
                  </w:r>
                </w:p>
              </w:tc>
              <w:tc>
                <w:tcPr>
                  <w:tcW w:w="4240" w:type="dxa"/>
                  <w:tcBorders>
                    <w:tl2br w:val="nil"/>
                    <w:tr2bl w:val="nil"/>
                  </w:tcBorders>
                  <w:vAlign w:val="center"/>
                </w:tcPr>
                <w:p w14:paraId="61EB361E">
                  <w:pPr>
                    <w:wordWrap w:val="0"/>
                    <w:jc w:val="center"/>
                    <w:rPr>
                      <w:color w:val="auto"/>
                      <w:szCs w:val="21"/>
                      <w:highlight w:val="none"/>
                    </w:rPr>
                  </w:pPr>
                  <w:r>
                    <w:rPr>
                      <w:color w:val="auto"/>
                      <w:szCs w:val="21"/>
                      <w:highlight w:val="none"/>
                    </w:rPr>
                    <w:t>内容</w:t>
                  </w:r>
                </w:p>
              </w:tc>
              <w:tc>
                <w:tcPr>
                  <w:tcW w:w="1550" w:type="dxa"/>
                  <w:tcBorders>
                    <w:tl2br w:val="nil"/>
                    <w:tr2bl w:val="nil"/>
                  </w:tcBorders>
                  <w:vAlign w:val="center"/>
                </w:tcPr>
                <w:p w14:paraId="45B6D606">
                  <w:pPr>
                    <w:wordWrap w:val="0"/>
                    <w:jc w:val="center"/>
                    <w:rPr>
                      <w:color w:val="auto"/>
                      <w:szCs w:val="21"/>
                      <w:highlight w:val="none"/>
                    </w:rPr>
                  </w:pPr>
                  <w:r>
                    <w:rPr>
                      <w:color w:val="auto"/>
                      <w:szCs w:val="21"/>
                      <w:highlight w:val="none"/>
                    </w:rPr>
                    <w:t>本项目情况</w:t>
                  </w:r>
                </w:p>
              </w:tc>
              <w:tc>
                <w:tcPr>
                  <w:tcW w:w="936" w:type="dxa"/>
                  <w:tcBorders>
                    <w:tl2br w:val="nil"/>
                    <w:tr2bl w:val="nil"/>
                  </w:tcBorders>
                  <w:vAlign w:val="center"/>
                </w:tcPr>
                <w:p w14:paraId="0F2240AA">
                  <w:pPr>
                    <w:wordWrap w:val="0"/>
                    <w:jc w:val="center"/>
                    <w:rPr>
                      <w:color w:val="auto"/>
                      <w:szCs w:val="21"/>
                      <w:highlight w:val="none"/>
                    </w:rPr>
                  </w:pPr>
                  <w:r>
                    <w:rPr>
                      <w:color w:val="auto"/>
                      <w:szCs w:val="21"/>
                      <w:highlight w:val="none"/>
                    </w:rPr>
                    <w:t>符合性</w:t>
                  </w:r>
                </w:p>
              </w:tc>
            </w:tr>
            <w:tr w14:paraId="3C7C9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382" w:type="dxa"/>
                  <w:tcBorders>
                    <w:tl2br w:val="nil"/>
                    <w:tr2bl w:val="nil"/>
                  </w:tcBorders>
                  <w:vAlign w:val="center"/>
                </w:tcPr>
                <w:p w14:paraId="52389A69">
                  <w:pPr>
                    <w:wordWrap w:val="0"/>
                    <w:jc w:val="center"/>
                    <w:rPr>
                      <w:color w:val="auto"/>
                      <w:szCs w:val="21"/>
                      <w:highlight w:val="none"/>
                    </w:rPr>
                  </w:pPr>
                  <w:r>
                    <w:rPr>
                      <w:rFonts w:hint="eastAsia"/>
                      <w:color w:val="auto"/>
                      <w:szCs w:val="21"/>
                      <w:highlight w:val="none"/>
                    </w:rPr>
                    <w:t>《陕西省“十四五”生态环境保护规划》（陕政办发〔2021〕25号）</w:t>
                  </w:r>
                </w:p>
              </w:tc>
              <w:tc>
                <w:tcPr>
                  <w:tcW w:w="4240" w:type="dxa"/>
                  <w:tcBorders>
                    <w:tl2br w:val="nil"/>
                    <w:tr2bl w:val="nil"/>
                  </w:tcBorders>
                  <w:vAlign w:val="center"/>
                </w:tcPr>
                <w:p w14:paraId="5997BB43">
                  <w:pPr>
                    <w:wordWrap w:val="0"/>
                    <w:jc w:val="left"/>
                    <w:rPr>
                      <w:b/>
                      <w:bCs/>
                      <w:color w:val="auto"/>
                      <w:szCs w:val="21"/>
                      <w:highlight w:val="none"/>
                    </w:rPr>
                  </w:pPr>
                  <w:r>
                    <w:rPr>
                      <w:rFonts w:hint="eastAsia"/>
                      <w:b/>
                      <w:bCs/>
                      <w:color w:val="auto"/>
                      <w:szCs w:val="21"/>
                      <w:highlight w:val="none"/>
                    </w:rPr>
                    <w:t>第五章</w:t>
                  </w:r>
                  <w:r>
                    <w:rPr>
                      <w:b/>
                      <w:bCs/>
                      <w:color w:val="auto"/>
                      <w:szCs w:val="21"/>
                      <w:highlight w:val="none"/>
                    </w:rPr>
                    <w:t>第二节</w:t>
                  </w:r>
                  <w:r>
                    <w:rPr>
                      <w:rFonts w:hint="eastAsia"/>
                      <w:b/>
                      <w:bCs/>
                      <w:color w:val="auto"/>
                      <w:szCs w:val="21"/>
                      <w:highlight w:val="none"/>
                    </w:rPr>
                    <w:t>—</w:t>
                  </w:r>
                  <w:r>
                    <w:rPr>
                      <w:b/>
                      <w:bCs/>
                      <w:color w:val="auto"/>
                      <w:szCs w:val="21"/>
                      <w:highlight w:val="none"/>
                    </w:rPr>
                    <w:t>持续推进重点污染源治理</w:t>
                  </w:r>
                </w:p>
                <w:p w14:paraId="481427EA">
                  <w:pPr>
                    <w:wordWrap w:val="0"/>
                    <w:jc w:val="left"/>
                    <w:rPr>
                      <w:color w:val="auto"/>
                      <w:szCs w:val="21"/>
                      <w:highlight w:val="none"/>
                    </w:rPr>
                  </w:pPr>
                  <w:r>
                    <w:rPr>
                      <w:rFonts w:hint="eastAsia"/>
                      <w:color w:val="auto"/>
                      <w:szCs w:val="21"/>
                      <w:highlight w:val="none"/>
                    </w:rPr>
                    <w:t>加强扬尘精细化管控。建立扬尘污染源清单，实现扬尘污染源动态管理，构建“过程全覆盖、管理全方位、责任全链条”的扬尘防治体系。全面推行绿色施工，将绿色施工纳入企业资质和信用评价。对重点区域道路、水务等线性工程进行分段施工。大力推进低尘机械化湿式清扫作业，加大重要路段冲洗保洁力度，渣土车实施硬覆盖与全密闭运输，强化道路绿化用地扬尘治理。大型煤炭、矿石、干散货堆场，全面完成抑尘设施建设和物料运输。鼓励有条件的堆场实施全封闭改造。</w:t>
                  </w:r>
                </w:p>
              </w:tc>
              <w:tc>
                <w:tcPr>
                  <w:tcW w:w="1550" w:type="dxa"/>
                  <w:vMerge w:val="restart"/>
                  <w:tcBorders>
                    <w:tl2br w:val="nil"/>
                    <w:tr2bl w:val="nil"/>
                  </w:tcBorders>
                  <w:vAlign w:val="center"/>
                </w:tcPr>
                <w:p w14:paraId="296D75BE">
                  <w:pPr>
                    <w:rPr>
                      <w:color w:val="auto"/>
                      <w:highlight w:val="none"/>
                    </w:rPr>
                  </w:pPr>
                  <w:r>
                    <w:rPr>
                      <w:rFonts w:hint="eastAsia"/>
                      <w:color w:val="auto"/>
                      <w:highlight w:val="none"/>
                    </w:rPr>
                    <w:t>①</w:t>
                  </w:r>
                  <w:r>
                    <w:rPr>
                      <w:color w:val="auto"/>
                      <w:highlight w:val="none"/>
                    </w:rPr>
                    <w:t>本项目</w:t>
                  </w:r>
                  <w:r>
                    <w:rPr>
                      <w:rFonts w:hint="eastAsia"/>
                      <w:color w:val="auto"/>
                      <w:highlight w:val="none"/>
                    </w:rPr>
                    <w:t>原料及产品运输过程中采取密闭、篷布遮盖等措施，减少运输扬尘的产生；定期对运输车辆进行冲洗，冲洗水回用不外排；此外，定期对厂区地面进行洒水抑尘。</w:t>
                  </w:r>
                </w:p>
                <w:p w14:paraId="4186349D">
                  <w:pP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②本项目</w:t>
                  </w:r>
                  <w:r>
                    <w:rPr>
                      <w:rFonts w:hint="eastAsia" w:ascii="Times New Roman" w:hAnsi="Times New Roman" w:eastAsia="宋体" w:cs="Times New Roman"/>
                      <w:color w:val="auto"/>
                      <w:highlight w:val="none"/>
                      <w:lang w:val="en-US" w:eastAsia="zh-CN"/>
                    </w:rPr>
                    <w:t>原料区及</w:t>
                  </w:r>
                  <w:r>
                    <w:rPr>
                      <w:rFonts w:hint="eastAsia" w:ascii="Times New Roman" w:hAnsi="Times New Roman" w:eastAsia="宋体" w:cs="Times New Roman"/>
                      <w:color w:val="auto"/>
                      <w:highlight w:val="none"/>
                    </w:rPr>
                    <w:t>成品区进行三面围挡+顶棚处置。</w:t>
                  </w:r>
                </w:p>
                <w:p w14:paraId="0CB9D6D7">
                  <w:r>
                    <w:rPr>
                      <w:rFonts w:hint="eastAsia" w:ascii="Times New Roman" w:hAnsi="Times New Roman" w:eastAsia="宋体" w:cs="Times New Roman"/>
                      <w:color w:val="auto"/>
                      <w:highlight w:val="none"/>
                      <w:lang w:val="en-US" w:eastAsia="zh-CN"/>
                    </w:rPr>
                    <w:t>③运营期生产线废气</w:t>
                  </w:r>
                  <w:r>
                    <w:rPr>
                      <w:rFonts w:hint="eastAsia" w:ascii="Times New Roman" w:hAnsi="Times New Roman" w:eastAsia="宋体" w:cs="Times New Roman"/>
                      <w:color w:val="auto"/>
                      <w:highlight w:val="none"/>
                    </w:rPr>
                    <w:t>采取集尘设施+</w:t>
                  </w:r>
                  <w:r>
                    <w:rPr>
                      <w:rFonts w:hint="eastAsia" w:ascii="Times New Roman" w:hAnsi="Times New Roman" w:eastAsia="宋体" w:cs="Times New Roman"/>
                      <w:color w:val="auto"/>
                      <w:highlight w:val="none"/>
                      <w:lang w:val="en-US" w:eastAsia="zh-CN"/>
                    </w:rPr>
                    <w:t>袋式</w:t>
                  </w:r>
                  <w:r>
                    <w:rPr>
                      <w:rFonts w:hint="eastAsia" w:ascii="Times New Roman" w:hAnsi="Times New Roman" w:eastAsia="宋体" w:cs="Times New Roman"/>
                      <w:color w:val="auto"/>
                      <w:highlight w:val="none"/>
                    </w:rPr>
                    <w:t>除尘</w:t>
                  </w:r>
                  <w:r>
                    <w:rPr>
                      <w:rFonts w:hint="eastAsia" w:ascii="Times New Roman" w:hAnsi="Times New Roman" w:eastAsia="宋体" w:cs="Times New Roman"/>
                      <w:color w:val="auto"/>
                      <w:highlight w:val="none"/>
                      <w:lang w:val="en-US" w:eastAsia="zh-CN"/>
                    </w:rPr>
                    <w:t>处理后达标排放</w:t>
                  </w:r>
                  <w:r>
                    <w:rPr>
                      <w:rFonts w:hint="eastAsia" w:ascii="Times New Roman" w:hAnsi="Times New Roman" w:eastAsia="宋体" w:cs="Times New Roman"/>
                      <w:color w:val="auto"/>
                      <w:highlight w:val="none"/>
                      <w:lang w:eastAsia="zh-CN"/>
                    </w:rPr>
                    <w:t>。</w:t>
                  </w:r>
                </w:p>
              </w:tc>
              <w:tc>
                <w:tcPr>
                  <w:tcW w:w="936" w:type="dxa"/>
                  <w:vMerge w:val="restart"/>
                  <w:tcBorders>
                    <w:tl2br w:val="nil"/>
                    <w:tr2bl w:val="nil"/>
                  </w:tcBorders>
                  <w:vAlign w:val="center"/>
                </w:tcPr>
                <w:p w14:paraId="02760937">
                  <w:pPr>
                    <w:wordWrap w:val="0"/>
                    <w:jc w:val="center"/>
                    <w:rPr>
                      <w:color w:val="auto"/>
                      <w:szCs w:val="21"/>
                      <w:highlight w:val="none"/>
                    </w:rPr>
                  </w:pPr>
                  <w:r>
                    <w:rPr>
                      <w:color w:val="auto"/>
                      <w:szCs w:val="21"/>
                      <w:highlight w:val="none"/>
                    </w:rPr>
                    <w:t>符合</w:t>
                  </w:r>
                </w:p>
              </w:tc>
            </w:tr>
            <w:tr w14:paraId="2909E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382" w:type="dxa"/>
                  <w:tcBorders>
                    <w:tl2br w:val="nil"/>
                    <w:tr2bl w:val="nil"/>
                  </w:tcBorders>
                  <w:vAlign w:val="center"/>
                </w:tcPr>
                <w:p w14:paraId="54A696C4">
                  <w:pPr>
                    <w:wordWrap w:val="0"/>
                    <w:jc w:val="center"/>
                    <w:rPr>
                      <w:color w:val="auto"/>
                      <w:szCs w:val="21"/>
                      <w:highlight w:val="none"/>
                    </w:rPr>
                  </w:pPr>
                  <w:r>
                    <w:rPr>
                      <w:color w:val="auto"/>
                      <w:szCs w:val="21"/>
                      <w:highlight w:val="none"/>
                    </w:rPr>
                    <w:t>《</w:t>
                  </w:r>
                  <w:r>
                    <w:rPr>
                      <w:rFonts w:hint="eastAsia"/>
                      <w:color w:val="auto"/>
                      <w:szCs w:val="21"/>
                      <w:highlight w:val="none"/>
                    </w:rPr>
                    <w:t>汉中市“十四五”生态环境保护规划</w:t>
                  </w:r>
                  <w:r>
                    <w:rPr>
                      <w:color w:val="auto"/>
                      <w:szCs w:val="21"/>
                      <w:highlight w:val="none"/>
                    </w:rPr>
                    <w:t>》（</w:t>
                  </w:r>
                  <w:r>
                    <w:rPr>
                      <w:rFonts w:hint="eastAsia"/>
                      <w:color w:val="auto"/>
                      <w:szCs w:val="21"/>
                      <w:highlight w:val="none"/>
                    </w:rPr>
                    <w:t>汉政办发〔2021〕54号</w:t>
                  </w:r>
                  <w:r>
                    <w:rPr>
                      <w:color w:val="auto"/>
                      <w:szCs w:val="21"/>
                      <w:highlight w:val="none"/>
                    </w:rPr>
                    <w:t>）</w:t>
                  </w:r>
                </w:p>
              </w:tc>
              <w:tc>
                <w:tcPr>
                  <w:tcW w:w="4240" w:type="dxa"/>
                  <w:tcBorders>
                    <w:tl2br w:val="nil"/>
                    <w:tr2bl w:val="nil"/>
                  </w:tcBorders>
                  <w:vAlign w:val="center"/>
                </w:tcPr>
                <w:p w14:paraId="5E656F00">
                  <w:pPr>
                    <w:pStyle w:val="41"/>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第五章第二节—加强扬尘精细化管控</w:t>
                  </w:r>
                </w:p>
                <w:p w14:paraId="6AF8C414">
                  <w:pPr>
                    <w:pStyle w:val="41"/>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立扬尘污染源清单，实现扬尘污染源动态管理，构建“过程全覆盖、管理全方位、责任全链条”的扬尘防治体系。全面推行绿色施工，严格执行施工工地“6个100%”抑尘措施，加大执法检查力度，依法查处各类施工扬尘违法行</w:t>
                  </w:r>
                  <w:r>
                    <w:rPr>
                      <w:color w:val="auto"/>
                      <w:sz w:val="21"/>
                      <w:szCs w:val="21"/>
                      <w:highlight w:val="none"/>
                    </w:rPr>
                    <w:t>为</w:t>
                  </w:r>
                  <w:r>
                    <w:rPr>
                      <w:color w:val="auto"/>
                      <w:highlight w:val="none"/>
                    </w:rPr>
                    <w:t>，</w:t>
                  </w:r>
                  <w:r>
                    <w:rPr>
                      <w:rFonts w:ascii="Times New Roman" w:hAnsi="Times New Roman" w:cs="Times New Roman"/>
                      <w:color w:val="auto"/>
                      <w:sz w:val="21"/>
                      <w:szCs w:val="21"/>
                      <w:highlight w:val="none"/>
                    </w:rPr>
                    <w:t>将绿色施工纳入企业资质和信用评价。对重点区域道路、管廊等线性工程进行分段施工。大力实施“阳光运输”，推进低尘机械化湿式清扫作业，加大重要路段冲洗保洁力度，渣土车实施硬覆盖与全密闭运输，强化道路绿化用地扬尘治理。市中心城区及各县区建成区范围内未纳入保障类工程清单的施工工地要严格执行冬季错峰作业措施，并对保障类工程所用渣土车、砂石车和商砼车实行运输管控。大型煤炭、矿石、干散货堆场，全面完成抑尘设施建设和物料输送系统封闭改造。鼓励有条件的堆场实施全封闭改造。</w:t>
                  </w:r>
                </w:p>
              </w:tc>
              <w:tc>
                <w:tcPr>
                  <w:tcW w:w="1550" w:type="dxa"/>
                  <w:vMerge w:val="continue"/>
                  <w:tcBorders>
                    <w:tl2br w:val="nil"/>
                    <w:tr2bl w:val="nil"/>
                  </w:tcBorders>
                  <w:vAlign w:val="center"/>
                </w:tcPr>
                <w:p w14:paraId="454B6045">
                  <w:pPr>
                    <w:wordWrap w:val="0"/>
                    <w:rPr>
                      <w:color w:val="auto"/>
                      <w:szCs w:val="21"/>
                      <w:highlight w:val="none"/>
                    </w:rPr>
                  </w:pPr>
                </w:p>
              </w:tc>
              <w:tc>
                <w:tcPr>
                  <w:tcW w:w="936" w:type="dxa"/>
                  <w:vMerge w:val="continue"/>
                  <w:tcBorders>
                    <w:tl2br w:val="nil"/>
                    <w:tr2bl w:val="nil"/>
                  </w:tcBorders>
                  <w:vAlign w:val="center"/>
                </w:tcPr>
                <w:p w14:paraId="3113FC40">
                  <w:pPr>
                    <w:wordWrap w:val="0"/>
                    <w:jc w:val="center"/>
                    <w:rPr>
                      <w:color w:val="auto"/>
                      <w:szCs w:val="21"/>
                      <w:highlight w:val="none"/>
                    </w:rPr>
                  </w:pPr>
                </w:p>
              </w:tc>
            </w:tr>
            <w:tr w14:paraId="187AD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tcBorders>
                    <w:tl2br w:val="nil"/>
                    <w:tr2bl w:val="nil"/>
                  </w:tcBorders>
                  <w:vAlign w:val="center"/>
                </w:tcPr>
                <w:p w14:paraId="7B936230">
                  <w:pPr>
                    <w:wordWrap w:val="0"/>
                    <w:jc w:val="center"/>
                    <w:rPr>
                      <w:color w:val="auto"/>
                      <w:szCs w:val="21"/>
                      <w:highlight w:val="none"/>
                    </w:rPr>
                  </w:pPr>
                  <w:r>
                    <w:rPr>
                      <w:color w:val="auto"/>
                      <w:szCs w:val="21"/>
                      <w:highlight w:val="none"/>
                    </w:rPr>
                    <w:t>《</w:t>
                  </w:r>
                  <w:r>
                    <w:rPr>
                      <w:rFonts w:hint="eastAsia"/>
                      <w:color w:val="auto"/>
                      <w:szCs w:val="21"/>
                      <w:highlight w:val="none"/>
                    </w:rPr>
                    <w:t>洋县“十四五”生态环境保护规划</w:t>
                  </w:r>
                  <w:r>
                    <w:rPr>
                      <w:color w:val="auto"/>
                      <w:szCs w:val="21"/>
                      <w:highlight w:val="none"/>
                    </w:rPr>
                    <w:t>》</w:t>
                  </w:r>
                </w:p>
              </w:tc>
              <w:tc>
                <w:tcPr>
                  <w:tcW w:w="4240" w:type="dxa"/>
                  <w:tcBorders>
                    <w:tl2br w:val="nil"/>
                    <w:tr2bl w:val="nil"/>
                  </w:tcBorders>
                  <w:vAlign w:val="center"/>
                </w:tcPr>
                <w:p w14:paraId="22061E2B">
                  <w:pPr>
                    <w:pStyle w:val="41"/>
                    <w:rPr>
                      <w:rFonts w:ascii="Times New Roman" w:hAnsi="Times New Roman" w:cs="Times New Roman"/>
                      <w:color w:val="auto"/>
                      <w:highlight w:val="none"/>
                    </w:rPr>
                  </w:pPr>
                  <w:r>
                    <w:rPr>
                      <w:rFonts w:ascii="Times New Roman" w:hAnsi="Times New Roman" w:cs="Times New Roman"/>
                      <w:b/>
                      <w:bCs/>
                      <w:color w:val="auto"/>
                      <w:sz w:val="21"/>
                      <w:szCs w:val="21"/>
                      <w:highlight w:val="none"/>
                    </w:rPr>
                    <w:t>第五章第二节—加强扬尘精细化管控</w:t>
                  </w:r>
                </w:p>
                <w:p w14:paraId="6FF5C344">
                  <w:pPr>
                    <w:pStyle w:val="41"/>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立扬尘污染源清单，实现扬尘污染源动态管理，构建“过程全覆盖、管理全方位、责任全链条”扬尘防治体系。全面推行绿色施工，将绿色施工纳入企业资质、信用评价。重点区域道路、水务等线性工程进行分段施工。大力推进低尘机械化湿式清扫作业，加大重要路段冲洗保洁力度，渣土车实施硬覆盖与全密闭运输，强化道路绿化用地扬尘治理。到2025年，全县矿山开采、建材生产行业的散装干物料堆场，全面完成抑尘设施建设和物料输送系统封闭改造。</w:t>
                  </w:r>
                </w:p>
              </w:tc>
              <w:tc>
                <w:tcPr>
                  <w:tcW w:w="1550" w:type="dxa"/>
                  <w:vMerge w:val="continue"/>
                  <w:tcBorders>
                    <w:tl2br w:val="nil"/>
                    <w:tr2bl w:val="nil"/>
                  </w:tcBorders>
                  <w:vAlign w:val="center"/>
                </w:tcPr>
                <w:p w14:paraId="2FDD4313">
                  <w:pPr>
                    <w:rPr>
                      <w:color w:val="auto"/>
                      <w:szCs w:val="21"/>
                      <w:highlight w:val="none"/>
                    </w:rPr>
                  </w:pPr>
                </w:p>
              </w:tc>
              <w:tc>
                <w:tcPr>
                  <w:tcW w:w="936" w:type="dxa"/>
                  <w:vMerge w:val="continue"/>
                  <w:tcBorders>
                    <w:tl2br w:val="nil"/>
                    <w:tr2bl w:val="nil"/>
                  </w:tcBorders>
                  <w:vAlign w:val="center"/>
                </w:tcPr>
                <w:p w14:paraId="00BE0847">
                  <w:pPr>
                    <w:wordWrap w:val="0"/>
                    <w:jc w:val="center"/>
                    <w:rPr>
                      <w:color w:val="auto"/>
                      <w:szCs w:val="21"/>
                      <w:highlight w:val="none"/>
                    </w:rPr>
                  </w:pPr>
                </w:p>
              </w:tc>
            </w:tr>
          </w:tbl>
          <w:p w14:paraId="5488679D">
            <w:pPr>
              <w:spacing w:line="360" w:lineRule="auto"/>
              <w:ind w:firstLine="480" w:firstLineChars="200"/>
              <w:rPr>
                <w:b/>
                <w:bCs/>
                <w:color w:val="auto"/>
                <w:szCs w:val="21"/>
                <w:highlight w:val="none"/>
              </w:rPr>
            </w:pPr>
            <w:r>
              <w:rPr>
                <w:rFonts w:hint="eastAsia"/>
                <w:color w:val="auto"/>
                <w:sz w:val="24"/>
                <w:highlight w:val="none"/>
              </w:rPr>
              <w:t>5、与其他相关政策的符合性分析</w:t>
            </w:r>
          </w:p>
          <w:p w14:paraId="2F34A165">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1-4  与其他政策的符合性分析</w:t>
            </w:r>
          </w:p>
          <w:tbl>
            <w:tblPr>
              <w:tblStyle w:val="32"/>
              <w:tblW w:w="81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3069"/>
              <w:gridCol w:w="2400"/>
              <w:gridCol w:w="930"/>
            </w:tblGrid>
            <w:tr w14:paraId="7140D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050A3233">
                  <w:pPr>
                    <w:jc w:val="center"/>
                    <w:rPr>
                      <w:color w:val="auto"/>
                      <w:szCs w:val="21"/>
                      <w:highlight w:val="none"/>
                    </w:rPr>
                  </w:pPr>
                  <w:r>
                    <w:rPr>
                      <w:rFonts w:hint="eastAsia"/>
                      <w:color w:val="auto"/>
                      <w:szCs w:val="21"/>
                      <w:highlight w:val="none"/>
                    </w:rPr>
                    <w:t>政策</w:t>
                  </w:r>
                </w:p>
              </w:tc>
              <w:tc>
                <w:tcPr>
                  <w:tcW w:w="3069" w:type="dxa"/>
                  <w:vAlign w:val="center"/>
                </w:tcPr>
                <w:p w14:paraId="16FEA149">
                  <w:pPr>
                    <w:jc w:val="center"/>
                    <w:rPr>
                      <w:color w:val="auto"/>
                      <w:szCs w:val="21"/>
                      <w:highlight w:val="none"/>
                    </w:rPr>
                  </w:pPr>
                  <w:r>
                    <w:rPr>
                      <w:rFonts w:hint="eastAsia"/>
                      <w:color w:val="auto"/>
                      <w:szCs w:val="21"/>
                      <w:highlight w:val="none"/>
                    </w:rPr>
                    <w:t>相关要求</w:t>
                  </w:r>
                </w:p>
              </w:tc>
              <w:tc>
                <w:tcPr>
                  <w:tcW w:w="2400" w:type="dxa"/>
                  <w:vAlign w:val="center"/>
                </w:tcPr>
                <w:p w14:paraId="7403B828">
                  <w:pPr>
                    <w:jc w:val="center"/>
                    <w:rPr>
                      <w:color w:val="auto"/>
                      <w:szCs w:val="21"/>
                      <w:highlight w:val="none"/>
                    </w:rPr>
                  </w:pPr>
                  <w:r>
                    <w:rPr>
                      <w:rFonts w:hint="eastAsia"/>
                      <w:color w:val="auto"/>
                      <w:szCs w:val="21"/>
                      <w:highlight w:val="none"/>
                    </w:rPr>
                    <w:t>本项目情况</w:t>
                  </w:r>
                </w:p>
              </w:tc>
              <w:tc>
                <w:tcPr>
                  <w:tcW w:w="930" w:type="dxa"/>
                  <w:vAlign w:val="center"/>
                </w:tcPr>
                <w:p w14:paraId="3E5D1012">
                  <w:pPr>
                    <w:jc w:val="center"/>
                    <w:rPr>
                      <w:color w:val="auto"/>
                      <w:szCs w:val="21"/>
                      <w:highlight w:val="none"/>
                    </w:rPr>
                  </w:pPr>
                  <w:r>
                    <w:rPr>
                      <w:color w:val="auto"/>
                      <w:szCs w:val="21"/>
                      <w:highlight w:val="none"/>
                    </w:rPr>
                    <w:t>符合性</w:t>
                  </w:r>
                </w:p>
              </w:tc>
            </w:tr>
            <w:tr w14:paraId="7DCB4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61C140A1">
                  <w:pPr>
                    <w:jc w:val="center"/>
                    <w:rPr>
                      <w:color w:val="auto"/>
                      <w:szCs w:val="21"/>
                      <w:highlight w:val="none"/>
                    </w:rPr>
                  </w:pPr>
                  <w:r>
                    <w:rPr>
                      <w:rFonts w:hint="eastAsia"/>
                      <w:color w:val="auto"/>
                      <w:szCs w:val="21"/>
                      <w:highlight w:val="none"/>
                    </w:rPr>
                    <w:t>《汉中市大气污染治理专项行动方案（2023</w:t>
                  </w:r>
                  <w:r>
                    <w:rPr>
                      <w:rFonts w:hint="eastAsia"/>
                      <w:color w:val="auto"/>
                      <w:szCs w:val="21"/>
                      <w:highlight w:val="none"/>
                      <w:lang w:eastAsia="zh-CN"/>
                    </w:rPr>
                    <w:t>—</w:t>
                  </w:r>
                  <w:r>
                    <w:rPr>
                      <w:rFonts w:hint="eastAsia"/>
                      <w:color w:val="auto"/>
                      <w:szCs w:val="21"/>
                      <w:highlight w:val="none"/>
                    </w:rPr>
                    <w:t>2027年）》（汉政办函〔2023〕7号）</w:t>
                  </w:r>
                </w:p>
              </w:tc>
              <w:tc>
                <w:tcPr>
                  <w:tcW w:w="3069" w:type="dxa"/>
                  <w:vAlign w:val="center"/>
                </w:tcPr>
                <w:p w14:paraId="0B0BF94E">
                  <w:pPr>
                    <w:spacing w:line="360" w:lineRule="auto"/>
                    <w:jc w:val="both"/>
                    <w:rPr>
                      <w:b/>
                      <w:bCs/>
                      <w:color w:val="auto"/>
                      <w:highlight w:val="none"/>
                    </w:rPr>
                  </w:pPr>
                  <w:r>
                    <w:rPr>
                      <w:rFonts w:hint="eastAsia"/>
                      <w:b/>
                      <w:bCs/>
                      <w:color w:val="auto"/>
                      <w:highlight w:val="none"/>
                    </w:rPr>
                    <w:t>严管严控扬尘污染</w:t>
                  </w:r>
                </w:p>
                <w:p w14:paraId="005153B9">
                  <w:pPr>
                    <w:pStyle w:val="41"/>
                    <w:rPr>
                      <w:color w:val="auto"/>
                      <w:sz w:val="21"/>
                      <w:szCs w:val="21"/>
                      <w:highlight w:val="none"/>
                    </w:rPr>
                  </w:pPr>
                  <w:r>
                    <w:rPr>
                      <w:rFonts w:hint="eastAsia" w:ascii="宋体" w:hAnsi="宋体" w:cs="宋体"/>
                      <w:color w:val="auto"/>
                      <w:sz w:val="21"/>
                      <w:szCs w:val="21"/>
                      <w:highlight w:val="none"/>
                    </w:rPr>
                    <w:t>①</w:t>
                  </w:r>
                  <w:r>
                    <w:rPr>
                      <w:rFonts w:hint="eastAsia"/>
                      <w:color w:val="auto"/>
                      <w:sz w:val="21"/>
                      <w:szCs w:val="21"/>
                      <w:highlight w:val="none"/>
                    </w:rPr>
                    <w:t>严控施工扬尘；</w:t>
                  </w:r>
                </w:p>
                <w:p w14:paraId="40241285">
                  <w:pPr>
                    <w:pStyle w:val="43"/>
                    <w:ind w:left="0"/>
                    <w:rPr>
                      <w:b w:val="0"/>
                      <w:bCs w:val="0"/>
                      <w:color w:val="auto"/>
                      <w:sz w:val="21"/>
                      <w:szCs w:val="21"/>
                      <w:highlight w:val="none"/>
                    </w:rPr>
                  </w:pPr>
                  <w:r>
                    <w:rPr>
                      <w:rFonts w:hint="eastAsia" w:hAnsi="宋体" w:cs="宋体"/>
                      <w:b w:val="0"/>
                      <w:bCs w:val="0"/>
                      <w:color w:val="auto"/>
                      <w:sz w:val="21"/>
                      <w:szCs w:val="21"/>
                      <w:highlight w:val="none"/>
                    </w:rPr>
                    <w:t>②</w:t>
                  </w:r>
                  <w:r>
                    <w:rPr>
                      <w:b w:val="0"/>
                      <w:bCs w:val="0"/>
                      <w:color w:val="auto"/>
                      <w:sz w:val="21"/>
                      <w:szCs w:val="21"/>
                      <w:highlight w:val="none"/>
                    </w:rPr>
                    <w:t>严管道路运输扬尘</w:t>
                  </w:r>
                  <w:r>
                    <w:rPr>
                      <w:rFonts w:hint="eastAsia"/>
                      <w:b w:val="0"/>
                      <w:bCs w:val="0"/>
                      <w:color w:val="auto"/>
                      <w:sz w:val="21"/>
                      <w:szCs w:val="21"/>
                      <w:highlight w:val="none"/>
                    </w:rPr>
                    <w:t>；</w:t>
                  </w:r>
                </w:p>
                <w:p w14:paraId="101C38DE">
                  <w:pPr>
                    <w:rPr>
                      <w:color w:val="auto"/>
                      <w:szCs w:val="21"/>
                      <w:highlight w:val="none"/>
                    </w:rPr>
                  </w:pPr>
                  <w:r>
                    <w:rPr>
                      <w:rFonts w:hint="eastAsia" w:ascii="宋体" w:hAnsi="宋体" w:cs="宋体"/>
                      <w:color w:val="auto"/>
                      <w:szCs w:val="21"/>
                      <w:highlight w:val="none"/>
                    </w:rPr>
                    <w:t>③</w:t>
                  </w:r>
                  <w:r>
                    <w:rPr>
                      <w:color w:val="auto"/>
                      <w:szCs w:val="21"/>
                      <w:highlight w:val="none"/>
                    </w:rPr>
                    <w:t>加大道路保洁力度</w:t>
                  </w:r>
                  <w:r>
                    <w:rPr>
                      <w:rFonts w:hint="eastAsia"/>
                      <w:color w:val="auto"/>
                      <w:szCs w:val="21"/>
                      <w:highlight w:val="none"/>
                    </w:rPr>
                    <w:t>；</w:t>
                  </w:r>
                </w:p>
                <w:p w14:paraId="59D6A976">
                  <w:pPr>
                    <w:pStyle w:val="41"/>
                    <w:rPr>
                      <w:color w:val="auto"/>
                      <w:highlight w:val="none"/>
                    </w:rPr>
                  </w:pPr>
                  <w:r>
                    <w:rPr>
                      <w:rFonts w:hint="eastAsia" w:ascii="宋体" w:hAnsi="宋体" w:cs="宋体"/>
                      <w:color w:val="auto"/>
                      <w:kern w:val="0"/>
                      <w:sz w:val="21"/>
                      <w:szCs w:val="21"/>
                      <w:highlight w:val="none"/>
                    </w:rPr>
                    <w:t>④</w:t>
                  </w:r>
                  <w:r>
                    <w:rPr>
                      <w:rFonts w:ascii="Times New Roman" w:hAnsi="Times New Roman" w:cs="Times New Roman"/>
                      <w:color w:val="auto"/>
                      <w:kern w:val="0"/>
                      <w:sz w:val="21"/>
                      <w:szCs w:val="21"/>
                      <w:highlight w:val="none"/>
                    </w:rPr>
                    <w:t>加大物料堆场扬尘整治力度</w:t>
                  </w:r>
                  <w:r>
                    <w:rPr>
                      <w:rFonts w:hint="eastAsia" w:ascii="Times New Roman" w:hAnsi="Times New Roman" w:cs="Times New Roman"/>
                      <w:color w:val="auto"/>
                      <w:kern w:val="0"/>
                      <w:sz w:val="21"/>
                      <w:szCs w:val="21"/>
                      <w:highlight w:val="none"/>
                    </w:rPr>
                    <w:t>。</w:t>
                  </w:r>
                </w:p>
              </w:tc>
              <w:tc>
                <w:tcPr>
                  <w:tcW w:w="2400" w:type="dxa"/>
                  <w:vMerge w:val="restart"/>
                  <w:vAlign w:val="center"/>
                </w:tcPr>
                <w:p w14:paraId="47B102EC">
                  <w:pPr>
                    <w:rPr>
                      <w:color w:val="auto"/>
                      <w:highlight w:val="none"/>
                    </w:rPr>
                  </w:pPr>
                  <w:r>
                    <w:rPr>
                      <w:rFonts w:hint="eastAsia"/>
                      <w:color w:val="auto"/>
                      <w:highlight w:val="none"/>
                    </w:rPr>
                    <w:t>①</w:t>
                  </w:r>
                  <w:r>
                    <w:rPr>
                      <w:color w:val="auto"/>
                      <w:highlight w:val="none"/>
                    </w:rPr>
                    <w:t>本项目</w:t>
                  </w:r>
                  <w:r>
                    <w:rPr>
                      <w:rFonts w:hint="eastAsia"/>
                      <w:color w:val="auto"/>
                      <w:highlight w:val="none"/>
                    </w:rPr>
                    <w:t>原料及产品运输过程中采取密闭、篷布遮盖等措施，减少运输扬尘的产生；装卸物料时合理控制卸料高度</w:t>
                  </w:r>
                  <w:r>
                    <w:rPr>
                      <w:rFonts w:hint="eastAsia"/>
                      <w:color w:val="auto"/>
                      <w:highlight w:val="none"/>
                      <w:lang w:eastAsia="zh-CN"/>
                    </w:rPr>
                    <w:t>；在</w:t>
                  </w:r>
                  <w:r>
                    <w:rPr>
                      <w:rFonts w:hint="eastAsia"/>
                      <w:color w:val="auto"/>
                      <w:highlight w:val="none"/>
                      <w:lang w:val="en-US" w:eastAsia="zh-CN"/>
                    </w:rPr>
                    <w:t>厂区出入口设置</w:t>
                  </w:r>
                  <w:r>
                    <w:rPr>
                      <w:rFonts w:hint="eastAsia"/>
                      <w:color w:val="auto"/>
                      <w:highlight w:val="none"/>
                    </w:rPr>
                    <w:t>沉淀池，定期对运输车辆进行冲洗，冲洗水回用不外排；此外，定期对厂区地面进行洒水抑尘。</w:t>
                  </w:r>
                </w:p>
                <w:p w14:paraId="1988C412">
                  <w:pP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②本项目</w:t>
                  </w:r>
                  <w:r>
                    <w:rPr>
                      <w:rFonts w:hint="eastAsia" w:ascii="Times New Roman" w:hAnsi="Times New Roman" w:eastAsia="宋体" w:cs="Times New Roman"/>
                      <w:color w:val="auto"/>
                      <w:highlight w:val="none"/>
                      <w:lang w:val="en-US" w:eastAsia="zh-CN"/>
                    </w:rPr>
                    <w:t>原</w:t>
                  </w:r>
                  <w:r>
                    <w:rPr>
                      <w:rFonts w:hint="eastAsia" w:ascii="Times New Roman" w:hAnsi="Times New Roman" w:eastAsia="宋体" w:cs="Times New Roman"/>
                      <w:color w:val="auto"/>
                      <w:highlight w:val="none"/>
                    </w:rPr>
                    <w:t>料区</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成品区进行三面围挡+顶棚处置。</w:t>
                  </w:r>
                </w:p>
                <w:p w14:paraId="01A1C4B3">
                  <w:r>
                    <w:rPr>
                      <w:rFonts w:hint="eastAsia" w:ascii="Times New Roman" w:hAnsi="Times New Roman" w:eastAsia="宋体" w:cs="Times New Roman"/>
                      <w:color w:val="auto"/>
                      <w:highlight w:val="none"/>
                      <w:lang w:val="en-US" w:eastAsia="zh-CN"/>
                    </w:rPr>
                    <w:t>③运营期生产线废气</w:t>
                  </w:r>
                  <w:r>
                    <w:rPr>
                      <w:rFonts w:hint="eastAsia" w:ascii="Times New Roman" w:hAnsi="Times New Roman" w:eastAsia="宋体" w:cs="Times New Roman"/>
                      <w:color w:val="auto"/>
                      <w:highlight w:val="none"/>
                    </w:rPr>
                    <w:t>采取集尘设施+</w:t>
                  </w:r>
                  <w:r>
                    <w:rPr>
                      <w:rFonts w:hint="eastAsia" w:ascii="Times New Roman" w:hAnsi="Times New Roman" w:eastAsia="宋体" w:cs="Times New Roman"/>
                      <w:color w:val="auto"/>
                      <w:highlight w:val="none"/>
                      <w:lang w:val="en-US" w:eastAsia="zh-CN"/>
                    </w:rPr>
                    <w:t>袋式</w:t>
                  </w:r>
                  <w:r>
                    <w:rPr>
                      <w:rFonts w:hint="eastAsia" w:ascii="Times New Roman" w:hAnsi="Times New Roman" w:eastAsia="宋体" w:cs="Times New Roman"/>
                      <w:color w:val="auto"/>
                      <w:highlight w:val="none"/>
                    </w:rPr>
                    <w:t>除尘</w:t>
                  </w:r>
                  <w:r>
                    <w:rPr>
                      <w:rFonts w:hint="eastAsia" w:ascii="Times New Roman" w:hAnsi="Times New Roman" w:eastAsia="宋体" w:cs="Times New Roman"/>
                      <w:color w:val="auto"/>
                      <w:highlight w:val="none"/>
                      <w:lang w:val="en-US" w:eastAsia="zh-CN"/>
                    </w:rPr>
                    <w:t>处理后达标排放</w:t>
                  </w:r>
                  <w:r>
                    <w:rPr>
                      <w:rFonts w:hint="eastAsia" w:ascii="Times New Roman" w:hAnsi="Times New Roman" w:eastAsia="宋体" w:cs="Times New Roman"/>
                      <w:color w:val="auto"/>
                      <w:highlight w:val="none"/>
                      <w:lang w:eastAsia="zh-CN"/>
                    </w:rPr>
                    <w:t>。</w:t>
                  </w:r>
                </w:p>
              </w:tc>
              <w:tc>
                <w:tcPr>
                  <w:tcW w:w="930" w:type="dxa"/>
                  <w:vAlign w:val="center"/>
                </w:tcPr>
                <w:p w14:paraId="486AAA23">
                  <w:pPr>
                    <w:jc w:val="center"/>
                    <w:rPr>
                      <w:color w:val="auto"/>
                      <w:szCs w:val="21"/>
                      <w:highlight w:val="none"/>
                    </w:rPr>
                  </w:pPr>
                  <w:r>
                    <w:rPr>
                      <w:color w:val="auto"/>
                      <w:szCs w:val="21"/>
                      <w:highlight w:val="none"/>
                    </w:rPr>
                    <w:t>符合</w:t>
                  </w:r>
                </w:p>
              </w:tc>
            </w:tr>
            <w:tr w14:paraId="54380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3CF129FA">
                  <w:pPr>
                    <w:jc w:val="center"/>
                    <w:rPr>
                      <w:color w:val="auto"/>
                      <w:szCs w:val="21"/>
                      <w:highlight w:val="none"/>
                    </w:rPr>
                  </w:pPr>
                  <w:r>
                    <w:rPr>
                      <w:rFonts w:hint="eastAsia"/>
                      <w:color w:val="auto"/>
                      <w:szCs w:val="21"/>
                      <w:highlight w:val="none"/>
                    </w:rPr>
                    <w:t>《洋县大气污染治理专项行动方案（2023</w:t>
                  </w:r>
                  <w:r>
                    <w:rPr>
                      <w:rFonts w:hint="eastAsia"/>
                      <w:color w:val="auto"/>
                      <w:szCs w:val="21"/>
                      <w:highlight w:val="none"/>
                      <w:lang w:eastAsia="zh-CN"/>
                    </w:rPr>
                    <w:t>—</w:t>
                  </w:r>
                  <w:r>
                    <w:rPr>
                      <w:rFonts w:hint="eastAsia"/>
                      <w:color w:val="auto"/>
                      <w:szCs w:val="21"/>
                      <w:highlight w:val="none"/>
                    </w:rPr>
                    <w:t>2027年）》（洋发〔2023〕6号）</w:t>
                  </w:r>
                </w:p>
              </w:tc>
              <w:tc>
                <w:tcPr>
                  <w:tcW w:w="3069" w:type="dxa"/>
                  <w:vAlign w:val="center"/>
                </w:tcPr>
                <w:p w14:paraId="36C96AB0">
                  <w:pPr>
                    <w:pStyle w:val="41"/>
                    <w:rPr>
                      <w:rFonts w:ascii="宋体" w:hAnsi="宋体" w:cs="宋体"/>
                      <w:color w:val="auto"/>
                      <w:kern w:val="0"/>
                      <w:sz w:val="21"/>
                      <w:szCs w:val="21"/>
                      <w:highlight w:val="none"/>
                    </w:rPr>
                  </w:pPr>
                  <w:r>
                    <w:rPr>
                      <w:rFonts w:hint="eastAsia" w:ascii="宋体" w:hAnsi="宋体" w:cs="宋体"/>
                      <w:color w:val="auto"/>
                      <w:kern w:val="0"/>
                      <w:sz w:val="21"/>
                      <w:szCs w:val="21"/>
                      <w:highlight w:val="none"/>
                    </w:rPr>
                    <w:t>加强堆场扬尘污染控制，建立物料堆场监管台账，贮存煤炭、煤矸石、煤渣、煤灰、水泥、石灰、石膏、砂土等易产生扬尘的物料应当密闭，不能密闭的应当设置不低于堆放物高度的严密围挡和采取有效覆盖措施防治扬尘污染。装卸物料必须采取密闭或者喷淋等方式。易产生扬尘污染的物料堆场单位必须建设运输车辆冲洗设施，保持出入车辆干净，有效控制扬尘排放。</w:t>
                  </w:r>
                </w:p>
              </w:tc>
              <w:tc>
                <w:tcPr>
                  <w:tcW w:w="2400" w:type="dxa"/>
                  <w:vMerge w:val="continue"/>
                  <w:vAlign w:val="center"/>
                </w:tcPr>
                <w:p w14:paraId="5297629E">
                  <w:pPr>
                    <w:pStyle w:val="43"/>
                    <w:ind w:left="0"/>
                    <w:rPr>
                      <w:rFonts w:ascii="Times New Roman"/>
                      <w:b w:val="0"/>
                      <w:bCs w:val="0"/>
                      <w:color w:val="auto"/>
                      <w:sz w:val="21"/>
                      <w:szCs w:val="21"/>
                      <w:highlight w:val="none"/>
                    </w:rPr>
                  </w:pPr>
                </w:p>
              </w:tc>
              <w:tc>
                <w:tcPr>
                  <w:tcW w:w="930" w:type="dxa"/>
                  <w:vAlign w:val="center"/>
                </w:tcPr>
                <w:p w14:paraId="2B8BF7E2">
                  <w:pPr>
                    <w:jc w:val="center"/>
                    <w:rPr>
                      <w:color w:val="auto"/>
                      <w:szCs w:val="21"/>
                      <w:highlight w:val="none"/>
                    </w:rPr>
                  </w:pPr>
                  <w:r>
                    <w:rPr>
                      <w:color w:val="auto"/>
                      <w:szCs w:val="21"/>
                      <w:highlight w:val="none"/>
                    </w:rPr>
                    <w:t>符合</w:t>
                  </w:r>
                </w:p>
              </w:tc>
            </w:tr>
            <w:tr w14:paraId="7CE75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1" w:type="dxa"/>
                  <w:vAlign w:val="center"/>
                </w:tcPr>
                <w:p w14:paraId="630324F5">
                  <w:pPr>
                    <w:autoSpaceDE w:val="0"/>
                    <w:autoSpaceDN w:val="0"/>
                    <w:adjustRightInd w:val="0"/>
                    <w:snapToGrid w:val="0"/>
                    <w:jc w:val="center"/>
                    <w:rPr>
                      <w:rFonts w:hint="eastAsia"/>
                      <w:color w:val="auto"/>
                      <w:szCs w:val="21"/>
                      <w:highlight w:val="none"/>
                    </w:rPr>
                  </w:pPr>
                  <w:r>
                    <w:rPr>
                      <w:rFonts w:hint="default" w:ascii="Times New Roman" w:hAnsi="Times New Roman" w:cs="Times New Roman"/>
                      <w:color w:val="auto"/>
                      <w:kern w:val="0"/>
                      <w:szCs w:val="21"/>
                      <w:highlight w:val="none"/>
                    </w:rPr>
                    <w:t>《关于促进砂石行业健康有序发展的指导意见》（发改价格</w:t>
                  </w:r>
                  <w:r>
                    <w:rPr>
                      <w:rFonts w:hint="eastAsia" w:cs="Times New Roman"/>
                      <w:color w:val="auto"/>
                      <w:kern w:val="0"/>
                      <w:szCs w:val="21"/>
                      <w:highlight w:val="none"/>
                      <w:lang w:eastAsia="zh-CN"/>
                    </w:rPr>
                    <w:t>〔2020〕473号</w:t>
                  </w:r>
                  <w:r>
                    <w:rPr>
                      <w:rFonts w:hint="default" w:ascii="Times New Roman" w:hAnsi="Times New Roman" w:cs="Times New Roman"/>
                      <w:color w:val="auto"/>
                      <w:kern w:val="0"/>
                      <w:szCs w:val="21"/>
                      <w:highlight w:val="none"/>
                    </w:rPr>
                    <w:t>）</w:t>
                  </w:r>
                </w:p>
              </w:tc>
              <w:tc>
                <w:tcPr>
                  <w:tcW w:w="3069" w:type="dxa"/>
                  <w:vAlign w:val="center"/>
                </w:tcPr>
                <w:p w14:paraId="3F9B7852">
                  <w:pPr>
                    <w:autoSpaceDE w:val="0"/>
                    <w:autoSpaceDN w:val="0"/>
                    <w:adjustRightInd w:val="0"/>
                    <w:snapToGrid w:val="0"/>
                    <w:rPr>
                      <w:rFonts w:hint="eastAsia" w:ascii="宋体" w:hAnsi="宋体" w:cs="宋体"/>
                      <w:color w:val="auto"/>
                      <w:kern w:val="0"/>
                      <w:sz w:val="21"/>
                      <w:szCs w:val="21"/>
                      <w:highlight w:val="none"/>
                    </w:rPr>
                  </w:pPr>
                  <w:r>
                    <w:rPr>
                      <w:rFonts w:hint="default" w:ascii="Times New Roman" w:hAnsi="Times New Roman" w:cs="Times New Roman"/>
                      <w:color w:val="auto"/>
                      <w:kern w:val="0"/>
                      <w:szCs w:val="21"/>
                      <w:highlight w:val="none"/>
                    </w:rPr>
                    <w:t>统筹考虑各类砂石资源整体发展趋势，逐步过渡到依靠机制砂石满足建设需要，在规划布局、工艺装备、产品质量、污染防治、综合利用、安全生产等方面加强联动，加快推动机制砂石产业转型升级。</w:t>
                  </w:r>
                </w:p>
              </w:tc>
              <w:tc>
                <w:tcPr>
                  <w:tcW w:w="2400" w:type="dxa"/>
                  <w:vAlign w:val="center"/>
                </w:tcPr>
                <w:p w14:paraId="42C613FD">
                  <w:pPr>
                    <w:autoSpaceDE w:val="0"/>
                    <w:autoSpaceDN w:val="0"/>
                    <w:adjustRightInd w:val="0"/>
                    <w:snapToGrid w:val="0"/>
                    <w:jc w:val="both"/>
                    <w:rPr>
                      <w:rFonts w:ascii="Times New Roman"/>
                      <w:b w:val="0"/>
                      <w:bCs w:val="0"/>
                      <w:color w:val="auto"/>
                      <w:sz w:val="21"/>
                      <w:szCs w:val="21"/>
                      <w:highlight w:val="none"/>
                    </w:rPr>
                  </w:pPr>
                  <w:r>
                    <w:rPr>
                      <w:rFonts w:hint="default" w:ascii="Times New Roman" w:hAnsi="Times New Roman" w:cs="Times New Roman"/>
                      <w:color w:val="auto"/>
                      <w:kern w:val="0"/>
                      <w:szCs w:val="21"/>
                      <w:highlight w:val="none"/>
                    </w:rPr>
                    <w:t>本项目</w:t>
                  </w:r>
                  <w:r>
                    <w:rPr>
                      <w:rFonts w:hint="eastAsia" w:ascii="Times New Roman" w:hAnsi="Times New Roman" w:cs="Times New Roman"/>
                      <w:color w:val="auto"/>
                      <w:kern w:val="0"/>
                      <w:szCs w:val="21"/>
                      <w:highlight w:val="none"/>
                      <w:lang w:val="en-US" w:eastAsia="zh-CN"/>
                    </w:rPr>
                    <w:t>骨料破碎、</w:t>
                  </w:r>
                  <w:r>
                    <w:rPr>
                      <w:rFonts w:hint="eastAsia" w:cs="Times New Roman"/>
                      <w:color w:val="auto"/>
                      <w:kern w:val="0"/>
                      <w:szCs w:val="21"/>
                      <w:highlight w:val="none"/>
                      <w:lang w:val="en-US" w:eastAsia="zh-CN"/>
                    </w:rPr>
                    <w:t>机制砂</w:t>
                  </w:r>
                  <w:r>
                    <w:rPr>
                      <w:rFonts w:hint="eastAsia" w:ascii="Times New Roman" w:hAnsi="Times New Roman" w:cs="Times New Roman"/>
                      <w:color w:val="auto"/>
                      <w:kern w:val="0"/>
                      <w:szCs w:val="21"/>
                      <w:highlight w:val="none"/>
                      <w:lang w:val="en-US" w:eastAsia="zh-CN"/>
                    </w:rPr>
                    <w:t>原料来源于自有矿山及外购周边矿石，</w:t>
                  </w:r>
                  <w:r>
                    <w:rPr>
                      <w:rFonts w:hint="eastAsia" w:cs="Times New Roman"/>
                      <w:color w:val="auto"/>
                      <w:kern w:val="0"/>
                      <w:szCs w:val="21"/>
                      <w:highlight w:val="none"/>
                      <w:lang w:val="en-US" w:eastAsia="zh-CN"/>
                    </w:rPr>
                    <w:t>砂石产品供应给周边设施建设</w:t>
                  </w:r>
                </w:p>
              </w:tc>
              <w:tc>
                <w:tcPr>
                  <w:tcW w:w="930" w:type="dxa"/>
                  <w:vAlign w:val="center"/>
                </w:tcPr>
                <w:p w14:paraId="72EFD092">
                  <w:pPr>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4C7DF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51A129F1">
                  <w:pPr>
                    <w:autoSpaceDE w:val="0"/>
                    <w:autoSpaceDN w:val="0"/>
                    <w:adjustRightInd w:val="0"/>
                    <w:snapToGrid w:val="0"/>
                    <w:jc w:val="center"/>
                    <w:rPr>
                      <w:rFonts w:hint="eastAsia"/>
                      <w:color w:val="auto"/>
                      <w:szCs w:val="21"/>
                      <w:highlight w:val="none"/>
                    </w:rPr>
                  </w:pPr>
                  <w:r>
                    <w:rPr>
                      <w:rFonts w:hint="default" w:ascii="Times New Roman" w:hAnsi="Times New Roman" w:cs="Times New Roman"/>
                      <w:color w:val="auto"/>
                      <w:kern w:val="0"/>
                      <w:szCs w:val="21"/>
                      <w:highlight w:val="none"/>
                    </w:rPr>
                    <w:t>十部委《关于推进机制砂石行业高质量发展的若干意见》（工信部联原</w:t>
                  </w:r>
                  <w:r>
                    <w:rPr>
                      <w:rFonts w:hint="eastAsia" w:cs="Times New Roman"/>
                      <w:color w:val="auto"/>
                      <w:kern w:val="0"/>
                      <w:szCs w:val="21"/>
                      <w:highlight w:val="none"/>
                      <w:lang w:eastAsia="zh-CN"/>
                    </w:rPr>
                    <w:t>〔2019〕239号</w:t>
                  </w:r>
                  <w:r>
                    <w:rPr>
                      <w:rFonts w:hint="default" w:ascii="Times New Roman" w:hAnsi="Times New Roman" w:cs="Times New Roman"/>
                      <w:color w:val="auto"/>
                      <w:kern w:val="0"/>
                      <w:szCs w:val="21"/>
                      <w:highlight w:val="none"/>
                    </w:rPr>
                    <w:t>）</w:t>
                  </w:r>
                </w:p>
              </w:tc>
              <w:tc>
                <w:tcPr>
                  <w:tcW w:w="3069" w:type="dxa"/>
                  <w:vAlign w:val="center"/>
                </w:tcPr>
                <w:p w14:paraId="68837656">
                  <w:pPr>
                    <w:autoSpaceDE w:val="0"/>
                    <w:autoSpaceDN w:val="0"/>
                    <w:adjustRightInd w:val="0"/>
                    <w:snapToGrid w:val="0"/>
                    <w:rPr>
                      <w:rFonts w:hint="eastAsia" w:ascii="宋体" w:hAnsi="宋体" w:cs="宋体"/>
                      <w:color w:val="auto"/>
                      <w:kern w:val="0"/>
                      <w:sz w:val="21"/>
                      <w:szCs w:val="21"/>
                      <w:highlight w:val="none"/>
                    </w:rPr>
                  </w:pPr>
                  <w:r>
                    <w:rPr>
                      <w:rFonts w:hint="default" w:ascii="Times New Roman" w:hAnsi="Times New Roman" w:cs="Times New Roman"/>
                      <w:color w:val="auto"/>
                      <w:kern w:val="0"/>
                      <w:szCs w:val="21"/>
                      <w:highlight w:val="none"/>
                    </w:rPr>
                    <w:t>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w:t>
                  </w:r>
                </w:p>
              </w:tc>
              <w:tc>
                <w:tcPr>
                  <w:tcW w:w="2400" w:type="dxa"/>
                  <w:vAlign w:val="center"/>
                </w:tcPr>
                <w:p w14:paraId="2206FBB1">
                  <w:pPr>
                    <w:autoSpaceDE w:val="0"/>
                    <w:autoSpaceDN w:val="0"/>
                    <w:adjustRightInd w:val="0"/>
                    <w:snapToGrid w:val="0"/>
                    <w:jc w:val="both"/>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①本项目</w:t>
                  </w:r>
                  <w:r>
                    <w:rPr>
                      <w:rFonts w:hint="eastAsia" w:ascii="Times New Roman" w:hAnsi="Times New Roman" w:cs="Times New Roman"/>
                      <w:color w:val="auto"/>
                      <w:kern w:val="0"/>
                      <w:szCs w:val="21"/>
                      <w:highlight w:val="none"/>
                      <w:lang w:val="en-US" w:eastAsia="zh-CN"/>
                    </w:rPr>
                    <w:t>骨料及机制砂</w:t>
                  </w:r>
                  <w:r>
                    <w:rPr>
                      <w:rFonts w:hint="default" w:ascii="Times New Roman" w:hAnsi="Times New Roman" w:cs="Times New Roman"/>
                      <w:color w:val="auto"/>
                      <w:kern w:val="0"/>
                      <w:szCs w:val="21"/>
                      <w:highlight w:val="none"/>
                    </w:rPr>
                    <w:t>生产过程</w:t>
                  </w:r>
                  <w:r>
                    <w:rPr>
                      <w:rFonts w:hint="eastAsia" w:ascii="Times New Roman" w:hAnsi="Times New Roman" w:eastAsia="宋体" w:cs="Times New Roman"/>
                      <w:color w:val="auto"/>
                      <w:highlight w:val="none"/>
                      <w:lang w:val="en-US" w:eastAsia="zh-CN"/>
                    </w:rPr>
                    <w:t>废气</w:t>
                  </w:r>
                  <w:r>
                    <w:rPr>
                      <w:rFonts w:hint="eastAsia" w:ascii="Times New Roman" w:hAnsi="Times New Roman" w:eastAsia="宋体" w:cs="Times New Roman"/>
                      <w:color w:val="auto"/>
                      <w:highlight w:val="none"/>
                    </w:rPr>
                    <w:t>采取集尘设施+</w:t>
                  </w:r>
                  <w:r>
                    <w:rPr>
                      <w:rFonts w:hint="eastAsia" w:ascii="Times New Roman" w:hAnsi="Times New Roman" w:eastAsia="宋体" w:cs="Times New Roman"/>
                      <w:color w:val="auto"/>
                      <w:highlight w:val="none"/>
                      <w:lang w:val="en-US" w:eastAsia="zh-CN"/>
                    </w:rPr>
                    <w:t>袋式</w:t>
                  </w:r>
                  <w:r>
                    <w:rPr>
                      <w:rFonts w:hint="eastAsia" w:ascii="Times New Roman" w:hAnsi="Times New Roman" w:eastAsia="宋体" w:cs="Times New Roman"/>
                      <w:color w:val="auto"/>
                      <w:highlight w:val="none"/>
                    </w:rPr>
                    <w:t>除尘</w:t>
                  </w:r>
                  <w:r>
                    <w:rPr>
                      <w:rFonts w:hint="eastAsia" w:ascii="Times New Roman" w:hAnsi="Times New Roman" w:eastAsia="宋体" w:cs="Times New Roman"/>
                      <w:color w:val="auto"/>
                      <w:highlight w:val="none"/>
                      <w:lang w:val="en-US" w:eastAsia="zh-CN"/>
                    </w:rPr>
                    <w:t>处理后达标排放</w:t>
                  </w:r>
                </w:p>
                <w:p w14:paraId="0E8EC5AD">
                  <w:pPr>
                    <w:autoSpaceDE w:val="0"/>
                    <w:autoSpaceDN w:val="0"/>
                    <w:adjustRightInd w:val="0"/>
                    <w:snapToGrid w:val="0"/>
                    <w:jc w:val="both"/>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rPr>
                    <w:t>②生产车间</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成品库</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原料</w:t>
                  </w:r>
                  <w:r>
                    <w:rPr>
                      <w:rFonts w:hint="eastAsia" w:cs="Times New Roman"/>
                      <w:color w:val="auto"/>
                      <w:kern w:val="0"/>
                      <w:szCs w:val="21"/>
                      <w:highlight w:val="none"/>
                      <w:lang w:val="en-US" w:eastAsia="zh-CN"/>
                    </w:rPr>
                    <w:t>库</w:t>
                  </w:r>
                  <w:r>
                    <w:rPr>
                      <w:rFonts w:hint="default" w:ascii="Times New Roman" w:hAnsi="Times New Roman" w:cs="Times New Roman"/>
                      <w:color w:val="auto"/>
                      <w:kern w:val="0"/>
                      <w:szCs w:val="21"/>
                      <w:highlight w:val="none"/>
                      <w:lang w:eastAsia="zh-CN"/>
                    </w:rPr>
                    <w:t>半封闭处理</w:t>
                  </w: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三面围挡+顶棚</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eastAsia="zh-CN"/>
                    </w:rPr>
                    <w:t>，减少扬尘外逸</w:t>
                  </w:r>
                </w:p>
                <w:p w14:paraId="163F393A">
                  <w:pPr>
                    <w:autoSpaceDE w:val="0"/>
                    <w:autoSpaceDN w:val="0"/>
                    <w:adjustRightInd w:val="0"/>
                    <w:snapToGrid w:val="0"/>
                    <w:jc w:val="both"/>
                    <w:rPr>
                      <w:rFonts w:hint="default" w:eastAsia="宋体"/>
                      <w:lang w:val="en-US" w:eastAsia="zh-CN"/>
                    </w:rPr>
                  </w:pPr>
                  <w:r>
                    <w:rPr>
                      <w:rFonts w:hint="eastAsia" w:ascii="Times New Roman" w:hAnsi="Times New Roman" w:cs="Times New Roman"/>
                      <w:color w:val="auto"/>
                      <w:kern w:val="0"/>
                      <w:szCs w:val="21"/>
                      <w:highlight w:val="none"/>
                      <w:lang w:val="en-US" w:eastAsia="zh-CN"/>
                    </w:rPr>
                    <w:t>③洗砂废水循环利用，除尘器收集尘回用于生产，泥饼压滤后外运综合利用</w:t>
                  </w:r>
                </w:p>
              </w:tc>
              <w:tc>
                <w:tcPr>
                  <w:tcW w:w="930" w:type="dxa"/>
                  <w:vAlign w:val="center"/>
                </w:tcPr>
                <w:p w14:paraId="1E2A497B">
                  <w:pPr>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505CD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8" w:hRule="atLeast"/>
                <w:jc w:val="center"/>
              </w:trPr>
              <w:tc>
                <w:tcPr>
                  <w:tcW w:w="1731" w:type="dxa"/>
                  <w:vAlign w:val="center"/>
                </w:tcPr>
                <w:p w14:paraId="2C2B1348">
                  <w:pPr>
                    <w:autoSpaceDE w:val="0"/>
                    <w:autoSpaceDN w:val="0"/>
                    <w:adjustRightInd w:val="0"/>
                    <w:snapToGrid w:val="0"/>
                    <w:jc w:val="center"/>
                    <w:rPr>
                      <w:rFonts w:hint="eastAsia"/>
                      <w:color w:val="auto"/>
                      <w:szCs w:val="21"/>
                      <w:highlight w:val="none"/>
                    </w:rPr>
                  </w:pPr>
                  <w:r>
                    <w:rPr>
                      <w:rFonts w:hint="default" w:ascii="Times New Roman" w:hAnsi="Times New Roman" w:cs="Times New Roman"/>
                      <w:color w:val="auto"/>
                      <w:kern w:val="0"/>
                      <w:szCs w:val="21"/>
                      <w:highlight w:val="none"/>
                    </w:rPr>
                    <w:t>《汉中市关于促进砂石行业健康有</w:t>
                  </w:r>
                  <w:r>
                    <w:rPr>
                      <w:rFonts w:hint="default" w:ascii="Times New Roman" w:hAnsi="Times New Roman" w:cs="Times New Roman"/>
                      <w:color w:val="auto"/>
                      <w:kern w:val="0"/>
                      <w:szCs w:val="21"/>
                      <w:highlight w:val="none"/>
                      <w:lang w:eastAsia="zh-CN"/>
                    </w:rPr>
                    <w:t>序</w:t>
                  </w:r>
                  <w:r>
                    <w:rPr>
                      <w:rFonts w:hint="default" w:ascii="Times New Roman" w:hAnsi="Times New Roman" w:cs="Times New Roman"/>
                      <w:color w:val="auto"/>
                      <w:kern w:val="0"/>
                      <w:szCs w:val="21"/>
                      <w:highlight w:val="none"/>
                    </w:rPr>
                    <w:t>发展</w:t>
                  </w:r>
                  <w:r>
                    <w:rPr>
                      <w:rFonts w:hint="default" w:ascii="Times New Roman" w:hAnsi="Times New Roman" w:cs="Times New Roman"/>
                      <w:color w:val="auto"/>
                      <w:kern w:val="0"/>
                      <w:szCs w:val="21"/>
                      <w:highlight w:val="none"/>
                    </w:rPr>
                    <w:cr/>
                  </w:r>
                  <w:r>
                    <w:rPr>
                      <w:rFonts w:hint="default" w:ascii="Times New Roman" w:hAnsi="Times New Roman" w:cs="Times New Roman"/>
                      <w:color w:val="auto"/>
                      <w:kern w:val="0"/>
                      <w:szCs w:val="21"/>
                      <w:highlight w:val="none"/>
                    </w:rPr>
                    <w:t>实施意见》（汉发改价</w:t>
                  </w:r>
                  <w:r>
                    <w:rPr>
                      <w:rFonts w:hint="eastAsia" w:cs="Times New Roman"/>
                      <w:color w:val="auto"/>
                      <w:kern w:val="0"/>
                      <w:szCs w:val="21"/>
                      <w:highlight w:val="none"/>
                      <w:lang w:eastAsia="zh-CN"/>
                    </w:rPr>
                    <w:t>〔2021〕280号</w:t>
                  </w:r>
                  <w:r>
                    <w:rPr>
                      <w:rFonts w:hint="default" w:ascii="Times New Roman" w:hAnsi="Times New Roman" w:cs="Times New Roman"/>
                      <w:color w:val="auto"/>
                      <w:kern w:val="0"/>
                      <w:szCs w:val="21"/>
                      <w:highlight w:val="none"/>
                    </w:rPr>
                    <w:t>号）</w:t>
                  </w:r>
                </w:p>
              </w:tc>
              <w:tc>
                <w:tcPr>
                  <w:tcW w:w="3069" w:type="dxa"/>
                  <w:vAlign w:val="center"/>
                </w:tcPr>
                <w:p w14:paraId="772956F9">
                  <w:pPr>
                    <w:autoSpaceDE w:val="0"/>
                    <w:autoSpaceDN w:val="0"/>
                    <w:adjustRightInd w:val="0"/>
                    <w:snapToGrid w:val="0"/>
                    <w:rPr>
                      <w:rFonts w:hint="eastAsia" w:ascii="宋体" w:hAnsi="宋体" w:cs="宋体"/>
                      <w:color w:val="auto"/>
                      <w:kern w:val="0"/>
                      <w:sz w:val="21"/>
                      <w:szCs w:val="21"/>
                      <w:highlight w:val="none"/>
                    </w:rPr>
                  </w:pPr>
                  <w:r>
                    <w:rPr>
                      <w:rFonts w:hint="default" w:ascii="Times New Roman" w:hAnsi="Times New Roman" w:cs="Times New Roman"/>
                      <w:color w:val="auto"/>
                      <w:kern w:val="0"/>
                      <w:szCs w:val="21"/>
                      <w:highlight w:val="none"/>
                    </w:rPr>
                    <w:t>统筹考虑市域内各类砂石资源整体发展趋势，在规划布局、工艺装备、产品质量、污染防治、综合利用、安全生产等方面加强联动，促进技术进步和结构优化，全力推进砂石资源逐步过渡到依靠机制砂石满足建设需要为主，不断提高优质和专用产品在公路、铁路、水利工程的各领域的应用比例。</w:t>
                  </w:r>
                </w:p>
              </w:tc>
              <w:tc>
                <w:tcPr>
                  <w:tcW w:w="2400" w:type="dxa"/>
                  <w:vAlign w:val="center"/>
                </w:tcPr>
                <w:p w14:paraId="08DA109E">
                  <w:pPr>
                    <w:autoSpaceDE w:val="0"/>
                    <w:autoSpaceDN w:val="0"/>
                    <w:adjustRightInd w:val="0"/>
                    <w:snapToGrid w:val="0"/>
                    <w:jc w:val="both"/>
                    <w:rPr>
                      <w:rFonts w:ascii="Times New Roman"/>
                      <w:b w:val="0"/>
                      <w:bCs w:val="0"/>
                      <w:color w:val="auto"/>
                      <w:sz w:val="21"/>
                      <w:szCs w:val="21"/>
                      <w:highlight w:val="none"/>
                    </w:rPr>
                  </w:pPr>
                  <w:r>
                    <w:rPr>
                      <w:rFonts w:hint="default" w:ascii="Times New Roman" w:hAnsi="Times New Roman" w:cs="Times New Roman"/>
                      <w:color w:val="auto"/>
                      <w:kern w:val="0"/>
                      <w:szCs w:val="21"/>
                      <w:highlight w:val="none"/>
                    </w:rPr>
                    <w:t>本项目成品</w:t>
                  </w:r>
                  <w:r>
                    <w:rPr>
                      <w:rFonts w:hint="eastAsia" w:cs="Times New Roman"/>
                      <w:color w:val="auto"/>
                      <w:kern w:val="0"/>
                      <w:szCs w:val="21"/>
                      <w:highlight w:val="none"/>
                      <w:lang w:val="en-US" w:eastAsia="zh-CN"/>
                    </w:rPr>
                    <w:t>砂石</w:t>
                  </w:r>
                  <w:r>
                    <w:rPr>
                      <w:rFonts w:hint="default" w:ascii="Times New Roman" w:hAnsi="Times New Roman" w:cs="Times New Roman"/>
                      <w:color w:val="auto"/>
                      <w:kern w:val="0"/>
                      <w:szCs w:val="21"/>
                      <w:highlight w:val="none"/>
                    </w:rPr>
                    <w:t>将作为建筑原料</w:t>
                  </w:r>
                  <w:r>
                    <w:rPr>
                      <w:rFonts w:hint="eastAsia" w:cs="Times New Roman"/>
                      <w:color w:val="auto"/>
                      <w:kern w:val="0"/>
                      <w:szCs w:val="21"/>
                      <w:highlight w:val="none"/>
                      <w:lang w:val="en-US" w:eastAsia="zh-CN"/>
                    </w:rPr>
                    <w:t>外售，</w:t>
                  </w:r>
                  <w:r>
                    <w:rPr>
                      <w:rFonts w:hint="default" w:ascii="Times New Roman" w:hAnsi="Times New Roman" w:cs="Times New Roman"/>
                      <w:color w:val="auto"/>
                      <w:kern w:val="0"/>
                      <w:szCs w:val="21"/>
                      <w:highlight w:val="none"/>
                    </w:rPr>
                    <w:t>满足</w:t>
                  </w:r>
                  <w:r>
                    <w:rPr>
                      <w:rFonts w:hint="eastAsia" w:cs="Times New Roman"/>
                      <w:color w:val="auto"/>
                      <w:kern w:val="0"/>
                      <w:szCs w:val="21"/>
                      <w:highlight w:val="none"/>
                      <w:lang w:val="en-US" w:eastAsia="zh-CN"/>
                    </w:rPr>
                    <w:t>周边设施</w:t>
                  </w:r>
                  <w:r>
                    <w:rPr>
                      <w:rFonts w:hint="default" w:ascii="Times New Roman" w:hAnsi="Times New Roman" w:cs="Times New Roman"/>
                      <w:color w:val="auto"/>
                      <w:kern w:val="0"/>
                      <w:szCs w:val="21"/>
                      <w:highlight w:val="none"/>
                    </w:rPr>
                    <w:t>建设需要</w:t>
                  </w:r>
                </w:p>
              </w:tc>
              <w:tc>
                <w:tcPr>
                  <w:tcW w:w="930" w:type="dxa"/>
                  <w:vAlign w:val="center"/>
                </w:tcPr>
                <w:p w14:paraId="2367F448">
                  <w:pPr>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4B484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34F86A4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《汉中市大气污染治理专项行动2025年工作方案》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汉气专班发</w:t>
                  </w:r>
                  <w:r>
                    <w:rPr>
                      <w:rFonts w:hint="default" w:ascii="Times New Roman" w:hAnsi="Times New Roman" w:eastAsia="宋体" w:cs="Times New Roman"/>
                      <w:color w:val="auto"/>
                      <w:szCs w:val="21"/>
                      <w:highlight w:val="none"/>
                    </w:rPr>
                    <w:t>〔</w:t>
                  </w:r>
                  <w:r>
                    <w:rPr>
                      <w:rFonts w:hint="default" w:ascii="Times New Roman" w:hAnsi="Times New Roman" w:cs="Times New Roman"/>
                      <w:color w:val="auto"/>
                      <w:szCs w:val="21"/>
                      <w:highlight w:val="none"/>
                    </w:rPr>
                    <w:t>2025</w:t>
                  </w:r>
                  <w:r>
                    <w:rPr>
                      <w:rFonts w:hint="default" w:ascii="Times New Roman" w:hAnsi="Times New Roman" w:eastAsia="宋体" w:cs="Times New Roman"/>
                      <w:color w:val="auto"/>
                      <w:szCs w:val="21"/>
                      <w:highlight w:val="none"/>
                    </w:rPr>
                    <w:t>〕</w:t>
                  </w:r>
                  <w:r>
                    <w:rPr>
                      <w:rFonts w:hint="default" w:ascii="Times New Roman" w:hAnsi="Times New Roman" w:cs="Times New Roman"/>
                      <w:color w:val="auto"/>
                      <w:szCs w:val="21"/>
                      <w:highlight w:val="none"/>
                    </w:rPr>
                    <w:t>5号</w:t>
                  </w:r>
                  <w:r>
                    <w:rPr>
                      <w:rFonts w:hint="default" w:ascii="Times New Roman" w:hAnsi="Times New Roman" w:cs="Times New Roman"/>
                      <w:color w:val="auto"/>
                      <w:szCs w:val="21"/>
                      <w:highlight w:val="none"/>
                      <w:lang w:eastAsia="zh-CN"/>
                    </w:rPr>
                    <w:t>）</w:t>
                  </w:r>
                </w:p>
              </w:tc>
              <w:tc>
                <w:tcPr>
                  <w:tcW w:w="3069" w:type="dxa"/>
                  <w:vAlign w:val="center"/>
                </w:tcPr>
                <w:p w14:paraId="0B4CF7AA">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聚焦影响秋冬季空气质量的重点行业、重点领域，突出问题导向，狠抓薄弱环节，利用春夏季有利时间，提前抓好环保绩效升级、工业企业深度治理、扬尘污染综合整治、道路清扫保洁、锅炉淘汰整治、散煤治理等工作，降低大气污染物排放总量，为秋冬季空气质量改善赢得时间和空间，推动空气质量持续改善</w:t>
                  </w:r>
                </w:p>
              </w:tc>
              <w:tc>
                <w:tcPr>
                  <w:tcW w:w="2400" w:type="dxa"/>
                  <w:vAlign w:val="center"/>
                </w:tcPr>
                <w:p w14:paraId="1C40094A">
                  <w:pPr>
                    <w:autoSpaceDE w:val="0"/>
                    <w:autoSpaceDN w:val="0"/>
                    <w:adjustRightInd w:val="0"/>
                    <w:snapToGrid w:val="0"/>
                    <w:jc w:val="both"/>
                    <w:rPr>
                      <w:rFonts w:hint="default" w:ascii="Times New Roman" w:hAnsi="Times New Roman" w:cs="Times New Roman"/>
                      <w:color w:val="auto"/>
                      <w:kern w:val="0"/>
                      <w:szCs w:val="21"/>
                      <w:highlight w:val="none"/>
                    </w:rPr>
                  </w:pPr>
                  <w:r>
                    <w:rPr>
                      <w:rFonts w:hint="eastAsia" w:ascii="Times New Roman" w:hAnsi="Times New Roman" w:eastAsia="宋体" w:cs="Times New Roman"/>
                      <w:b w:val="0"/>
                      <w:bCs w:val="0"/>
                      <w:color w:val="auto"/>
                      <w:sz w:val="21"/>
                      <w:szCs w:val="21"/>
                      <w:highlight w:val="none"/>
                      <w:lang w:val="en-US" w:eastAsia="zh-CN"/>
                    </w:rPr>
                    <w:t>项目</w:t>
                  </w:r>
                  <w:r>
                    <w:rPr>
                      <w:rFonts w:hint="eastAsia" w:cs="Times New Roman"/>
                      <w:b w:val="0"/>
                      <w:bCs w:val="0"/>
                      <w:color w:val="auto"/>
                      <w:sz w:val="21"/>
                      <w:szCs w:val="21"/>
                      <w:highlight w:val="none"/>
                      <w:lang w:val="en-US" w:eastAsia="zh-CN"/>
                    </w:rPr>
                    <w:t>采取</w:t>
                  </w:r>
                  <w:r>
                    <w:rPr>
                      <w:rFonts w:hint="default" w:ascii="Times New Roman" w:hAnsi="Times New Roman" w:cs="Times New Roman"/>
                      <w:b w:val="0"/>
                      <w:bCs w:val="0"/>
                      <w:color w:val="auto"/>
                      <w:sz w:val="21"/>
                      <w:szCs w:val="21"/>
                      <w:highlight w:val="none"/>
                    </w:rPr>
                    <w:t>封闭</w:t>
                  </w:r>
                  <w:r>
                    <w:rPr>
                      <w:rFonts w:hint="default" w:ascii="Times New Roman" w:hAnsi="Times New Roman" w:cs="Times New Roman"/>
                      <w:b w:val="0"/>
                      <w:bCs w:val="0"/>
                      <w:color w:val="auto"/>
                      <w:sz w:val="21"/>
                      <w:szCs w:val="21"/>
                      <w:highlight w:val="none"/>
                      <w:lang w:val="en-US" w:eastAsia="zh-CN"/>
                    </w:rPr>
                    <w:t>式</w:t>
                  </w:r>
                  <w:r>
                    <w:rPr>
                      <w:rFonts w:hint="eastAsia" w:ascii="Times New Roman" w:hAnsi="Times New Roman" w:cs="Times New Roman"/>
                      <w:b w:val="0"/>
                      <w:bCs w:val="0"/>
                      <w:color w:val="auto"/>
                      <w:sz w:val="21"/>
                      <w:szCs w:val="21"/>
                      <w:highlight w:val="none"/>
                      <w:lang w:val="en-US" w:eastAsia="zh-CN"/>
                    </w:rPr>
                    <w:t>生产</w:t>
                  </w:r>
                  <w:r>
                    <w:rPr>
                      <w:rFonts w:hint="default" w:ascii="Times New Roman" w:hAnsi="Times New Roman" w:eastAsia="宋体" w:cs="Times New Roman"/>
                      <w:b w:val="0"/>
                      <w:bCs w:val="0"/>
                      <w:color w:val="auto"/>
                      <w:sz w:val="21"/>
                      <w:szCs w:val="21"/>
                      <w:highlight w:val="none"/>
                    </w:rPr>
                    <w:t>车间</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仅保留出入口</w:t>
                  </w:r>
                  <w:r>
                    <w:rPr>
                      <w:rFonts w:hint="eastAsia"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原料及</w:t>
                  </w:r>
                  <w:r>
                    <w:rPr>
                      <w:rFonts w:hint="default" w:ascii="Times New Roman" w:hAnsi="Times New Roman" w:eastAsia="宋体" w:cs="Times New Roman"/>
                      <w:b w:val="0"/>
                      <w:bCs w:val="0"/>
                      <w:color w:val="auto"/>
                      <w:sz w:val="21"/>
                      <w:szCs w:val="21"/>
                      <w:highlight w:val="none"/>
                      <w:lang w:val="en-US" w:eastAsia="zh-CN"/>
                    </w:rPr>
                    <w:t>成品库</w:t>
                  </w:r>
                  <w:r>
                    <w:rPr>
                      <w:rFonts w:hint="eastAsia" w:cs="Times New Roman"/>
                      <w:b w:val="0"/>
                      <w:bCs w:val="0"/>
                      <w:color w:val="auto"/>
                      <w:sz w:val="21"/>
                      <w:szCs w:val="21"/>
                      <w:highlight w:val="none"/>
                      <w:lang w:val="en-US" w:eastAsia="zh-CN"/>
                    </w:rPr>
                    <w:t>（三面围挡+顶棚）</w:t>
                  </w:r>
                  <w:r>
                    <w:rPr>
                      <w:rFonts w:hint="default"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各生产线</w:t>
                  </w:r>
                  <w:r>
                    <w:rPr>
                      <w:rFonts w:hint="eastAsia" w:ascii="Times New Roman" w:hAnsi="Times New Roman" w:eastAsia="宋体" w:cs="Times New Roman"/>
                      <w:color w:val="auto"/>
                      <w:highlight w:val="none"/>
                      <w:lang w:val="en-US" w:eastAsia="zh-CN"/>
                    </w:rPr>
                    <w:t>废气</w:t>
                  </w:r>
                  <w:r>
                    <w:rPr>
                      <w:rFonts w:hint="eastAsia" w:ascii="Times New Roman" w:hAnsi="Times New Roman" w:eastAsia="宋体" w:cs="Times New Roman"/>
                      <w:color w:val="auto"/>
                      <w:highlight w:val="none"/>
                    </w:rPr>
                    <w:t>采取集尘设施+</w:t>
                  </w:r>
                  <w:r>
                    <w:rPr>
                      <w:rFonts w:hint="eastAsia" w:ascii="Times New Roman" w:hAnsi="Times New Roman" w:eastAsia="宋体" w:cs="Times New Roman"/>
                      <w:color w:val="auto"/>
                      <w:highlight w:val="none"/>
                      <w:lang w:val="en-US" w:eastAsia="zh-CN"/>
                    </w:rPr>
                    <w:t>袋式</w:t>
                  </w:r>
                  <w:r>
                    <w:rPr>
                      <w:rFonts w:hint="eastAsia" w:ascii="Times New Roman" w:hAnsi="Times New Roman" w:eastAsia="宋体" w:cs="Times New Roman"/>
                      <w:color w:val="auto"/>
                      <w:highlight w:val="none"/>
                    </w:rPr>
                    <w:t>除尘</w:t>
                  </w:r>
                  <w:r>
                    <w:rPr>
                      <w:rFonts w:hint="eastAsia" w:ascii="Times New Roman" w:hAnsi="Times New Roman" w:eastAsia="宋体" w:cs="Times New Roman"/>
                      <w:color w:val="auto"/>
                      <w:highlight w:val="none"/>
                      <w:lang w:val="en-US" w:eastAsia="zh-CN"/>
                    </w:rPr>
                    <w:t>处理后达标排放。</w:t>
                  </w:r>
                  <w:r>
                    <w:rPr>
                      <w:rFonts w:hint="default" w:ascii="Times New Roman" w:hAnsi="Times New Roman" w:cs="Times New Roman"/>
                      <w:b w:val="0"/>
                      <w:bCs w:val="0"/>
                      <w:color w:val="auto"/>
                      <w:sz w:val="21"/>
                      <w:szCs w:val="21"/>
                      <w:highlight w:val="none"/>
                    </w:rPr>
                    <w:t>厂区内定期洒水、运输车辆加盖篷布遮挡等措施抑尘</w:t>
                  </w:r>
                </w:p>
              </w:tc>
              <w:tc>
                <w:tcPr>
                  <w:tcW w:w="930" w:type="dxa"/>
                  <w:vAlign w:val="center"/>
                </w:tcPr>
                <w:p w14:paraId="5DECC027">
                  <w:pPr>
                    <w:jc w:val="center"/>
                    <w:rPr>
                      <w:rFonts w:hint="eastAsia" w:eastAsia="宋体"/>
                      <w:color w:val="auto"/>
                      <w:szCs w:val="21"/>
                      <w:highlight w:val="none"/>
                      <w:lang w:val="en-US" w:eastAsia="zh-CN"/>
                    </w:rPr>
                  </w:pPr>
                  <w:r>
                    <w:rPr>
                      <w:rFonts w:hint="eastAsia"/>
                      <w:color w:val="auto"/>
                      <w:szCs w:val="21"/>
                      <w:highlight w:val="none"/>
                      <w:lang w:val="en-US" w:eastAsia="zh-CN"/>
                    </w:rPr>
                    <w:t>符合</w:t>
                  </w:r>
                </w:p>
              </w:tc>
            </w:tr>
          </w:tbl>
          <w:p w14:paraId="649636F6">
            <w:pPr>
              <w:adjustRightInd w:val="0"/>
              <w:snapToGrid w:val="0"/>
              <w:spacing w:line="360" w:lineRule="auto"/>
              <w:ind w:firstLine="480" w:firstLineChars="200"/>
              <w:rPr>
                <w:color w:val="auto"/>
                <w:sz w:val="24"/>
                <w:highlight w:val="none"/>
              </w:rPr>
            </w:pPr>
            <w:r>
              <w:rPr>
                <w:rFonts w:hint="eastAsia"/>
                <w:color w:val="auto"/>
                <w:sz w:val="24"/>
                <w:highlight w:val="none"/>
              </w:rPr>
              <w:t>6、选址符合性分析</w:t>
            </w:r>
          </w:p>
          <w:p w14:paraId="01E30022">
            <w:pPr>
              <w:spacing w:line="360" w:lineRule="auto"/>
              <w:ind w:firstLine="480" w:firstLineChars="200"/>
              <w:rPr>
                <w:color w:val="auto"/>
                <w:sz w:val="24"/>
                <w:highlight w:val="none"/>
              </w:rPr>
            </w:pPr>
            <w:r>
              <w:rPr>
                <w:rFonts w:hint="eastAsia"/>
                <w:color w:val="auto"/>
                <w:kern w:val="0"/>
                <w:sz w:val="24"/>
                <w:highlight w:val="none"/>
              </w:rPr>
              <w:t>（1）</w:t>
            </w:r>
            <w:r>
              <w:rPr>
                <w:rFonts w:hint="eastAsia"/>
                <w:color w:val="auto"/>
                <w:kern w:val="0"/>
                <w:sz w:val="24"/>
                <w:highlight w:val="none"/>
                <w:lang w:val="en-US" w:eastAsia="zh-CN"/>
              </w:rPr>
              <w:t>项目</w:t>
            </w:r>
            <w:r>
              <w:rPr>
                <w:rFonts w:hint="eastAsia"/>
                <w:color w:val="auto"/>
                <w:kern w:val="0"/>
                <w:sz w:val="24"/>
                <w:highlight w:val="none"/>
              </w:rPr>
              <w:t>厂区位于</w:t>
            </w:r>
            <w:r>
              <w:rPr>
                <w:rFonts w:hint="eastAsia"/>
                <w:color w:val="auto"/>
                <w:sz w:val="24"/>
                <w:highlight w:val="none"/>
              </w:rPr>
              <w:t>洋县戚氏街道，</w:t>
            </w:r>
            <w:r>
              <w:rPr>
                <w:rFonts w:hint="eastAsia"/>
                <w:color w:val="auto"/>
                <w:sz w:val="24"/>
                <w:highlight w:val="none"/>
                <w:lang w:val="en-US" w:eastAsia="zh-CN"/>
              </w:rPr>
              <w:t>土地</w:t>
            </w:r>
            <w:r>
              <w:rPr>
                <w:rFonts w:hint="eastAsia"/>
                <w:color w:val="auto"/>
                <w:sz w:val="24"/>
                <w:highlight w:val="none"/>
              </w:rPr>
              <w:t>租赁自洋县</w:t>
            </w:r>
            <w:r>
              <w:rPr>
                <w:rFonts w:hint="eastAsia"/>
                <w:color w:val="auto"/>
                <w:sz w:val="24"/>
                <w:highlight w:val="none"/>
                <w:lang w:val="en-US" w:eastAsia="zh-CN"/>
              </w:rPr>
              <w:t>有色工业园区管委会</w:t>
            </w:r>
            <w:r>
              <w:rPr>
                <w:rFonts w:hint="eastAsia"/>
                <w:color w:val="auto"/>
                <w:sz w:val="24"/>
                <w:highlight w:val="none"/>
              </w:rPr>
              <w:t>（租赁合同见附件）</w:t>
            </w:r>
            <w:r>
              <w:rPr>
                <w:rFonts w:hint="eastAsia"/>
                <w:color w:val="auto"/>
                <w:sz w:val="24"/>
                <w:highlight w:val="none"/>
                <w:lang w:eastAsia="zh-CN"/>
              </w:rPr>
              <w:t>，</w:t>
            </w:r>
            <w:r>
              <w:rPr>
                <w:rFonts w:hint="eastAsia"/>
                <w:color w:val="auto"/>
                <w:sz w:val="24"/>
                <w:highlight w:val="none"/>
                <w:lang w:val="en-US" w:eastAsia="zh-CN"/>
              </w:rPr>
              <w:t>租赁时间为2022年3月1日至2027年2月28日，同时建设方的土地征收手续正在办理中</w:t>
            </w:r>
            <w:r>
              <w:rPr>
                <w:rFonts w:hint="eastAsia"/>
                <w:color w:val="auto"/>
                <w:sz w:val="24"/>
                <w:highlight w:val="none"/>
              </w:rPr>
              <w:t>。本次</w:t>
            </w:r>
            <w:r>
              <w:rPr>
                <w:rFonts w:hint="eastAsia"/>
                <w:color w:val="auto"/>
                <w:sz w:val="24"/>
                <w:highlight w:val="none"/>
                <w:lang w:val="en-US" w:eastAsia="zh-CN"/>
              </w:rPr>
              <w:t>项目</w:t>
            </w:r>
            <w:r>
              <w:rPr>
                <w:rFonts w:hint="eastAsia"/>
                <w:color w:val="auto"/>
                <w:sz w:val="24"/>
                <w:highlight w:val="none"/>
              </w:rPr>
              <w:t>在</w:t>
            </w:r>
            <w:r>
              <w:rPr>
                <w:rFonts w:hint="eastAsia"/>
                <w:color w:val="auto"/>
                <w:sz w:val="24"/>
                <w:highlight w:val="none"/>
                <w:lang w:val="en-US" w:eastAsia="zh-CN"/>
              </w:rPr>
              <w:t>原有</w:t>
            </w:r>
            <w:r>
              <w:rPr>
                <w:rFonts w:hint="eastAsia"/>
                <w:color w:val="auto"/>
                <w:sz w:val="24"/>
                <w:highlight w:val="none"/>
              </w:rPr>
              <w:t>厂区内进行，不新增占地。</w:t>
            </w:r>
            <w:r>
              <w:rPr>
                <w:rFonts w:hint="eastAsia"/>
                <w:color w:val="auto"/>
                <w:sz w:val="24"/>
                <w:highlight w:val="none"/>
                <w:lang w:val="en-US" w:eastAsia="zh-CN"/>
              </w:rPr>
              <w:t>根据建设方提供的《关于洋县2021年度第六批次农用地转用和土地征收的批复》，项目土地为建设用地（详见附件）。</w:t>
            </w:r>
            <w:r>
              <w:rPr>
                <w:rFonts w:hint="eastAsia"/>
                <w:color w:val="auto"/>
                <w:sz w:val="24"/>
                <w:highlight w:val="none"/>
              </w:rPr>
              <w:t>此外，根据现场调查，项目周边水电齐全、交通便利。</w:t>
            </w:r>
          </w:p>
          <w:p w14:paraId="168C56D7">
            <w:pPr>
              <w:adjustRightInd w:val="0"/>
              <w:snapToGrid w:val="0"/>
              <w:spacing w:line="360" w:lineRule="auto"/>
              <w:ind w:firstLine="480" w:firstLineChars="200"/>
              <w:rPr>
                <w:rFonts w:hint="eastAsia" w:ascii="Times New Roman" w:hAnsi="Times New Roman" w:cs="Times New Roman"/>
                <w:color w:val="auto"/>
                <w:sz w:val="24"/>
                <w:szCs w:val="32"/>
                <w:lang w:val="en-US" w:eastAsia="zh-CN"/>
              </w:rPr>
            </w:pPr>
            <w:r>
              <w:rPr>
                <w:rFonts w:hint="eastAsia"/>
                <w:color w:val="auto"/>
                <w:sz w:val="24"/>
                <w:highlight w:val="none"/>
              </w:rPr>
              <w:t>（2）</w:t>
            </w:r>
            <w:r>
              <w:rPr>
                <w:rFonts w:hint="default" w:ascii="Times New Roman" w:hAnsi="Times New Roman" w:eastAsia="宋体" w:cs="Times New Roman"/>
                <w:color w:val="auto"/>
                <w:sz w:val="24"/>
                <w:szCs w:val="32"/>
                <w:lang w:val="en-US" w:eastAsia="zh-CN"/>
              </w:rPr>
              <w:t>根据</w:t>
            </w:r>
            <w:r>
              <w:rPr>
                <w:rFonts w:hint="default" w:ascii="Times New Roman" w:hAnsi="Times New Roman" w:eastAsia="宋体" w:cs="Times New Roman"/>
                <w:b w:val="0"/>
                <w:bCs w:val="0"/>
                <w:color w:val="auto"/>
                <w:sz w:val="24"/>
                <w:lang w:val="en-US" w:eastAsia="zh-CN" w:bidi="ar"/>
              </w:rPr>
              <w:t>《</w:t>
            </w:r>
            <w:r>
              <w:rPr>
                <w:rFonts w:hint="default" w:ascii="Times New Roman" w:hAnsi="Times New Roman" w:eastAsia="宋体" w:cs="Times New Roman"/>
                <w:color w:val="auto"/>
                <w:sz w:val="24"/>
                <w:szCs w:val="32"/>
                <w:lang w:val="en-US" w:eastAsia="zh-CN"/>
              </w:rPr>
              <w:t>铁路安全管理条例</w:t>
            </w:r>
            <w:r>
              <w:rPr>
                <w:rFonts w:hint="default" w:ascii="Times New Roman" w:hAnsi="Times New Roman" w:cs="Times New Roman"/>
                <w:color w:val="auto"/>
                <w:szCs w:val="18"/>
                <w:lang w:bidi="ar"/>
              </w:rPr>
              <w:t>》</w:t>
            </w:r>
            <w:r>
              <w:rPr>
                <w:rFonts w:hint="eastAsia" w:ascii="Times New Roman" w:hAnsi="Times New Roman" w:eastAsia="宋体" w:cs="Times New Roman"/>
                <w:color w:val="auto"/>
                <w:sz w:val="24"/>
                <w:szCs w:val="32"/>
                <w:lang w:val="en-US" w:eastAsia="zh-CN"/>
              </w:rPr>
              <w:t>（中华人民共和国国务院令第639号）</w:t>
            </w:r>
            <w:r>
              <w:rPr>
                <w:rFonts w:hint="eastAsia" w:ascii="Times New Roman" w:hAnsi="Times New Roman" w:cs="Times New Roman"/>
                <w:color w:val="auto"/>
                <w:sz w:val="24"/>
                <w:szCs w:val="32"/>
                <w:lang w:val="en-US" w:eastAsia="zh-CN"/>
              </w:rPr>
              <w:t>，“第二十七条 铁路线路两侧应当设立铁路线路安全保护区。铁路线路安全保护区的范围，从铁路线路路堤坡脚、路堑坡顶或者铁路桥梁（含铁路、道路两用桥，下同）外侧起向外的距离分别为：（一）城市市区高速铁路为10米，其他铁路为8米；（二）城市郊区居民居住区高速铁路为12米，其他铁路为10米；（三）</w:t>
            </w:r>
            <w:r>
              <w:rPr>
                <w:rFonts w:hint="eastAsia" w:ascii="Times New Roman" w:hAnsi="Times New Roman" w:cs="Times New Roman"/>
                <w:b/>
                <w:bCs/>
                <w:color w:val="auto"/>
                <w:sz w:val="24"/>
                <w:szCs w:val="32"/>
                <w:lang w:val="en-US" w:eastAsia="zh-CN"/>
              </w:rPr>
              <w:t>村镇居民居住区高速铁路为15米</w:t>
            </w:r>
            <w:r>
              <w:rPr>
                <w:rFonts w:hint="eastAsia" w:ascii="Times New Roman" w:hAnsi="Times New Roman" w:cs="Times New Roman"/>
                <w:color w:val="auto"/>
                <w:sz w:val="24"/>
                <w:szCs w:val="32"/>
                <w:lang w:val="en-US" w:eastAsia="zh-CN"/>
              </w:rPr>
              <w:t>，其他铁路为12米；（四）其他地区高速铁路为20米，其他铁路为15米。”</w:t>
            </w:r>
          </w:p>
          <w:p w14:paraId="7BE0FA1A">
            <w:pPr>
              <w:adjustRightInd w:val="0"/>
              <w:snapToGrid w:val="0"/>
              <w:spacing w:line="360" w:lineRule="auto"/>
              <w:ind w:firstLine="480" w:firstLineChars="200"/>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项目</w:t>
            </w:r>
            <w:r>
              <w:rPr>
                <w:rFonts w:hint="eastAsia" w:cs="Times New Roman"/>
                <w:color w:val="auto"/>
                <w:sz w:val="24"/>
                <w:szCs w:val="32"/>
                <w:lang w:val="en-US" w:eastAsia="zh-CN"/>
              </w:rPr>
              <w:t>位于</w:t>
            </w:r>
            <w:r>
              <w:rPr>
                <w:rFonts w:hint="eastAsia" w:ascii="Times New Roman" w:hAnsi="Times New Roman" w:cs="Times New Roman"/>
                <w:color w:val="auto"/>
                <w:sz w:val="24"/>
                <w:szCs w:val="32"/>
                <w:lang w:val="en-US" w:eastAsia="zh-CN"/>
              </w:rPr>
              <w:t>村镇居民居住区</w:t>
            </w:r>
            <w:r>
              <w:rPr>
                <w:rFonts w:hint="eastAsia" w:cs="Times New Roman"/>
                <w:color w:val="auto"/>
                <w:sz w:val="24"/>
                <w:szCs w:val="32"/>
                <w:lang w:val="en-US" w:eastAsia="zh-CN"/>
              </w:rPr>
              <w:t>，</w:t>
            </w:r>
            <w:r>
              <w:rPr>
                <w:rFonts w:hint="default" w:ascii="Times New Roman" w:hAnsi="Times New Roman" w:cs="Times New Roman"/>
                <w:color w:val="auto"/>
                <w:sz w:val="24"/>
                <w:szCs w:val="32"/>
                <w:lang w:val="en-US" w:eastAsia="zh-CN"/>
              </w:rPr>
              <w:t>根据现场调查厂</w:t>
            </w:r>
            <w:r>
              <w:rPr>
                <w:rFonts w:hint="eastAsia" w:ascii="Times New Roman" w:hAnsi="Times New Roman" w:cs="Times New Roman"/>
                <w:color w:val="auto"/>
                <w:sz w:val="24"/>
                <w:szCs w:val="32"/>
                <w:lang w:val="en-US" w:eastAsia="zh-CN"/>
              </w:rPr>
              <w:t>房北</w:t>
            </w:r>
            <w:r>
              <w:rPr>
                <w:rFonts w:hint="default" w:ascii="Times New Roman" w:hAnsi="Times New Roman" w:cs="Times New Roman"/>
                <w:color w:val="auto"/>
                <w:sz w:val="24"/>
                <w:szCs w:val="32"/>
                <w:lang w:val="en-US" w:eastAsia="zh-CN"/>
              </w:rPr>
              <w:t>侧边界距离</w:t>
            </w:r>
            <w:r>
              <w:rPr>
                <w:rFonts w:hint="eastAsia" w:cs="Times New Roman"/>
                <w:color w:val="auto"/>
                <w:sz w:val="24"/>
                <w:szCs w:val="32"/>
                <w:lang w:val="en-US" w:eastAsia="zh-CN"/>
              </w:rPr>
              <w:t>西成高铁</w:t>
            </w:r>
            <w:r>
              <w:rPr>
                <w:rFonts w:hint="eastAsia" w:ascii="Times New Roman" w:hAnsi="Times New Roman" w:cs="Times New Roman"/>
                <w:color w:val="auto"/>
                <w:sz w:val="24"/>
                <w:szCs w:val="32"/>
                <w:lang w:val="en-US" w:eastAsia="zh-CN"/>
              </w:rPr>
              <w:t>最近</w:t>
            </w:r>
            <w:r>
              <w:rPr>
                <w:rFonts w:hint="default" w:ascii="Times New Roman" w:hAnsi="Times New Roman" w:cs="Times New Roman"/>
                <w:color w:val="auto"/>
                <w:sz w:val="24"/>
                <w:szCs w:val="32"/>
                <w:lang w:val="en-US" w:eastAsia="zh-CN"/>
              </w:rPr>
              <w:t>直线距离约</w:t>
            </w:r>
            <w:r>
              <w:rPr>
                <w:rFonts w:hint="eastAsia" w:ascii="Times New Roman" w:hAnsi="Times New Roman" w:cs="Times New Roman"/>
                <w:color w:val="auto"/>
                <w:sz w:val="24"/>
                <w:szCs w:val="32"/>
                <w:lang w:val="en-US" w:eastAsia="zh-CN"/>
              </w:rPr>
              <w:t>20</w:t>
            </w:r>
            <w:r>
              <w:rPr>
                <w:rFonts w:hint="default" w:ascii="Times New Roman" w:hAnsi="Times New Roman" w:cs="Times New Roman"/>
                <w:color w:val="auto"/>
                <w:sz w:val="24"/>
                <w:szCs w:val="32"/>
                <w:lang w:val="en-US" w:eastAsia="zh-CN"/>
              </w:rPr>
              <w:t xml:space="preserve"> m。因此项目建设符合</w:t>
            </w:r>
            <w:r>
              <w:rPr>
                <w:rFonts w:hint="default" w:ascii="Times New Roman" w:hAnsi="Times New Roman" w:eastAsia="宋体" w:cs="Times New Roman"/>
                <w:b w:val="0"/>
                <w:bCs w:val="0"/>
                <w:color w:val="auto"/>
                <w:sz w:val="24"/>
                <w:lang w:val="en-US" w:eastAsia="zh-CN" w:bidi="ar"/>
              </w:rPr>
              <w:t>《</w:t>
            </w:r>
            <w:r>
              <w:rPr>
                <w:rFonts w:hint="default" w:ascii="Times New Roman" w:hAnsi="Times New Roman" w:eastAsia="宋体" w:cs="Times New Roman"/>
                <w:color w:val="auto"/>
                <w:sz w:val="24"/>
                <w:szCs w:val="32"/>
                <w:lang w:val="en-US" w:eastAsia="zh-CN"/>
              </w:rPr>
              <w:t>铁路安全管理条例</w:t>
            </w:r>
            <w:r>
              <w:rPr>
                <w:rFonts w:hint="default" w:ascii="Times New Roman" w:hAnsi="Times New Roman" w:cs="Times New Roman"/>
                <w:color w:val="auto"/>
                <w:szCs w:val="18"/>
                <w:lang w:bidi="ar"/>
              </w:rPr>
              <w:t>》</w:t>
            </w:r>
            <w:r>
              <w:rPr>
                <w:rFonts w:hint="default" w:ascii="Times New Roman" w:hAnsi="Times New Roman" w:cs="Times New Roman"/>
                <w:color w:val="auto"/>
                <w:sz w:val="24"/>
                <w:szCs w:val="32"/>
                <w:lang w:val="en-US" w:eastAsia="zh-CN"/>
              </w:rPr>
              <w:t>中相关规定，要求项目在后期建设过程中严格执行该《条例》相关要求。</w:t>
            </w:r>
          </w:p>
          <w:p w14:paraId="470DC03E">
            <w:pPr>
              <w:snapToGrid w:val="0"/>
              <w:spacing w:line="360"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lang w:val="en-US" w:eastAsia="zh-CN"/>
              </w:rPr>
              <w:t>经比对</w:t>
            </w:r>
            <w:r>
              <w:rPr>
                <w:rFonts w:hint="eastAsia"/>
                <w:color w:val="auto"/>
                <w:sz w:val="24"/>
                <w:highlight w:val="none"/>
              </w:rPr>
              <w:t>本项目所在区域不涉及陕西汉江湿地省级自然保护区各功能区；本项目厂区距陕西汉中朱鹮国家级自然保护区实验区直线距离</w:t>
            </w:r>
            <w:r>
              <w:rPr>
                <w:rFonts w:hint="eastAsia"/>
                <w:color w:val="auto"/>
                <w:sz w:val="24"/>
                <w:highlight w:val="none"/>
                <w:lang w:val="en-US" w:eastAsia="zh-CN"/>
              </w:rPr>
              <w:t xml:space="preserve">710 </w:t>
            </w:r>
            <w:r>
              <w:rPr>
                <w:rFonts w:hint="eastAsia"/>
                <w:color w:val="auto"/>
                <w:sz w:val="24"/>
                <w:highlight w:val="none"/>
              </w:rPr>
              <w:t>m，位置关系详见附图</w:t>
            </w:r>
            <w:r>
              <w:rPr>
                <w:rFonts w:hint="eastAsia"/>
                <w:color w:val="auto"/>
                <w:sz w:val="24"/>
                <w:highlight w:val="none"/>
                <w:lang w:val="en-US" w:eastAsia="zh-CN"/>
              </w:rPr>
              <w:t>3</w:t>
            </w:r>
            <w:r>
              <w:rPr>
                <w:rFonts w:hint="eastAsia"/>
                <w:color w:val="auto"/>
                <w:sz w:val="24"/>
                <w:highlight w:val="none"/>
              </w:rPr>
              <w:t>。</w:t>
            </w:r>
          </w:p>
          <w:p w14:paraId="3E3CB96F">
            <w:pPr>
              <w:spacing w:line="360" w:lineRule="auto"/>
              <w:ind w:firstLine="480" w:firstLineChars="200"/>
              <w:rPr>
                <w:color w:val="auto"/>
                <w:sz w:val="24"/>
                <w:highlight w:val="none"/>
              </w:rPr>
            </w:pPr>
            <w:r>
              <w:rPr>
                <w:rFonts w:hint="eastAsia" w:ascii="宋体" w:hAnsi="宋体" w:cs="宋体"/>
                <w:color w:val="auto"/>
                <w:sz w:val="24"/>
                <w:highlight w:val="none"/>
              </w:rPr>
              <w:t>经现场调查，本项目厂址区域不涉及水源地保护区、风景名胜区、基本农田保护区等敏感区，也不涉及国家相关</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划定的禁止建设区域</w:t>
            </w:r>
            <w:r>
              <w:rPr>
                <w:rFonts w:hint="eastAsia"/>
                <w:color w:val="auto"/>
                <w:sz w:val="24"/>
                <w:highlight w:val="none"/>
              </w:rPr>
              <w:t>。</w:t>
            </w:r>
          </w:p>
          <w:p w14:paraId="4DA4A74A">
            <w:pPr>
              <w:snapToGrid w:val="0"/>
              <w:spacing w:line="360" w:lineRule="auto"/>
              <w:ind w:firstLine="480" w:firstLineChars="200"/>
              <w:rPr>
                <w:color w:val="auto"/>
                <w:sz w:val="24"/>
                <w:highlight w:val="none"/>
              </w:rPr>
            </w:pPr>
            <w:r>
              <w:rPr>
                <w:rFonts w:hint="eastAsia"/>
                <w:color w:val="auto"/>
                <w:sz w:val="24"/>
                <w:highlight w:val="none"/>
              </w:rPr>
              <w:t>综上，</w:t>
            </w:r>
            <w:r>
              <w:rPr>
                <w:color w:val="auto"/>
                <w:sz w:val="24"/>
                <w:highlight w:val="none"/>
              </w:rPr>
              <w:t>从环保角度分析，本项目选址可行</w:t>
            </w:r>
            <w:r>
              <w:rPr>
                <w:rFonts w:hint="eastAsia"/>
                <w:color w:val="auto"/>
                <w:sz w:val="24"/>
                <w:highlight w:val="none"/>
              </w:rPr>
              <w:t>。</w:t>
            </w:r>
          </w:p>
          <w:p w14:paraId="799DDE7C">
            <w:pPr>
              <w:snapToGrid w:val="0"/>
              <w:spacing w:line="360" w:lineRule="auto"/>
              <w:ind w:firstLine="480" w:firstLineChars="200"/>
              <w:rPr>
                <w:color w:val="auto"/>
                <w:sz w:val="24"/>
                <w:highlight w:val="none"/>
              </w:rPr>
            </w:pPr>
          </w:p>
          <w:p w14:paraId="6C5B0C0A">
            <w:pPr>
              <w:snapToGrid w:val="0"/>
              <w:spacing w:line="360" w:lineRule="auto"/>
              <w:ind w:firstLine="480" w:firstLineChars="200"/>
              <w:rPr>
                <w:color w:val="auto"/>
                <w:sz w:val="24"/>
                <w:highlight w:val="none"/>
              </w:rPr>
            </w:pPr>
          </w:p>
          <w:p w14:paraId="21F0031E">
            <w:pPr>
              <w:snapToGrid w:val="0"/>
              <w:spacing w:line="360" w:lineRule="auto"/>
              <w:ind w:firstLine="480" w:firstLineChars="200"/>
              <w:rPr>
                <w:color w:val="auto"/>
                <w:sz w:val="24"/>
                <w:highlight w:val="none"/>
              </w:rPr>
            </w:pPr>
          </w:p>
          <w:p w14:paraId="275EC8E0">
            <w:pPr>
              <w:pStyle w:val="41"/>
              <w:rPr>
                <w:color w:val="auto"/>
                <w:highlight w:val="none"/>
              </w:rPr>
            </w:pPr>
          </w:p>
          <w:p w14:paraId="1022313F">
            <w:pPr>
              <w:pStyle w:val="41"/>
              <w:rPr>
                <w:color w:val="auto"/>
                <w:highlight w:val="none"/>
              </w:rPr>
            </w:pPr>
          </w:p>
          <w:p w14:paraId="314ACBEC">
            <w:pPr>
              <w:pStyle w:val="41"/>
              <w:rPr>
                <w:color w:val="auto"/>
                <w:highlight w:val="none"/>
              </w:rPr>
            </w:pPr>
          </w:p>
          <w:p w14:paraId="1513B73D">
            <w:pPr>
              <w:pStyle w:val="41"/>
              <w:rPr>
                <w:color w:val="auto"/>
                <w:highlight w:val="none"/>
              </w:rPr>
            </w:pPr>
          </w:p>
          <w:p w14:paraId="61D5D761">
            <w:pPr>
              <w:pStyle w:val="43"/>
            </w:pPr>
          </w:p>
        </w:tc>
      </w:tr>
    </w:tbl>
    <w:p w14:paraId="40AEBB7B">
      <w:pPr>
        <w:spacing w:line="360" w:lineRule="auto"/>
        <w:outlineLvl w:val="0"/>
        <w:rPr>
          <w:rFonts w:eastAsia="黑体"/>
          <w:color w:val="auto"/>
          <w:sz w:val="30"/>
          <w:highlight w:val="none"/>
        </w:rPr>
        <w:sectPr>
          <w:footerReference r:id="rId5" w:type="default"/>
          <w:pgSz w:w="11906" w:h="16838"/>
          <w:pgMar w:top="1304" w:right="1531" w:bottom="1304"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A494E1D">
      <w:pPr>
        <w:pStyle w:val="26"/>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3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28766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56" w:type="dxa"/>
            <w:vAlign w:val="center"/>
          </w:tcPr>
          <w:p w14:paraId="67A5367B">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B15B98D">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84783B1">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C8BA657">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02023CD">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124AB0C">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0061BE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345543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91C215F">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4C1D85F">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98BAB1B">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7D1596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B044BE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1AAFCCC">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A92FA7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4E36B7C">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129F0B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15CB4BD">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5B740A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建设内容</w:t>
            </w:r>
          </w:p>
          <w:p w14:paraId="5493259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42216A8">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F2B6C6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DDD1EBD">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7F248F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E1697D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CAC270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C71D81C">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C336E6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199BFC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D2A294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237152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AE6333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BB5FFD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83EF471">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617573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D2E101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EE5863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E46A60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E09BC17">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D538834">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A13547D">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DFB65D1">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32B3AF6">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A4B4FE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509A534">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E505C5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6D3D89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6294AA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6EC694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895168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F98CE8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1A8D32D">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D13A0D1">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3A0FA44">
            <w:pPr>
              <w:pStyle w:val="26"/>
              <w:adjustRightInd w:val="0"/>
              <w:snapToGrid w:val="0"/>
              <w:spacing w:before="0" w:beforeAutospacing="0" w:after="0" w:afterAutospacing="0"/>
              <w:jc w:val="both"/>
              <w:rPr>
                <w:rFonts w:hint="default" w:ascii="Times New Roman" w:hAnsi="Times New Roman" w:cs="Times New Roman"/>
                <w:color w:val="auto"/>
                <w:szCs w:val="24"/>
                <w:highlight w:val="none"/>
              </w:rPr>
            </w:pPr>
          </w:p>
          <w:p w14:paraId="667D8E4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0EE1E87">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832685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545B568">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4ED35C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BBB10DD">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C0D5DC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E50D774">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建设内容</w:t>
            </w:r>
          </w:p>
          <w:p w14:paraId="0C059CE1">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51F4EE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96A80C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255C30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894D258">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931FB1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CF6EF08">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FD9AB2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751A2D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8EF3EB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0637F2C">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9372666">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D4101C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798F9DB">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140644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7F4DDD54">
            <w:pPr>
              <w:pStyle w:val="26"/>
              <w:adjustRightInd w:val="0"/>
              <w:snapToGrid w:val="0"/>
              <w:spacing w:before="0" w:beforeAutospacing="0" w:after="0" w:afterAutospacing="0"/>
              <w:jc w:val="both"/>
              <w:rPr>
                <w:rFonts w:hint="default" w:ascii="Times New Roman" w:hAnsi="Times New Roman" w:cs="Times New Roman"/>
                <w:color w:val="auto"/>
                <w:szCs w:val="24"/>
                <w:highlight w:val="none"/>
              </w:rPr>
            </w:pPr>
          </w:p>
          <w:p w14:paraId="5BE8F62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5E0926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E1A57F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59E2AE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5CCC21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E8CFBF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2EE18B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E3BC606">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49F3F06">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23ACA0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060712F">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C05E3E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B371239">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7717890">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97666B6">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49D00F5">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FB17FB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A0CA681">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1E7C1854">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D80EBD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43F860F">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8D2D642">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EBB8A4F">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3F8B0F7">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53AFD447">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5525DBA">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38DE5147">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428BE24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建设内容</w:t>
            </w:r>
          </w:p>
          <w:p w14:paraId="2189E7D3">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F3AAC47">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6DB09378">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0FD92A3A">
            <w:pPr>
              <w:pStyle w:val="26"/>
              <w:adjustRightInd w:val="0"/>
              <w:snapToGrid w:val="0"/>
              <w:spacing w:before="0" w:beforeAutospacing="0" w:after="0" w:afterAutospacing="0"/>
              <w:jc w:val="both"/>
              <w:rPr>
                <w:rFonts w:hint="default" w:ascii="Times New Roman" w:hAnsi="Times New Roman" w:cs="Times New Roman"/>
                <w:color w:val="auto"/>
                <w:szCs w:val="24"/>
                <w:highlight w:val="none"/>
              </w:rPr>
            </w:pPr>
          </w:p>
          <w:p w14:paraId="74FED74C">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tc>
        <w:tc>
          <w:tcPr>
            <w:tcW w:w="8604" w:type="dxa"/>
          </w:tcPr>
          <w:p w14:paraId="5B98168B">
            <w:pPr>
              <w:numPr>
                <w:ilvl w:val="0"/>
                <w:numId w:val="2"/>
              </w:numPr>
              <w:snapToGrid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项目由来</w:t>
            </w:r>
          </w:p>
          <w:p w14:paraId="6FC3F5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32"/>
                <w:highlight w:val="none"/>
                <w:lang w:val="en-US" w:eastAsia="zh-CN" w:bidi="ar-SA"/>
              </w:rPr>
            </w:pPr>
            <w:r>
              <w:rPr>
                <w:rFonts w:hint="default" w:ascii="Times New Roman" w:hAnsi="Times New Roman" w:eastAsia="宋体" w:cs="Times New Roman"/>
                <w:color w:val="auto"/>
                <w:kern w:val="2"/>
                <w:sz w:val="24"/>
                <w:szCs w:val="32"/>
                <w:highlight w:val="none"/>
                <w:lang w:val="en-US" w:eastAsia="zh-CN" w:bidi="ar-SA"/>
              </w:rPr>
              <w:t>汉中迪瑞特实业投资有限公司成立于2013年7月29日，是一家从事矿产品项目投资、加工、批发零售等业务的公司。公司原有“骨料破碎、尾粉再利用项目”主要进行骨料</w:t>
            </w:r>
            <w:r>
              <w:rPr>
                <w:rFonts w:hint="eastAsia" w:cs="Times New Roman"/>
                <w:color w:val="auto"/>
                <w:kern w:val="2"/>
                <w:sz w:val="24"/>
                <w:szCs w:val="32"/>
                <w:highlight w:val="none"/>
                <w:lang w:val="en-US" w:eastAsia="zh-CN" w:bidi="ar-SA"/>
              </w:rPr>
              <w:t>尾粉</w:t>
            </w:r>
            <w:r>
              <w:rPr>
                <w:rFonts w:hint="default" w:ascii="Times New Roman" w:hAnsi="Times New Roman" w:eastAsia="宋体" w:cs="Times New Roman"/>
                <w:color w:val="auto"/>
                <w:kern w:val="2"/>
                <w:sz w:val="24"/>
                <w:szCs w:val="32"/>
                <w:highlight w:val="none"/>
                <w:lang w:val="en-US" w:eastAsia="zh-CN" w:bidi="ar-SA"/>
              </w:rPr>
              <w:t>及板材加工；</w:t>
            </w:r>
            <w:r>
              <w:rPr>
                <w:rFonts w:hint="eastAsia" w:cs="Times New Roman"/>
                <w:color w:val="auto"/>
                <w:kern w:val="2"/>
                <w:sz w:val="24"/>
                <w:szCs w:val="32"/>
                <w:highlight w:val="none"/>
                <w:lang w:val="en-US" w:eastAsia="zh-CN" w:bidi="ar-SA"/>
              </w:rPr>
              <w:t>该项目</w:t>
            </w:r>
            <w:r>
              <w:rPr>
                <w:rFonts w:hint="default" w:ascii="Times New Roman" w:hAnsi="Times New Roman" w:eastAsia="宋体" w:cs="Times New Roman"/>
                <w:color w:val="auto"/>
                <w:kern w:val="2"/>
                <w:sz w:val="24"/>
                <w:szCs w:val="32"/>
                <w:highlight w:val="none"/>
                <w:lang w:val="en-US" w:eastAsia="zh-CN" w:bidi="ar-SA"/>
              </w:rPr>
              <w:t>于2020年6月3日取得了汉中市生态环境局洋县分局出具的环境影响报告表批复（洋环评批字〔2020〕9号），取得环评批复后</w:t>
            </w:r>
            <w:r>
              <w:rPr>
                <w:rFonts w:hint="eastAsia" w:cs="Times New Roman"/>
                <w:color w:val="auto"/>
                <w:kern w:val="2"/>
                <w:sz w:val="24"/>
                <w:szCs w:val="32"/>
                <w:highlight w:val="none"/>
                <w:lang w:val="en-US" w:eastAsia="zh-CN" w:bidi="ar-SA"/>
              </w:rPr>
              <w:t>正常</w:t>
            </w:r>
            <w:r>
              <w:rPr>
                <w:rFonts w:hint="default" w:ascii="Times New Roman" w:hAnsi="Times New Roman" w:eastAsia="宋体" w:cs="Times New Roman"/>
                <w:color w:val="auto"/>
                <w:kern w:val="2"/>
                <w:sz w:val="24"/>
                <w:szCs w:val="32"/>
                <w:highlight w:val="none"/>
                <w:lang w:val="en-US" w:eastAsia="zh-CN" w:bidi="ar-SA"/>
              </w:rPr>
              <w:t>运行，期间未进行竣工环保验收。</w:t>
            </w:r>
          </w:p>
          <w:p w14:paraId="04AF7AD6">
            <w:pPr>
              <w:pStyle w:val="41"/>
              <w:spacing w:line="360" w:lineRule="auto"/>
              <w:ind w:firstLine="480"/>
              <w:rPr>
                <w:rFonts w:ascii="Times New Roman" w:hAnsi="Times New Roman" w:cs="Times New Roman"/>
                <w:color w:val="auto"/>
                <w:szCs w:val="32"/>
                <w:highlight w:val="none"/>
              </w:rPr>
            </w:pPr>
            <w:r>
              <w:rPr>
                <w:rFonts w:hint="default" w:ascii="Times New Roman" w:hAnsi="Times New Roman" w:eastAsia="宋体" w:cs="Times New Roman"/>
                <w:color w:val="auto"/>
                <w:kern w:val="2"/>
                <w:sz w:val="24"/>
                <w:szCs w:val="32"/>
                <w:highlight w:val="none"/>
                <w:lang w:val="en-US" w:eastAsia="zh-CN" w:bidi="ar-SA"/>
              </w:rPr>
              <w:t>近年来随着市场需求的变化，原有项目生产效率低下、产品种类单一，已难以适应市场需求。为扭转这一局面，建设方经过充分的市场调研及内部论证，本次拟对原有项目</w:t>
            </w:r>
            <w:r>
              <w:rPr>
                <w:rFonts w:hint="eastAsia" w:cs="Times New Roman"/>
                <w:color w:val="auto"/>
                <w:kern w:val="2"/>
                <w:sz w:val="24"/>
                <w:szCs w:val="32"/>
                <w:highlight w:val="none"/>
                <w:lang w:val="en-US" w:eastAsia="zh-CN" w:bidi="ar-SA"/>
              </w:rPr>
              <w:t>生产线</w:t>
            </w:r>
            <w:r>
              <w:rPr>
                <w:rFonts w:hint="default" w:ascii="Times New Roman" w:hAnsi="Times New Roman" w:eastAsia="宋体" w:cs="Times New Roman"/>
                <w:color w:val="auto"/>
                <w:kern w:val="2"/>
                <w:sz w:val="24"/>
                <w:szCs w:val="32"/>
                <w:highlight w:val="none"/>
                <w:lang w:val="en-US" w:eastAsia="zh-CN" w:bidi="ar-SA"/>
              </w:rPr>
              <w:t>进行拆除，在厂区原有占地范围内</w:t>
            </w:r>
            <w:r>
              <w:rPr>
                <w:rFonts w:hint="eastAsia" w:ascii="Times New Roman" w:hAnsi="Times New Roman" w:cs="Times New Roman"/>
                <w:color w:val="auto"/>
                <w:kern w:val="2"/>
                <w:sz w:val="24"/>
                <w:szCs w:val="32"/>
                <w:highlight w:val="none"/>
                <w:lang w:val="en-US" w:eastAsia="zh-CN" w:bidi="ar-SA"/>
              </w:rPr>
              <w:t>建设</w:t>
            </w:r>
            <w:r>
              <w:rPr>
                <w:rFonts w:hint="default" w:ascii="Times New Roman" w:hAnsi="Times New Roman" w:eastAsia="宋体" w:cs="Times New Roman"/>
                <w:color w:val="auto"/>
                <w:kern w:val="2"/>
                <w:sz w:val="24"/>
                <w:szCs w:val="32"/>
                <w:highlight w:val="none"/>
                <w:lang w:val="en-US" w:eastAsia="zh-CN" w:bidi="ar-SA"/>
              </w:rPr>
              <w:t>洋县超细重钙、高端彩砂、骨料碎石及水洗（机制）沙及特种干混砂浆深加工项目</w:t>
            </w:r>
            <w:r>
              <w:rPr>
                <w:rFonts w:hint="eastAsia" w:ascii="Times New Roman" w:hAnsi="Times New Roman" w:cs="Times New Roman"/>
                <w:color w:val="auto"/>
                <w:kern w:val="2"/>
                <w:sz w:val="24"/>
                <w:szCs w:val="32"/>
                <w:highlight w:val="none"/>
                <w:lang w:val="en-US" w:eastAsia="zh-CN" w:bidi="ar-SA"/>
              </w:rPr>
              <w:t>，本次项目建成后替代原有项目。</w:t>
            </w:r>
            <w:r>
              <w:rPr>
                <w:rFonts w:hint="eastAsia" w:ascii="Times New Roman" w:hAnsi="Times New Roman" w:eastAsia="宋体" w:cs="Times New Roman"/>
                <w:color w:val="auto"/>
                <w:kern w:val="2"/>
                <w:sz w:val="24"/>
                <w:szCs w:val="32"/>
                <w:highlight w:val="none"/>
                <w:lang w:val="en-US" w:eastAsia="zh-CN" w:bidi="ar-SA"/>
              </w:rPr>
              <w:t>因原有项目建成后未完成环保验收，根据</w:t>
            </w:r>
            <w:r>
              <w:rPr>
                <w:rFonts w:hint="eastAsia" w:ascii="Times New Roman" w:hAnsi="Times New Roman" w:cs="Times New Roman"/>
                <w:color w:val="auto"/>
                <w:kern w:val="2"/>
                <w:sz w:val="24"/>
                <w:szCs w:val="32"/>
                <w:highlight w:val="none"/>
                <w:lang w:val="en-US" w:eastAsia="zh-CN" w:bidi="ar-SA"/>
              </w:rPr>
              <w:t>《</w:t>
            </w:r>
            <w:r>
              <w:rPr>
                <w:rFonts w:hint="eastAsia" w:ascii="Times New Roman" w:hAnsi="Times New Roman" w:eastAsia="宋体" w:cs="Times New Roman"/>
                <w:color w:val="auto"/>
                <w:kern w:val="2"/>
                <w:sz w:val="24"/>
                <w:szCs w:val="32"/>
                <w:highlight w:val="none"/>
                <w:lang w:val="en-US" w:eastAsia="zh-CN" w:bidi="ar-SA"/>
              </w:rPr>
              <w:t>陕西省生态环境厅关于加强建设项目重大变动环境影响评价管理工作的通知</w:t>
            </w:r>
            <w:r>
              <w:rPr>
                <w:rFonts w:hint="eastAsia" w:ascii="Times New Roman" w:hAnsi="Times New Roman" w:cs="Times New Roman"/>
                <w:color w:val="auto"/>
                <w:kern w:val="2"/>
                <w:sz w:val="24"/>
                <w:szCs w:val="32"/>
                <w:highlight w:val="none"/>
                <w:lang w:val="en-US" w:eastAsia="zh-CN" w:bidi="ar-SA"/>
              </w:rPr>
              <w:t>》</w:t>
            </w:r>
            <w:r>
              <w:rPr>
                <w:rFonts w:hint="eastAsia" w:ascii="Times New Roman" w:hAnsi="Times New Roman" w:eastAsia="宋体" w:cs="Times New Roman"/>
                <w:color w:val="auto"/>
                <w:kern w:val="2"/>
                <w:sz w:val="24"/>
                <w:szCs w:val="32"/>
                <w:highlight w:val="none"/>
                <w:lang w:val="en-US" w:eastAsia="zh-CN" w:bidi="ar-SA"/>
              </w:rPr>
              <w:t>（陕环环评函〔2021〕11号），</w:t>
            </w:r>
            <w:r>
              <w:rPr>
                <w:rFonts w:hint="eastAsia" w:ascii="Times New Roman" w:hAnsi="Times New Roman" w:cs="Times New Roman"/>
                <w:color w:val="auto"/>
                <w:kern w:val="2"/>
                <w:sz w:val="24"/>
                <w:szCs w:val="32"/>
                <w:highlight w:val="none"/>
                <w:lang w:val="en-US" w:eastAsia="zh-CN" w:bidi="ar-SA"/>
              </w:rPr>
              <w:t>同时</w:t>
            </w:r>
            <w:r>
              <w:rPr>
                <w:rFonts w:hint="eastAsia"/>
                <w:color w:val="auto"/>
                <w:highlight w:val="none"/>
              </w:rPr>
              <w:t>经对比</w:t>
            </w:r>
            <w:r>
              <w:rPr>
                <w:rFonts w:hint="eastAsia" w:ascii="Times New Roman" w:hAnsi="Times New Roman" w:cs="Times New Roman"/>
                <w:color w:val="auto"/>
                <w:szCs w:val="32"/>
                <w:highlight w:val="none"/>
              </w:rPr>
              <w:t>《污染影响类建设项目重大变动清单（试行）》（环办环评函〔2020〕688号），本次变动后生产规模超30%，同时粉尘排放量增加超10%，属于其中重大变动情形，按照《关于加强建设项目重大变动环境影响评价管理工作的通知》（陕环环评函〔2021〕11号）相关要求，需重新报批环评文件。</w:t>
            </w:r>
          </w:p>
          <w:p w14:paraId="5438E9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32"/>
                <w:highlight w:val="none"/>
                <w:lang w:val="en-US" w:eastAsia="zh-CN" w:bidi="ar-SA"/>
              </w:rPr>
            </w:pPr>
            <w:r>
              <w:rPr>
                <w:rFonts w:hint="default" w:ascii="Times New Roman" w:hAnsi="Times New Roman" w:eastAsia="宋体" w:cs="Times New Roman"/>
                <w:color w:val="auto"/>
                <w:kern w:val="2"/>
                <w:sz w:val="24"/>
                <w:szCs w:val="32"/>
                <w:highlight w:val="none"/>
                <w:lang w:val="en-US" w:eastAsia="zh-CN" w:bidi="ar-SA"/>
              </w:rPr>
              <w:t>根据建设方介绍，</w:t>
            </w:r>
            <w:r>
              <w:rPr>
                <w:rFonts w:hint="eastAsia" w:cs="Times New Roman"/>
                <w:color w:val="auto"/>
                <w:kern w:val="2"/>
                <w:sz w:val="24"/>
                <w:szCs w:val="32"/>
                <w:highlight w:val="none"/>
                <w:lang w:val="en-US" w:eastAsia="zh-CN" w:bidi="ar-SA"/>
              </w:rPr>
              <w:t>备案确认书中</w:t>
            </w:r>
            <w:r>
              <w:rPr>
                <w:rFonts w:hint="default" w:ascii="Times New Roman" w:hAnsi="Times New Roman" w:eastAsia="宋体" w:cs="Times New Roman"/>
                <w:color w:val="auto"/>
                <w:kern w:val="2"/>
                <w:sz w:val="24"/>
                <w:szCs w:val="32"/>
                <w:highlight w:val="none"/>
                <w:lang w:val="en-US" w:eastAsia="zh-CN" w:bidi="ar-SA"/>
              </w:rPr>
              <w:t>年产5万立方米饰面建材为后期规划内容，本次不予评价。</w:t>
            </w:r>
            <w:r>
              <w:rPr>
                <w:rFonts w:hint="eastAsia" w:ascii="Times New Roman" w:hAnsi="Times New Roman" w:eastAsia="宋体" w:cs="Times New Roman"/>
                <w:color w:val="auto"/>
                <w:kern w:val="2"/>
                <w:sz w:val="24"/>
                <w:szCs w:val="32"/>
                <w:highlight w:val="none"/>
                <w:lang w:val="en-US" w:eastAsia="zh-CN" w:bidi="ar-SA"/>
              </w:rPr>
              <w:t>本次评价内容以企业委托内容为准</w:t>
            </w:r>
            <w:r>
              <w:rPr>
                <w:rFonts w:hint="eastAsia" w:ascii="Times New Roman" w:hAnsi="Times New Roman" w:cs="Times New Roman"/>
                <w:color w:val="auto"/>
                <w:kern w:val="2"/>
                <w:sz w:val="24"/>
                <w:szCs w:val="32"/>
                <w:highlight w:val="none"/>
                <w:lang w:val="en-US" w:eastAsia="zh-CN" w:bidi="ar-SA"/>
              </w:rPr>
              <w:t>，特</w:t>
            </w:r>
            <w:r>
              <w:rPr>
                <w:rFonts w:hint="default" w:ascii="Times New Roman" w:hAnsi="Times New Roman" w:eastAsia="宋体" w:cs="Times New Roman"/>
                <w:color w:val="auto"/>
                <w:kern w:val="2"/>
                <w:sz w:val="24"/>
                <w:szCs w:val="32"/>
                <w:highlight w:val="none"/>
                <w:lang w:val="en-US" w:eastAsia="zh-CN" w:bidi="ar-SA"/>
              </w:rPr>
              <w:t>针对年产100万吨骨料碎石及水洗（机制）沙生产线，年产50万吨超细改性粉体生产线，年产30万吨彩砂生产线及年产20万吨特种干混砂浆生产线进行环境影响评价。项目骨料碎石、水洗砂及彩砂生产线预计2025年12月建设；超细改性粉体、干混砂浆生产线预计在2026年底前投入建设。</w:t>
            </w:r>
          </w:p>
          <w:p w14:paraId="51D6A8B2">
            <w:pPr>
              <w:pStyle w:val="41"/>
              <w:numPr>
                <w:ilvl w:val="0"/>
                <w:numId w:val="2"/>
              </w:numPr>
              <w:spacing w:line="360" w:lineRule="auto"/>
              <w:ind w:left="0" w:leftChars="0" w:firstLine="482" w:firstLineChars="200"/>
              <w:rPr>
                <w:rFonts w:hint="eastAsia" w:ascii="Times New Roman" w:hAnsi="Times New Roman" w:cs="Times New Roman"/>
                <w:b/>
                <w:bCs/>
                <w:color w:val="auto"/>
                <w:szCs w:val="32"/>
                <w:highlight w:val="none"/>
              </w:rPr>
            </w:pPr>
            <w:r>
              <w:rPr>
                <w:rFonts w:hint="eastAsia" w:ascii="Times New Roman" w:hAnsi="Times New Roman" w:cs="Times New Roman"/>
                <w:b/>
                <w:bCs/>
                <w:color w:val="auto"/>
                <w:szCs w:val="32"/>
                <w:highlight w:val="none"/>
              </w:rPr>
              <w:t>项目重大变动具体分析</w:t>
            </w:r>
          </w:p>
          <w:p w14:paraId="7CFF9268">
            <w:pPr>
              <w:pStyle w:val="41"/>
              <w:spacing w:line="360" w:lineRule="auto"/>
              <w:ind w:firstLine="480" w:firstLineChars="200"/>
              <w:rPr>
                <w:rFonts w:hint="eastAsia" w:ascii="Times New Roman" w:hAnsi="Times New Roman" w:eastAsia="宋体" w:cs="Times New Roman"/>
                <w:color w:val="auto"/>
                <w:szCs w:val="32"/>
                <w:highlight w:val="none"/>
                <w:lang w:eastAsia="zh-CN"/>
              </w:rPr>
            </w:pPr>
            <w:r>
              <w:rPr>
                <w:rFonts w:hint="eastAsia" w:ascii="Times New Roman" w:hAnsi="Times New Roman" w:cs="Times New Roman"/>
                <w:color w:val="auto"/>
                <w:szCs w:val="32"/>
                <w:highlight w:val="none"/>
              </w:rPr>
              <w:t>通过对比文件—《污染影响类建设项目重大变动清单（试行）》（环办环评函〔2020〕688号），项目建设性质、规模、地点等发生变化，且达到相应要求时，按重大变动执行。具体对比如下</w:t>
            </w:r>
            <w:r>
              <w:rPr>
                <w:rFonts w:hint="eastAsia" w:ascii="Times New Roman" w:hAnsi="Times New Roman" w:cs="Times New Roman"/>
                <w:color w:val="auto"/>
                <w:szCs w:val="32"/>
                <w:highlight w:val="none"/>
                <w:lang w:val="en-US" w:eastAsia="zh-CN"/>
              </w:rPr>
              <w:t>表。</w:t>
            </w:r>
          </w:p>
          <w:p w14:paraId="4A4A8714">
            <w:pPr>
              <w:tabs>
                <w:tab w:val="left" w:leader="middleDot" w:pos="8399"/>
              </w:tabs>
              <w:jc w:val="center"/>
              <w:rPr>
                <w:b/>
                <w:color w:val="auto"/>
                <w:highlight w:val="none"/>
              </w:rPr>
            </w:pPr>
            <w:r>
              <w:rPr>
                <w:rFonts w:hint="eastAsia"/>
                <w:b/>
                <w:color w:val="auto"/>
                <w:highlight w:val="none"/>
              </w:rPr>
              <w:t>表2-1  对比结果一览表</w:t>
            </w:r>
          </w:p>
          <w:tbl>
            <w:tblPr>
              <w:tblStyle w:val="32"/>
              <w:tblW w:w="82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6"/>
              <w:gridCol w:w="2076"/>
              <w:gridCol w:w="1486"/>
              <w:gridCol w:w="1880"/>
              <w:gridCol w:w="1416"/>
              <w:gridCol w:w="1083"/>
            </w:tblGrid>
            <w:tr w14:paraId="112F4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2" w:type="dxa"/>
                  <w:gridSpan w:val="2"/>
                  <w:vAlign w:val="center"/>
                </w:tcPr>
                <w:p w14:paraId="1AEA18C6">
                  <w:pPr>
                    <w:widowControl/>
                    <w:adjustRightInd w:val="0"/>
                    <w:snapToGrid w:val="0"/>
                    <w:jc w:val="center"/>
                    <w:rPr>
                      <w:color w:val="auto"/>
                      <w:highlight w:val="none"/>
                    </w:rPr>
                  </w:pPr>
                  <w:r>
                    <w:rPr>
                      <w:rFonts w:hint="eastAsia"/>
                      <w:color w:val="auto"/>
                      <w:szCs w:val="32"/>
                      <w:highlight w:val="none"/>
                    </w:rPr>
                    <w:t>变动清单类别</w:t>
                  </w:r>
                </w:p>
              </w:tc>
              <w:tc>
                <w:tcPr>
                  <w:tcW w:w="1486" w:type="dxa"/>
                  <w:vAlign w:val="center"/>
                </w:tcPr>
                <w:p w14:paraId="1EB3A42D">
                  <w:pPr>
                    <w:widowControl/>
                    <w:adjustRightInd w:val="0"/>
                    <w:snapToGrid w:val="0"/>
                    <w:jc w:val="center"/>
                    <w:rPr>
                      <w:color w:val="auto"/>
                      <w:szCs w:val="32"/>
                      <w:highlight w:val="none"/>
                    </w:rPr>
                  </w:pPr>
                  <w:r>
                    <w:rPr>
                      <w:rFonts w:hint="eastAsia"/>
                      <w:color w:val="auto"/>
                      <w:szCs w:val="32"/>
                      <w:highlight w:val="none"/>
                    </w:rPr>
                    <w:t>变动前</w:t>
                  </w:r>
                </w:p>
              </w:tc>
              <w:tc>
                <w:tcPr>
                  <w:tcW w:w="1880" w:type="dxa"/>
                  <w:vAlign w:val="center"/>
                </w:tcPr>
                <w:p w14:paraId="7BCAE8BD">
                  <w:pPr>
                    <w:widowControl/>
                    <w:adjustRightInd w:val="0"/>
                    <w:snapToGrid w:val="0"/>
                    <w:jc w:val="center"/>
                    <w:rPr>
                      <w:color w:val="auto"/>
                      <w:szCs w:val="32"/>
                      <w:highlight w:val="none"/>
                    </w:rPr>
                  </w:pPr>
                  <w:r>
                    <w:rPr>
                      <w:rFonts w:hint="eastAsia"/>
                      <w:color w:val="auto"/>
                      <w:szCs w:val="32"/>
                      <w:highlight w:val="none"/>
                    </w:rPr>
                    <w:t>变动后</w:t>
                  </w:r>
                </w:p>
              </w:tc>
              <w:tc>
                <w:tcPr>
                  <w:tcW w:w="1416" w:type="dxa"/>
                  <w:vAlign w:val="center"/>
                </w:tcPr>
                <w:p w14:paraId="30D9A5F7">
                  <w:pPr>
                    <w:widowControl/>
                    <w:adjustRightInd w:val="0"/>
                    <w:snapToGrid w:val="0"/>
                    <w:jc w:val="center"/>
                    <w:rPr>
                      <w:color w:val="auto"/>
                      <w:highlight w:val="none"/>
                    </w:rPr>
                  </w:pPr>
                  <w:r>
                    <w:rPr>
                      <w:rFonts w:hint="eastAsia"/>
                      <w:color w:val="auto"/>
                      <w:highlight w:val="none"/>
                    </w:rPr>
                    <w:t>对比结果</w:t>
                  </w:r>
                </w:p>
              </w:tc>
              <w:tc>
                <w:tcPr>
                  <w:tcW w:w="1083" w:type="dxa"/>
                  <w:vAlign w:val="center"/>
                </w:tcPr>
                <w:p w14:paraId="67E86F67">
                  <w:pPr>
                    <w:widowControl/>
                    <w:adjustRightInd w:val="0"/>
                    <w:snapToGrid w:val="0"/>
                    <w:jc w:val="center"/>
                    <w:rPr>
                      <w:color w:val="auto"/>
                      <w:highlight w:val="none"/>
                    </w:rPr>
                  </w:pPr>
                  <w:r>
                    <w:rPr>
                      <w:rFonts w:hint="eastAsia"/>
                      <w:color w:val="auto"/>
                      <w:highlight w:val="none"/>
                    </w:rPr>
                    <w:t>是否为重大变动</w:t>
                  </w:r>
                </w:p>
              </w:tc>
            </w:tr>
            <w:tr w14:paraId="59B25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56" w:type="dxa"/>
                  <w:vAlign w:val="center"/>
                </w:tcPr>
                <w:p w14:paraId="3D489AA1">
                  <w:pPr>
                    <w:widowControl/>
                    <w:adjustRightInd w:val="0"/>
                    <w:snapToGrid w:val="0"/>
                    <w:jc w:val="center"/>
                    <w:rPr>
                      <w:color w:val="auto"/>
                      <w:szCs w:val="32"/>
                      <w:highlight w:val="none"/>
                    </w:rPr>
                  </w:pPr>
                  <w:r>
                    <w:rPr>
                      <w:rFonts w:hint="eastAsia"/>
                      <w:color w:val="auto"/>
                      <w:szCs w:val="32"/>
                      <w:highlight w:val="none"/>
                    </w:rPr>
                    <w:t>性质</w:t>
                  </w:r>
                </w:p>
              </w:tc>
              <w:tc>
                <w:tcPr>
                  <w:tcW w:w="2076" w:type="dxa"/>
                  <w:vAlign w:val="center"/>
                </w:tcPr>
                <w:p w14:paraId="30044301">
                  <w:pPr>
                    <w:widowControl/>
                    <w:adjustRightInd w:val="0"/>
                    <w:snapToGrid w:val="0"/>
                    <w:jc w:val="center"/>
                    <w:rPr>
                      <w:color w:val="auto"/>
                      <w:szCs w:val="32"/>
                      <w:highlight w:val="none"/>
                    </w:rPr>
                  </w:pPr>
                  <w:r>
                    <w:rPr>
                      <w:rFonts w:hint="eastAsia"/>
                      <w:color w:val="auto"/>
                      <w:szCs w:val="32"/>
                      <w:highlight w:val="none"/>
                    </w:rPr>
                    <w:t>建设项目开发、使用功能发生变化的</w:t>
                  </w:r>
                </w:p>
              </w:tc>
              <w:tc>
                <w:tcPr>
                  <w:tcW w:w="1486" w:type="dxa"/>
                  <w:vAlign w:val="center"/>
                </w:tcPr>
                <w:p w14:paraId="103DA7E1">
                  <w:pPr>
                    <w:widowControl/>
                    <w:adjustRightInd w:val="0"/>
                    <w:snapToGrid w:val="0"/>
                    <w:jc w:val="center"/>
                    <w:rPr>
                      <w:rFonts w:hint="eastAsia" w:ascii="Times New Roman" w:hAnsi="Times New Roman" w:cs="Times New Roman"/>
                      <w:color w:val="auto"/>
                      <w:szCs w:val="32"/>
                      <w:highlight w:val="none"/>
                    </w:rPr>
                  </w:pPr>
                  <w:r>
                    <w:rPr>
                      <w:rFonts w:hint="default" w:ascii="Times New Roman" w:hAnsi="Times New Roman" w:cs="Times New Roman"/>
                      <w:color w:val="auto"/>
                      <w:szCs w:val="32"/>
                      <w:highlight w:val="none"/>
                      <w:lang w:val="en-US" w:eastAsia="zh-CN"/>
                    </w:rPr>
                    <w:t>骨料</w:t>
                  </w:r>
                  <w:r>
                    <w:rPr>
                      <w:rFonts w:hint="eastAsia" w:ascii="Times New Roman" w:hAnsi="Times New Roman" w:cs="Times New Roman"/>
                      <w:color w:val="auto"/>
                      <w:szCs w:val="32"/>
                      <w:highlight w:val="none"/>
                      <w:lang w:val="en-US" w:eastAsia="zh-CN"/>
                    </w:rPr>
                    <w:t>尾粉</w:t>
                  </w:r>
                  <w:r>
                    <w:rPr>
                      <w:rFonts w:hint="default" w:ascii="Times New Roman" w:hAnsi="Times New Roman" w:cs="Times New Roman"/>
                      <w:color w:val="auto"/>
                      <w:szCs w:val="32"/>
                      <w:highlight w:val="none"/>
                      <w:lang w:val="en-US" w:eastAsia="zh-CN"/>
                    </w:rPr>
                    <w:t>及板材加工</w:t>
                  </w:r>
                </w:p>
              </w:tc>
              <w:tc>
                <w:tcPr>
                  <w:tcW w:w="1880" w:type="dxa"/>
                  <w:vAlign w:val="center"/>
                </w:tcPr>
                <w:p w14:paraId="6045DB2A">
                  <w:pPr>
                    <w:widowControl/>
                    <w:adjustRightInd w:val="0"/>
                    <w:snapToGrid w:val="0"/>
                    <w:jc w:val="center"/>
                    <w:rPr>
                      <w:rFonts w:hint="eastAsia" w:ascii="Times New Roman" w:hAnsi="Times New Roman" w:cs="Times New Roman"/>
                      <w:color w:val="auto"/>
                      <w:szCs w:val="32"/>
                      <w:highlight w:val="none"/>
                    </w:rPr>
                  </w:pPr>
                  <w:r>
                    <w:rPr>
                      <w:rFonts w:hint="default" w:ascii="Times New Roman" w:hAnsi="Times New Roman" w:cs="Times New Roman"/>
                      <w:color w:val="auto"/>
                      <w:szCs w:val="32"/>
                      <w:highlight w:val="none"/>
                      <w:lang w:val="en-US" w:eastAsia="zh-CN"/>
                    </w:rPr>
                    <w:t>骨料碎石及水洗（机制）沙</w:t>
                  </w:r>
                  <w:r>
                    <w:rPr>
                      <w:rFonts w:hint="eastAsia" w:ascii="Times New Roman" w:hAnsi="Times New Roman" w:cs="Times New Roman"/>
                      <w:color w:val="auto"/>
                      <w:szCs w:val="32"/>
                      <w:highlight w:val="none"/>
                      <w:lang w:val="en-US" w:eastAsia="zh-CN"/>
                    </w:rPr>
                    <w:t>、</w:t>
                  </w:r>
                  <w:r>
                    <w:rPr>
                      <w:rFonts w:hint="default" w:ascii="Times New Roman" w:hAnsi="Times New Roman" w:cs="Times New Roman"/>
                      <w:color w:val="auto"/>
                      <w:szCs w:val="32"/>
                      <w:highlight w:val="none"/>
                      <w:lang w:val="en-US" w:eastAsia="zh-CN"/>
                    </w:rPr>
                    <w:t>超细改性粉体</w:t>
                  </w:r>
                  <w:r>
                    <w:rPr>
                      <w:rFonts w:hint="eastAsia" w:ascii="Times New Roman" w:hAnsi="Times New Roman" w:cs="Times New Roman"/>
                      <w:color w:val="auto"/>
                      <w:szCs w:val="32"/>
                      <w:highlight w:val="none"/>
                      <w:lang w:val="en-US" w:eastAsia="zh-CN"/>
                    </w:rPr>
                    <w:t>、</w:t>
                  </w:r>
                  <w:r>
                    <w:rPr>
                      <w:rFonts w:hint="default" w:ascii="Times New Roman" w:hAnsi="Times New Roman" w:cs="Times New Roman"/>
                      <w:color w:val="auto"/>
                      <w:szCs w:val="32"/>
                      <w:highlight w:val="none"/>
                      <w:lang w:val="en-US" w:eastAsia="zh-CN"/>
                    </w:rPr>
                    <w:t>彩砂</w:t>
                  </w:r>
                  <w:r>
                    <w:rPr>
                      <w:rFonts w:hint="eastAsia" w:ascii="Times New Roman" w:hAnsi="Times New Roman" w:cs="Times New Roman"/>
                      <w:color w:val="auto"/>
                      <w:szCs w:val="32"/>
                      <w:highlight w:val="none"/>
                      <w:lang w:val="en-US" w:eastAsia="zh-CN"/>
                    </w:rPr>
                    <w:t>、</w:t>
                  </w:r>
                  <w:r>
                    <w:rPr>
                      <w:rFonts w:hint="default" w:ascii="Times New Roman" w:hAnsi="Times New Roman" w:cs="Times New Roman"/>
                      <w:color w:val="auto"/>
                      <w:szCs w:val="32"/>
                      <w:highlight w:val="none"/>
                      <w:lang w:val="en-US" w:eastAsia="zh-CN"/>
                    </w:rPr>
                    <w:t>特种干混砂浆</w:t>
                  </w:r>
                  <w:r>
                    <w:rPr>
                      <w:rFonts w:hint="eastAsia" w:ascii="Times New Roman" w:hAnsi="Times New Roman" w:cs="Times New Roman"/>
                      <w:color w:val="auto"/>
                      <w:szCs w:val="32"/>
                      <w:highlight w:val="none"/>
                      <w:lang w:val="en-US" w:eastAsia="zh-CN"/>
                    </w:rPr>
                    <w:t>生产</w:t>
                  </w:r>
                </w:p>
              </w:tc>
              <w:tc>
                <w:tcPr>
                  <w:tcW w:w="1416" w:type="dxa"/>
                  <w:vAlign w:val="center"/>
                </w:tcPr>
                <w:p w14:paraId="5630EAFE">
                  <w:pPr>
                    <w:widowControl/>
                    <w:adjustRightInd w:val="0"/>
                    <w:snapToGrid w:val="0"/>
                    <w:rPr>
                      <w:color w:val="auto"/>
                      <w:highlight w:val="none"/>
                    </w:rPr>
                  </w:pPr>
                  <w:r>
                    <w:rPr>
                      <w:rFonts w:hint="eastAsia"/>
                      <w:color w:val="auto"/>
                      <w:highlight w:val="none"/>
                    </w:rPr>
                    <w:t>对比变动前后，</w:t>
                  </w:r>
                  <w:r>
                    <w:rPr>
                      <w:rFonts w:hint="eastAsia"/>
                      <w:color w:val="auto"/>
                      <w:highlight w:val="none"/>
                      <w:lang w:eastAsia="zh-CN"/>
                    </w:rPr>
                    <w:t>产品</w:t>
                  </w:r>
                  <w:r>
                    <w:rPr>
                      <w:rFonts w:hint="eastAsia"/>
                      <w:color w:val="auto"/>
                      <w:szCs w:val="32"/>
                      <w:highlight w:val="none"/>
                    </w:rPr>
                    <w:t>均为建筑材料</w:t>
                  </w:r>
                  <w:r>
                    <w:rPr>
                      <w:rFonts w:hint="eastAsia"/>
                      <w:color w:val="auto"/>
                      <w:szCs w:val="32"/>
                      <w:highlight w:val="none"/>
                      <w:lang w:eastAsia="zh-CN"/>
                    </w:rPr>
                    <w:t>，但项目开发种类和使用功能发生了</w:t>
                  </w:r>
                  <w:r>
                    <w:rPr>
                      <w:rFonts w:hint="eastAsia"/>
                      <w:color w:val="auto"/>
                      <w:szCs w:val="32"/>
                      <w:highlight w:val="none"/>
                      <w:lang w:val="en-US" w:eastAsia="zh-CN"/>
                    </w:rPr>
                    <w:t>明显</w:t>
                  </w:r>
                  <w:r>
                    <w:rPr>
                      <w:rFonts w:hint="eastAsia"/>
                      <w:color w:val="auto"/>
                      <w:szCs w:val="32"/>
                      <w:highlight w:val="none"/>
                      <w:lang w:eastAsia="zh-CN"/>
                    </w:rPr>
                    <w:t>变化</w:t>
                  </w:r>
                </w:p>
              </w:tc>
              <w:tc>
                <w:tcPr>
                  <w:tcW w:w="1083" w:type="dxa"/>
                  <w:vAlign w:val="center"/>
                </w:tcPr>
                <w:p w14:paraId="23E5B51C">
                  <w:pPr>
                    <w:widowControl/>
                    <w:adjustRightInd w:val="0"/>
                    <w:snapToGrid w:val="0"/>
                    <w:jc w:val="center"/>
                    <w:rPr>
                      <w:rFonts w:hint="eastAsia" w:eastAsia="宋体"/>
                      <w:color w:val="auto"/>
                      <w:highlight w:val="none"/>
                      <w:lang w:eastAsia="zh-CN"/>
                    </w:rPr>
                  </w:pPr>
                  <w:r>
                    <w:rPr>
                      <w:rFonts w:hint="eastAsia"/>
                      <w:color w:val="auto"/>
                      <w:highlight w:val="none"/>
                      <w:lang w:eastAsia="zh-CN"/>
                    </w:rPr>
                    <w:t>是</w:t>
                  </w:r>
                </w:p>
              </w:tc>
            </w:tr>
            <w:tr w14:paraId="0AD4D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5" w:hRule="atLeast"/>
                <w:jc w:val="center"/>
              </w:trPr>
              <w:tc>
                <w:tcPr>
                  <w:tcW w:w="356" w:type="dxa"/>
                  <w:vAlign w:val="center"/>
                </w:tcPr>
                <w:p w14:paraId="193DF0A9">
                  <w:pPr>
                    <w:widowControl/>
                    <w:adjustRightInd w:val="0"/>
                    <w:snapToGrid w:val="0"/>
                    <w:jc w:val="center"/>
                    <w:rPr>
                      <w:color w:val="auto"/>
                      <w:highlight w:val="none"/>
                    </w:rPr>
                  </w:pPr>
                  <w:r>
                    <w:rPr>
                      <w:rFonts w:hint="eastAsia"/>
                      <w:color w:val="auto"/>
                      <w:highlight w:val="none"/>
                    </w:rPr>
                    <w:t>规模</w:t>
                  </w:r>
                </w:p>
              </w:tc>
              <w:tc>
                <w:tcPr>
                  <w:tcW w:w="2076" w:type="dxa"/>
                  <w:vAlign w:val="center"/>
                </w:tcPr>
                <w:p w14:paraId="17D9723F">
                  <w:pPr>
                    <w:widowControl/>
                    <w:adjustRightInd w:val="0"/>
                    <w:snapToGrid w:val="0"/>
                    <w:rPr>
                      <w:color w:val="auto"/>
                      <w:highlight w:val="none"/>
                    </w:rPr>
                  </w:pPr>
                  <w:r>
                    <w:rPr>
                      <w:rFonts w:hint="eastAsia" w:ascii="宋体" w:hAnsi="宋体" w:cs="宋体"/>
                      <w:color w:val="auto"/>
                      <w:highlight w:val="none"/>
                    </w:rPr>
                    <w:t>①</w:t>
                  </w:r>
                  <w:r>
                    <w:rPr>
                      <w:rFonts w:hint="eastAsia"/>
                      <w:color w:val="auto"/>
                      <w:highlight w:val="none"/>
                    </w:rPr>
                    <w:t>生产、处置或储存能力增大30%及以上的。</w:t>
                  </w:r>
                </w:p>
                <w:p w14:paraId="7593807F">
                  <w:pPr>
                    <w:widowControl/>
                    <w:adjustRightInd w:val="0"/>
                    <w:snapToGrid w:val="0"/>
                    <w:rPr>
                      <w:color w:val="auto"/>
                      <w:highlight w:val="none"/>
                    </w:rPr>
                  </w:pPr>
                  <w:r>
                    <w:rPr>
                      <w:rFonts w:hint="eastAsia" w:ascii="宋体" w:hAnsi="宋体" w:cs="宋体"/>
                      <w:color w:val="auto"/>
                      <w:highlight w:val="none"/>
                    </w:rPr>
                    <w:t>②</w:t>
                  </w:r>
                  <w:r>
                    <w:rPr>
                      <w:rFonts w:hint="eastAsia"/>
                      <w:color w:val="auto"/>
                      <w:highlight w:val="none"/>
                    </w:rPr>
                    <w:t>生产、处置或储存能力增大，导致废水第一类污染物排放量增加的。</w:t>
                  </w:r>
                </w:p>
                <w:p w14:paraId="3B3DDC95">
                  <w:pPr>
                    <w:widowControl/>
                    <w:adjustRightInd w:val="0"/>
                    <w:snapToGrid w:val="0"/>
                    <w:rPr>
                      <w:color w:val="auto"/>
                      <w:highlight w:val="none"/>
                    </w:rPr>
                  </w:pPr>
                  <w:r>
                    <w:rPr>
                      <w:rFonts w:hint="eastAsia" w:ascii="宋体" w:hAnsi="宋体" w:cs="宋体"/>
                      <w:color w:val="auto"/>
                      <w:highlight w:val="none"/>
                    </w:rPr>
                    <w:t>③位于环境质量不达标区的建设项目生产、处置或储存能力增大，导致相应污染物排放量增加的</w:t>
                  </w:r>
                  <w:r>
                    <w:rPr>
                      <w:rFonts w:hint="eastAsia" w:ascii="宋体" w:hAnsi="宋体" w:cs="宋体"/>
                      <w:color w:val="auto"/>
                      <w:highlight w:val="none"/>
                      <w:lang w:eastAsia="zh-CN"/>
                    </w:rPr>
                    <w:t>（</w:t>
                  </w:r>
                  <w:r>
                    <w:rPr>
                      <w:rFonts w:hint="eastAsia" w:ascii="宋体" w:hAnsi="宋体" w:cs="宋体"/>
                      <w:color w:val="auto"/>
                      <w:highlight w:val="none"/>
                    </w:rPr>
                    <w:t>细颗粒物不达标区，相应污染物为二氧化硫、氮氧化物、可吸入颗粒物、挥发性有机物；臭氧不达标区，相应污染物为氮氧化物、挥发性有机物；其他大气、水污染物因子不达标区，相应污染物为超标污染因子</w:t>
                  </w:r>
                  <w:r>
                    <w:rPr>
                      <w:rFonts w:hint="eastAsia" w:ascii="宋体" w:hAnsi="宋体" w:cs="宋体"/>
                      <w:color w:val="auto"/>
                      <w:highlight w:val="none"/>
                      <w:lang w:eastAsia="zh-CN"/>
                    </w:rPr>
                    <w:t>）</w:t>
                  </w:r>
                  <w:r>
                    <w:rPr>
                      <w:rFonts w:hint="eastAsia" w:ascii="宋体" w:hAnsi="宋体" w:cs="宋体"/>
                      <w:color w:val="auto"/>
                      <w:highlight w:val="none"/>
                    </w:rPr>
                    <w:t>；位于达标区的建设项目生产、处置或储存能力增大，导致污染物排放量增加</w:t>
                  </w:r>
                  <w:r>
                    <w:rPr>
                      <w:color w:val="auto"/>
                      <w:highlight w:val="none"/>
                    </w:rPr>
                    <w:t>10%</w:t>
                  </w:r>
                  <w:r>
                    <w:rPr>
                      <w:rFonts w:hint="eastAsia" w:ascii="宋体" w:hAnsi="宋体" w:cs="宋体"/>
                      <w:color w:val="auto"/>
                      <w:highlight w:val="none"/>
                    </w:rPr>
                    <w:t>及以上的。</w:t>
                  </w:r>
                </w:p>
              </w:tc>
              <w:tc>
                <w:tcPr>
                  <w:tcW w:w="1486" w:type="dxa"/>
                  <w:vAlign w:val="center"/>
                </w:tcPr>
                <w:p w14:paraId="451921B5">
                  <w:pPr>
                    <w:widowControl/>
                    <w:adjustRightInd w:val="0"/>
                    <w:snapToGrid w:val="0"/>
                    <w:rPr>
                      <w:rFonts w:ascii="宋体" w:hAnsi="宋体" w:cs="宋体"/>
                      <w:color w:val="auto"/>
                      <w:highlight w:val="none"/>
                    </w:rPr>
                  </w:pPr>
                  <w:r>
                    <w:rPr>
                      <w:rFonts w:hint="eastAsia"/>
                      <w:color w:val="auto"/>
                      <w:highlight w:val="none"/>
                    </w:rPr>
                    <w:t>年产建筑用板材约300万m</w:t>
                  </w:r>
                  <w:r>
                    <w:rPr>
                      <w:rFonts w:hint="eastAsia"/>
                      <w:color w:val="auto"/>
                      <w:highlight w:val="none"/>
                      <w:vertAlign w:val="superscript"/>
                    </w:rPr>
                    <w:t>2</w:t>
                  </w:r>
                  <w:r>
                    <w:rPr>
                      <w:rStyle w:val="85"/>
                      <w:rFonts w:hint="eastAsia"/>
                      <w:sz w:val="21"/>
                      <w:szCs w:val="21"/>
                    </w:rPr>
                    <w:t>（</w:t>
                  </w:r>
                  <w:r>
                    <w:rPr>
                      <w:rFonts w:ascii="Times New Roman" w:hAnsi="Times New Roman"/>
                    </w:rPr>
                    <w:t>约</w:t>
                  </w:r>
                  <w:r>
                    <w:rPr>
                      <w:rStyle w:val="85"/>
                      <w:rFonts w:hint="eastAsia"/>
                      <w:sz w:val="21"/>
                      <w:szCs w:val="21"/>
                    </w:rPr>
                    <w:t>25万t）</w:t>
                  </w:r>
                  <w:r>
                    <w:rPr>
                      <w:color w:val="auto"/>
                      <w:highlight w:val="none"/>
                    </w:rPr>
                    <w:t>，</w:t>
                  </w:r>
                  <w:r>
                    <w:rPr>
                      <w:rFonts w:hint="eastAsia"/>
                      <w:color w:val="auto"/>
                      <w:highlight w:val="none"/>
                    </w:rPr>
                    <w:t>骨料40万t</w:t>
                  </w:r>
                  <w:r>
                    <w:rPr>
                      <w:rFonts w:hint="eastAsia"/>
                      <w:color w:val="auto"/>
                      <w:highlight w:val="none"/>
                      <w:lang w:eastAsia="zh-CN"/>
                    </w:rPr>
                    <w:t>，</w:t>
                  </w:r>
                  <w:r>
                    <w:rPr>
                      <w:rFonts w:hint="eastAsia"/>
                      <w:color w:val="auto"/>
                      <w:highlight w:val="none"/>
                    </w:rPr>
                    <w:t>尾粉5万t。</w:t>
                  </w:r>
                  <w:r>
                    <w:rPr>
                      <w:color w:val="auto"/>
                      <w:highlight w:val="none"/>
                    </w:rPr>
                    <w:t>粉尘</w:t>
                  </w:r>
                  <w:r>
                    <w:rPr>
                      <w:rFonts w:hint="eastAsia"/>
                      <w:color w:val="auto"/>
                      <w:highlight w:val="none"/>
                    </w:rPr>
                    <w:t>排放</w:t>
                  </w:r>
                  <w:r>
                    <w:rPr>
                      <w:color w:val="auto"/>
                      <w:highlight w:val="none"/>
                    </w:rPr>
                    <w:t>量为</w:t>
                  </w:r>
                  <w:r>
                    <w:rPr>
                      <w:rFonts w:hint="eastAsia"/>
                      <w:color w:val="auto"/>
                      <w:highlight w:val="none"/>
                      <w:lang w:val="en-US" w:eastAsia="zh-CN"/>
                    </w:rPr>
                    <w:t xml:space="preserve">3.56 </w:t>
                  </w:r>
                  <w:r>
                    <w:rPr>
                      <w:rFonts w:hint="eastAsia"/>
                      <w:color w:val="auto"/>
                      <w:highlight w:val="none"/>
                    </w:rPr>
                    <w:t>t/a</w:t>
                  </w:r>
                  <w:r>
                    <w:rPr>
                      <w:color w:val="auto"/>
                      <w:highlight w:val="none"/>
                    </w:rPr>
                    <w:t>；项目位于环境质量达标区，运营期不排放废水</w:t>
                  </w:r>
                </w:p>
              </w:tc>
              <w:tc>
                <w:tcPr>
                  <w:tcW w:w="1880" w:type="dxa"/>
                  <w:vAlign w:val="center"/>
                </w:tcPr>
                <w:p w14:paraId="06FF9EBF">
                  <w:pPr>
                    <w:widowControl/>
                    <w:adjustRightInd w:val="0"/>
                    <w:snapToGrid w:val="0"/>
                    <w:rPr>
                      <w:rFonts w:ascii="宋体" w:hAnsi="宋体" w:cs="宋体"/>
                      <w:color w:val="auto"/>
                      <w:highlight w:val="none"/>
                    </w:rPr>
                  </w:pPr>
                  <w:r>
                    <w:rPr>
                      <w:rFonts w:hint="default" w:ascii="Times New Roman" w:hAnsi="Times New Roman" w:cs="Times New Roman"/>
                      <w:color w:val="auto"/>
                      <w:highlight w:val="none"/>
                      <w:lang w:val="en-US" w:eastAsia="zh-CN"/>
                    </w:rPr>
                    <w:t>年产100万吨骨料碎石及水洗（机制）沙，年产50万吨超细改性粉体，年产30万吨彩砂及年产20万吨特种干混砂浆</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粉尘</w:t>
                  </w:r>
                  <w:r>
                    <w:rPr>
                      <w:rFonts w:hint="eastAsia" w:ascii="Times New Roman" w:hAnsi="Times New Roman" w:cs="Times New Roman"/>
                      <w:color w:val="auto"/>
                      <w:highlight w:val="none"/>
                    </w:rPr>
                    <w:t>排放</w:t>
                  </w:r>
                  <w:r>
                    <w:rPr>
                      <w:rFonts w:ascii="Times New Roman" w:hAnsi="Times New Roman" w:cs="Times New Roman"/>
                      <w:color w:val="auto"/>
                      <w:highlight w:val="none"/>
                    </w:rPr>
                    <w:t>量为</w:t>
                  </w:r>
                  <w:r>
                    <w:rPr>
                      <w:rFonts w:hint="eastAsia" w:eastAsia="等线"/>
                      <w:bCs/>
                      <w:color w:val="auto"/>
                      <w:szCs w:val="21"/>
                      <w:highlight w:val="none"/>
                      <w:lang w:val="en-US" w:eastAsia="zh-CN"/>
                    </w:rPr>
                    <w:t xml:space="preserve">44.847 </w:t>
                  </w:r>
                  <w:r>
                    <w:rPr>
                      <w:rFonts w:hint="eastAsia" w:eastAsia="等线"/>
                      <w:bCs/>
                      <w:color w:val="auto"/>
                      <w:szCs w:val="21"/>
                      <w:highlight w:val="none"/>
                    </w:rPr>
                    <w:t>t</w:t>
                  </w:r>
                  <w:r>
                    <w:rPr>
                      <w:rFonts w:eastAsia="等线"/>
                      <w:bCs/>
                      <w:color w:val="auto"/>
                      <w:szCs w:val="21"/>
                      <w:highlight w:val="none"/>
                    </w:rPr>
                    <w:t>/a</w:t>
                  </w:r>
                  <w:r>
                    <w:rPr>
                      <w:rFonts w:ascii="Times New Roman" w:hAnsi="Times New Roman" w:cs="Times New Roman"/>
                      <w:color w:val="auto"/>
                      <w:highlight w:val="none"/>
                    </w:rPr>
                    <w:t>；项目</w:t>
                  </w:r>
                  <w:r>
                    <w:rPr>
                      <w:rFonts w:hint="eastAsia" w:ascii="Times New Roman" w:hAnsi="Times New Roman" w:cs="Times New Roman"/>
                      <w:color w:val="auto"/>
                      <w:highlight w:val="none"/>
                    </w:rPr>
                    <w:t>依然</w:t>
                  </w:r>
                  <w:r>
                    <w:rPr>
                      <w:rFonts w:ascii="Times New Roman" w:hAnsi="Times New Roman" w:cs="Times New Roman"/>
                      <w:color w:val="auto"/>
                      <w:highlight w:val="none"/>
                    </w:rPr>
                    <w:t>位于环境质量达标区，运营期</w:t>
                  </w:r>
                  <w:r>
                    <w:rPr>
                      <w:rFonts w:hint="eastAsia" w:ascii="Times New Roman" w:hAnsi="Times New Roman" w:cs="Times New Roman"/>
                      <w:color w:val="auto"/>
                      <w:highlight w:val="none"/>
                    </w:rPr>
                    <w:t>同样</w:t>
                  </w:r>
                  <w:r>
                    <w:rPr>
                      <w:rFonts w:ascii="Times New Roman" w:hAnsi="Times New Roman" w:cs="Times New Roman"/>
                      <w:color w:val="auto"/>
                      <w:highlight w:val="none"/>
                    </w:rPr>
                    <w:t>不排放废水</w:t>
                  </w:r>
                </w:p>
              </w:tc>
              <w:tc>
                <w:tcPr>
                  <w:tcW w:w="1416" w:type="dxa"/>
                  <w:vAlign w:val="center"/>
                </w:tcPr>
                <w:p w14:paraId="050EAF49">
                  <w:pPr>
                    <w:widowControl/>
                    <w:adjustRightInd w:val="0"/>
                    <w:snapToGrid w:val="0"/>
                    <w:jc w:val="both"/>
                    <w:rPr>
                      <w:color w:val="auto"/>
                      <w:highlight w:val="none"/>
                    </w:rPr>
                  </w:pPr>
                  <w:r>
                    <w:rPr>
                      <w:rFonts w:hint="eastAsia"/>
                      <w:color w:val="auto"/>
                      <w:highlight w:val="none"/>
                    </w:rPr>
                    <w:t>变动前生产规模为</w:t>
                  </w:r>
                  <w:r>
                    <w:rPr>
                      <w:rFonts w:hint="eastAsia"/>
                      <w:color w:val="auto"/>
                      <w:highlight w:val="none"/>
                      <w:lang w:val="en-US" w:eastAsia="zh-CN"/>
                    </w:rPr>
                    <w:t>70</w:t>
                  </w:r>
                  <w:r>
                    <w:rPr>
                      <w:rFonts w:hint="eastAsia"/>
                      <w:color w:val="auto"/>
                      <w:highlight w:val="none"/>
                    </w:rPr>
                    <w:t>万t/a，变动后生产规模约为</w:t>
                  </w:r>
                  <w:r>
                    <w:rPr>
                      <w:rFonts w:hint="eastAsia"/>
                      <w:color w:val="auto"/>
                      <w:highlight w:val="none"/>
                      <w:lang w:val="en-US" w:eastAsia="zh-CN"/>
                    </w:rPr>
                    <w:t>200万</w:t>
                  </w:r>
                  <w:r>
                    <w:rPr>
                      <w:rFonts w:hint="eastAsia"/>
                      <w:color w:val="auto"/>
                      <w:highlight w:val="none"/>
                    </w:rPr>
                    <w:t>t/a，对比变动前后，生产规模增加超过30%；此外，由于生产规模增大，而导致变动后大气污染物（粉尘）排放量约为变动前大气污染物（粉尘）排放量的</w:t>
                  </w:r>
                  <w:r>
                    <w:rPr>
                      <w:rFonts w:hint="eastAsia"/>
                      <w:color w:val="auto"/>
                      <w:highlight w:val="none"/>
                      <w:lang w:val="en-US" w:eastAsia="zh-CN"/>
                    </w:rPr>
                    <w:t>12.6</w:t>
                  </w:r>
                  <w:r>
                    <w:rPr>
                      <w:rFonts w:hint="eastAsia"/>
                      <w:color w:val="auto"/>
                      <w:highlight w:val="none"/>
                    </w:rPr>
                    <w:t>倍（超10%）。</w:t>
                  </w:r>
                </w:p>
              </w:tc>
              <w:tc>
                <w:tcPr>
                  <w:tcW w:w="1083" w:type="dxa"/>
                  <w:vAlign w:val="center"/>
                </w:tcPr>
                <w:p w14:paraId="795C969F">
                  <w:pPr>
                    <w:widowControl/>
                    <w:adjustRightInd w:val="0"/>
                    <w:snapToGrid w:val="0"/>
                    <w:jc w:val="center"/>
                    <w:rPr>
                      <w:color w:val="auto"/>
                      <w:highlight w:val="none"/>
                    </w:rPr>
                  </w:pPr>
                  <w:r>
                    <w:rPr>
                      <w:rFonts w:hint="eastAsia"/>
                      <w:color w:val="auto"/>
                      <w:highlight w:val="none"/>
                    </w:rPr>
                    <w:t>是</w:t>
                  </w:r>
                </w:p>
              </w:tc>
            </w:tr>
            <w:tr w14:paraId="6999F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56" w:type="dxa"/>
                  <w:vAlign w:val="center"/>
                </w:tcPr>
                <w:p w14:paraId="4AC7E9E0">
                  <w:pPr>
                    <w:widowControl/>
                    <w:adjustRightInd w:val="0"/>
                    <w:snapToGrid w:val="0"/>
                    <w:jc w:val="center"/>
                    <w:rPr>
                      <w:color w:val="auto"/>
                      <w:highlight w:val="none"/>
                    </w:rPr>
                  </w:pPr>
                  <w:r>
                    <w:rPr>
                      <w:rFonts w:hint="eastAsia"/>
                      <w:color w:val="auto"/>
                      <w:highlight w:val="none"/>
                    </w:rPr>
                    <w:t>地点</w:t>
                  </w:r>
                </w:p>
              </w:tc>
              <w:tc>
                <w:tcPr>
                  <w:tcW w:w="2076" w:type="dxa"/>
                  <w:vAlign w:val="center"/>
                </w:tcPr>
                <w:p w14:paraId="3093A53E">
                  <w:pPr>
                    <w:widowControl/>
                    <w:adjustRightInd w:val="0"/>
                    <w:snapToGrid w:val="0"/>
                    <w:rPr>
                      <w:color w:val="auto"/>
                      <w:highlight w:val="none"/>
                    </w:rPr>
                  </w:pPr>
                  <w:r>
                    <w:rPr>
                      <w:rFonts w:hint="eastAsia"/>
                      <w:color w:val="auto"/>
                      <w:highlight w:val="none"/>
                    </w:rPr>
                    <w:t>重新选址：在原厂址附近调整（包括总平面布置变化）导致环境防护距离范围变化且新增敏感点的。</w:t>
                  </w:r>
                </w:p>
              </w:tc>
              <w:tc>
                <w:tcPr>
                  <w:tcW w:w="1486" w:type="dxa"/>
                  <w:vAlign w:val="center"/>
                </w:tcPr>
                <w:p w14:paraId="08E47E84">
                  <w:pPr>
                    <w:widowControl/>
                    <w:adjustRightInd w:val="0"/>
                    <w:snapToGrid w:val="0"/>
                    <w:rPr>
                      <w:rFonts w:hint="eastAsia" w:ascii="Times New Roman" w:hAnsi="Times New Roman" w:cs="Times New Roman"/>
                      <w:color w:val="auto"/>
                      <w:highlight w:val="none"/>
                    </w:rPr>
                  </w:pPr>
                  <w:r>
                    <w:rPr>
                      <w:rFonts w:hint="eastAsia" w:ascii="Times New Roman" w:hAnsi="Times New Roman" w:cs="Times New Roman"/>
                      <w:color w:val="auto"/>
                      <w:highlight w:val="none"/>
                    </w:rPr>
                    <w:t>陕西省汉中市洋县</w:t>
                  </w:r>
                  <w:r>
                    <w:rPr>
                      <w:rFonts w:hint="eastAsia" w:ascii="Times New Roman" w:hAnsi="Times New Roman" w:cs="Times New Roman"/>
                      <w:color w:val="auto"/>
                      <w:highlight w:val="none"/>
                      <w:lang w:val="en-US" w:eastAsia="zh-CN"/>
                    </w:rPr>
                    <w:t>戚氏街道</w:t>
                  </w:r>
                </w:p>
              </w:tc>
              <w:tc>
                <w:tcPr>
                  <w:tcW w:w="1880" w:type="dxa"/>
                  <w:vAlign w:val="center"/>
                </w:tcPr>
                <w:p w14:paraId="371B0AFE">
                  <w:pPr>
                    <w:widowControl/>
                    <w:adjustRightInd w:val="0"/>
                    <w:snapToGrid w:val="0"/>
                    <w:rPr>
                      <w:rFonts w:hint="eastAsia" w:ascii="Times New Roman" w:hAnsi="Times New Roman" w:cs="Times New Roman"/>
                      <w:color w:val="auto"/>
                      <w:highlight w:val="none"/>
                    </w:rPr>
                  </w:pPr>
                  <w:r>
                    <w:rPr>
                      <w:rFonts w:hint="eastAsia" w:ascii="Times New Roman" w:hAnsi="Times New Roman" w:cs="Times New Roman"/>
                      <w:color w:val="auto"/>
                      <w:highlight w:val="none"/>
                    </w:rPr>
                    <w:t>陕西省汉中市洋县</w:t>
                  </w:r>
                  <w:r>
                    <w:rPr>
                      <w:rFonts w:hint="eastAsia" w:ascii="Times New Roman" w:hAnsi="Times New Roman" w:cs="Times New Roman"/>
                      <w:color w:val="auto"/>
                      <w:highlight w:val="none"/>
                      <w:lang w:val="en-US" w:eastAsia="zh-CN"/>
                    </w:rPr>
                    <w:t>戚氏街道</w:t>
                  </w:r>
                </w:p>
              </w:tc>
              <w:tc>
                <w:tcPr>
                  <w:tcW w:w="1416" w:type="dxa"/>
                  <w:vAlign w:val="center"/>
                </w:tcPr>
                <w:p w14:paraId="67A8673D">
                  <w:pPr>
                    <w:widowControl/>
                    <w:adjustRightInd w:val="0"/>
                    <w:snapToGrid w:val="0"/>
                    <w:jc w:val="both"/>
                    <w:rPr>
                      <w:color w:val="auto"/>
                      <w:highlight w:val="none"/>
                    </w:rPr>
                  </w:pPr>
                  <w:r>
                    <w:rPr>
                      <w:rFonts w:hint="eastAsia"/>
                      <w:color w:val="auto"/>
                      <w:highlight w:val="none"/>
                    </w:rPr>
                    <w:t>本次变动在原厂址内进行</w:t>
                  </w:r>
                  <w:r>
                    <w:rPr>
                      <w:rFonts w:hint="eastAsia"/>
                      <w:color w:val="auto"/>
                      <w:highlight w:val="none"/>
                      <w:lang w:eastAsia="zh-CN"/>
                    </w:rPr>
                    <w:t>（</w:t>
                  </w:r>
                  <w:r>
                    <w:rPr>
                      <w:rFonts w:hint="eastAsia"/>
                      <w:color w:val="auto"/>
                      <w:highlight w:val="none"/>
                    </w:rPr>
                    <w:t>总平面布局</w:t>
                  </w:r>
                  <w:r>
                    <w:rPr>
                      <w:rFonts w:hint="eastAsia"/>
                      <w:color w:val="auto"/>
                      <w:highlight w:val="none"/>
                      <w:lang w:eastAsia="zh-CN"/>
                    </w:rPr>
                    <w:t>变化）</w:t>
                  </w:r>
                  <w:r>
                    <w:rPr>
                      <w:rFonts w:hint="eastAsia"/>
                      <w:color w:val="auto"/>
                      <w:highlight w:val="none"/>
                    </w:rPr>
                    <w:t>，</w:t>
                  </w:r>
                  <w:r>
                    <w:rPr>
                      <w:rFonts w:hint="eastAsia"/>
                      <w:color w:val="auto"/>
                      <w:highlight w:val="none"/>
                      <w:lang w:eastAsia="zh-CN"/>
                    </w:rPr>
                    <w:t>无新增敏感点</w:t>
                  </w:r>
                </w:p>
              </w:tc>
              <w:tc>
                <w:tcPr>
                  <w:tcW w:w="1083" w:type="dxa"/>
                  <w:vAlign w:val="center"/>
                </w:tcPr>
                <w:p w14:paraId="148E8000">
                  <w:pPr>
                    <w:widowControl/>
                    <w:adjustRightInd w:val="0"/>
                    <w:snapToGrid w:val="0"/>
                    <w:jc w:val="center"/>
                    <w:rPr>
                      <w:color w:val="auto"/>
                      <w:highlight w:val="none"/>
                    </w:rPr>
                  </w:pPr>
                  <w:r>
                    <w:rPr>
                      <w:rFonts w:hint="eastAsia"/>
                      <w:color w:val="auto"/>
                      <w:highlight w:val="none"/>
                    </w:rPr>
                    <w:t>否</w:t>
                  </w:r>
                </w:p>
              </w:tc>
            </w:tr>
            <w:tr w14:paraId="30365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 w:type="dxa"/>
                  <w:vAlign w:val="center"/>
                </w:tcPr>
                <w:p w14:paraId="5513B1E0">
                  <w:pPr>
                    <w:widowControl/>
                    <w:adjustRightInd w:val="0"/>
                    <w:snapToGrid w:val="0"/>
                    <w:jc w:val="center"/>
                    <w:rPr>
                      <w:color w:val="auto"/>
                      <w:highlight w:val="none"/>
                    </w:rPr>
                  </w:pPr>
                  <w:r>
                    <w:rPr>
                      <w:rFonts w:hint="eastAsia"/>
                      <w:color w:val="auto"/>
                      <w:highlight w:val="none"/>
                    </w:rPr>
                    <w:t>生产</w:t>
                  </w:r>
                </w:p>
                <w:p w14:paraId="14B09724">
                  <w:pPr>
                    <w:widowControl/>
                    <w:adjustRightInd w:val="0"/>
                    <w:snapToGrid w:val="0"/>
                    <w:jc w:val="center"/>
                    <w:rPr>
                      <w:color w:val="auto"/>
                      <w:highlight w:val="none"/>
                    </w:rPr>
                  </w:pPr>
                  <w:r>
                    <w:rPr>
                      <w:rFonts w:hint="eastAsia"/>
                      <w:color w:val="auto"/>
                      <w:highlight w:val="none"/>
                    </w:rPr>
                    <w:t>工艺</w:t>
                  </w:r>
                </w:p>
              </w:tc>
              <w:tc>
                <w:tcPr>
                  <w:tcW w:w="2076" w:type="dxa"/>
                  <w:vAlign w:val="center"/>
                </w:tcPr>
                <w:p w14:paraId="63FE0D5B">
                  <w:pPr>
                    <w:widowControl/>
                    <w:adjustRightInd w:val="0"/>
                    <w:snapToGrid w:val="0"/>
                    <w:jc w:val="left"/>
                    <w:rPr>
                      <w:color w:val="auto"/>
                      <w:highlight w:val="none"/>
                    </w:rPr>
                  </w:pPr>
                  <w:r>
                    <w:rPr>
                      <w:rFonts w:hint="eastAsia"/>
                      <w:color w:val="auto"/>
                      <w:highlight w:val="none"/>
                    </w:rPr>
                    <w:t>新增产品品种或生产工艺（含主要生产装置、设备及配套设施）、主要原辅材料、燃料变化，导致以下情形之一：</w:t>
                  </w:r>
                </w:p>
                <w:p w14:paraId="6E233E4D">
                  <w:pPr>
                    <w:widowControl/>
                    <w:adjustRightInd w:val="0"/>
                    <w:snapToGrid w:val="0"/>
                    <w:jc w:val="left"/>
                    <w:rPr>
                      <w:color w:val="auto"/>
                      <w:highlight w:val="none"/>
                    </w:rPr>
                  </w:pPr>
                  <w:r>
                    <w:rPr>
                      <w:rFonts w:hint="eastAsia" w:ascii="宋体" w:hAnsi="宋体" w:cs="宋体"/>
                      <w:color w:val="auto"/>
                      <w:highlight w:val="none"/>
                    </w:rPr>
                    <w:t>①</w:t>
                  </w:r>
                  <w:r>
                    <w:rPr>
                      <w:rFonts w:hint="eastAsia"/>
                      <w:color w:val="auto"/>
                      <w:highlight w:val="none"/>
                    </w:rPr>
                    <w:t>新增排放污染物种类的（毒性、挥发性降低的除外）；</w:t>
                  </w:r>
                </w:p>
                <w:p w14:paraId="6C886748">
                  <w:pPr>
                    <w:widowControl/>
                    <w:adjustRightInd w:val="0"/>
                    <w:snapToGrid w:val="0"/>
                    <w:jc w:val="left"/>
                    <w:rPr>
                      <w:color w:val="auto"/>
                      <w:highlight w:val="none"/>
                    </w:rPr>
                  </w:pPr>
                  <w:r>
                    <w:rPr>
                      <w:rFonts w:hint="eastAsia" w:ascii="宋体" w:hAnsi="宋体" w:cs="宋体"/>
                      <w:color w:val="auto"/>
                      <w:highlight w:val="none"/>
                    </w:rPr>
                    <w:t>②</w:t>
                  </w:r>
                  <w:r>
                    <w:rPr>
                      <w:rFonts w:hint="eastAsia"/>
                      <w:color w:val="auto"/>
                      <w:highlight w:val="none"/>
                    </w:rPr>
                    <w:t>位于环境质量不达标区的建设项目相应污染物排放量增加的；</w:t>
                  </w:r>
                </w:p>
                <w:p w14:paraId="07FCF098">
                  <w:pPr>
                    <w:widowControl/>
                    <w:adjustRightInd w:val="0"/>
                    <w:snapToGrid w:val="0"/>
                    <w:jc w:val="left"/>
                    <w:rPr>
                      <w:color w:val="auto"/>
                      <w:highlight w:val="none"/>
                    </w:rPr>
                  </w:pPr>
                  <w:r>
                    <w:rPr>
                      <w:rFonts w:hint="eastAsia" w:ascii="宋体" w:hAnsi="宋体" w:cs="宋体"/>
                      <w:color w:val="auto"/>
                      <w:highlight w:val="none"/>
                    </w:rPr>
                    <w:t>③</w:t>
                  </w:r>
                  <w:r>
                    <w:rPr>
                      <w:rFonts w:hint="eastAsia"/>
                      <w:color w:val="auto"/>
                      <w:highlight w:val="none"/>
                    </w:rPr>
                    <w:t>废水第一类污染物排放量增加的；</w:t>
                  </w:r>
                </w:p>
                <w:p w14:paraId="4992BB98">
                  <w:pPr>
                    <w:widowControl/>
                    <w:adjustRightInd w:val="0"/>
                    <w:snapToGrid w:val="0"/>
                    <w:jc w:val="left"/>
                    <w:rPr>
                      <w:color w:val="auto"/>
                      <w:highlight w:val="none"/>
                    </w:rPr>
                  </w:pPr>
                  <w:r>
                    <w:rPr>
                      <w:rFonts w:hint="eastAsia" w:ascii="宋体" w:hAnsi="宋体" w:cs="宋体"/>
                      <w:color w:val="auto"/>
                      <w:highlight w:val="none"/>
                    </w:rPr>
                    <w:t>④</w:t>
                  </w:r>
                  <w:r>
                    <w:rPr>
                      <w:rFonts w:hint="eastAsia"/>
                      <w:color w:val="auto"/>
                      <w:highlight w:val="none"/>
                    </w:rPr>
                    <w:t>其他污染物排放量增加10%及以上的。</w:t>
                  </w:r>
                </w:p>
                <w:p w14:paraId="5F2E5DA8">
                  <w:pPr>
                    <w:widowControl/>
                    <w:adjustRightInd w:val="0"/>
                    <w:snapToGrid w:val="0"/>
                    <w:jc w:val="left"/>
                    <w:rPr>
                      <w:color w:val="auto"/>
                      <w:highlight w:val="none"/>
                    </w:rPr>
                  </w:pPr>
                  <w:r>
                    <w:rPr>
                      <w:rFonts w:hint="eastAsia" w:ascii="宋体" w:hAnsi="宋体" w:cs="宋体"/>
                      <w:color w:val="auto"/>
                      <w:highlight w:val="none"/>
                    </w:rPr>
                    <w:t>⑤</w:t>
                  </w:r>
                  <w:r>
                    <w:rPr>
                      <w:rFonts w:hint="eastAsia"/>
                      <w:color w:val="auto"/>
                      <w:highlight w:val="none"/>
                    </w:rPr>
                    <w:t>物料运输、装卸、贮存方式变化，导致大气污染物无组织排放量增加10%及以上的。</w:t>
                  </w:r>
                </w:p>
              </w:tc>
              <w:tc>
                <w:tcPr>
                  <w:tcW w:w="1486" w:type="dxa"/>
                  <w:vAlign w:val="center"/>
                </w:tcPr>
                <w:p w14:paraId="0EAD4B2F">
                  <w:pPr>
                    <w:widowControl/>
                    <w:adjustRightInd w:val="0"/>
                    <w:snapToGrid w:val="0"/>
                    <w:rPr>
                      <w:rFonts w:ascii="宋体" w:hAnsi="宋体" w:cs="宋体"/>
                      <w:color w:val="auto"/>
                      <w:highlight w:val="none"/>
                    </w:rPr>
                  </w:pPr>
                  <w:r>
                    <w:rPr>
                      <w:rFonts w:hint="eastAsia" w:ascii="宋体" w:hAnsi="宋体" w:cs="宋体"/>
                      <w:color w:val="auto"/>
                      <w:highlight w:val="none"/>
                    </w:rPr>
                    <w:t>位于环境质量达标区，不涉及燃料使用，原料为</w:t>
                  </w:r>
                  <w:r>
                    <w:rPr>
                      <w:rFonts w:hint="eastAsia" w:ascii="Times New Roman" w:hAnsi="Times New Roman"/>
                      <w:szCs w:val="21"/>
                      <w:lang w:bidi="ar"/>
                    </w:rPr>
                    <w:t>矿</w:t>
                  </w:r>
                  <w:r>
                    <w:rPr>
                      <w:rFonts w:ascii="Times New Roman" w:hAnsi="Times New Roman"/>
                      <w:szCs w:val="21"/>
                      <w:lang w:bidi="ar"/>
                    </w:rPr>
                    <w:t>石</w:t>
                  </w:r>
                  <w:r>
                    <w:rPr>
                      <w:rFonts w:hint="eastAsia" w:ascii="宋体" w:hAnsi="宋体" w:cs="宋体"/>
                      <w:color w:val="auto"/>
                      <w:highlight w:val="none"/>
                    </w:rPr>
                    <w:t>；运营期主要生产</w:t>
                  </w:r>
                  <w:r>
                    <w:rPr>
                      <w:rFonts w:hint="eastAsia"/>
                      <w:color w:val="auto"/>
                      <w:highlight w:val="none"/>
                    </w:rPr>
                    <w:t>建筑用板材</w:t>
                  </w:r>
                  <w:r>
                    <w:rPr>
                      <w:color w:val="auto"/>
                      <w:highlight w:val="none"/>
                    </w:rPr>
                    <w:t>，</w:t>
                  </w:r>
                  <w:r>
                    <w:rPr>
                      <w:rFonts w:hint="eastAsia"/>
                      <w:color w:val="auto"/>
                      <w:highlight w:val="none"/>
                    </w:rPr>
                    <w:t>骨料</w:t>
                  </w:r>
                  <w:r>
                    <w:rPr>
                      <w:rFonts w:hint="eastAsia"/>
                      <w:color w:val="auto"/>
                      <w:highlight w:val="none"/>
                      <w:lang w:eastAsia="zh-CN"/>
                    </w:rPr>
                    <w:t>，</w:t>
                  </w:r>
                  <w:r>
                    <w:rPr>
                      <w:rFonts w:hint="eastAsia"/>
                      <w:color w:val="auto"/>
                      <w:highlight w:val="none"/>
                    </w:rPr>
                    <w:t>尾粉</w:t>
                  </w:r>
                  <w:r>
                    <w:rPr>
                      <w:rFonts w:hint="eastAsia" w:ascii="宋体" w:hAnsi="宋体" w:cs="宋体"/>
                      <w:color w:val="auto"/>
                      <w:highlight w:val="none"/>
                    </w:rPr>
                    <w:t>。板材</w:t>
                  </w:r>
                  <w:r>
                    <w:rPr>
                      <w:rFonts w:hint="eastAsia" w:ascii="宋体" w:hAnsi="宋体" w:cs="宋体"/>
                      <w:color w:val="auto"/>
                      <w:highlight w:val="none"/>
                      <w:lang w:val="en-US" w:eastAsia="zh-CN"/>
                    </w:rPr>
                    <w:t>加工</w:t>
                  </w:r>
                  <w:r>
                    <w:rPr>
                      <w:rFonts w:hint="eastAsia" w:ascii="宋体" w:hAnsi="宋体" w:cs="宋体"/>
                      <w:color w:val="auto"/>
                      <w:highlight w:val="none"/>
                    </w:rPr>
                    <w:t>工艺为</w:t>
                  </w:r>
                  <w:r>
                    <w:rPr>
                      <w:rFonts w:hint="eastAsia" w:ascii="宋体" w:hAnsi="宋体" w:cs="宋体"/>
                      <w:color w:val="auto"/>
                      <w:highlight w:val="none"/>
                      <w:lang w:val="en-US" w:eastAsia="zh-CN"/>
                    </w:rPr>
                    <w:t>削面、清洗</w:t>
                  </w:r>
                  <w:r>
                    <w:rPr>
                      <w:rFonts w:hint="eastAsia" w:ascii="宋体" w:hAnsi="宋体" w:cs="宋体"/>
                      <w:color w:val="auto"/>
                      <w:highlight w:val="none"/>
                    </w:rPr>
                    <w:t>、</w:t>
                  </w:r>
                  <w:r>
                    <w:rPr>
                      <w:rFonts w:hint="eastAsia" w:ascii="宋体" w:hAnsi="宋体" w:cs="宋体"/>
                      <w:color w:val="auto"/>
                      <w:highlight w:val="none"/>
                      <w:lang w:val="en-US" w:eastAsia="zh-CN"/>
                    </w:rPr>
                    <w:t>切割</w:t>
                  </w:r>
                  <w:r>
                    <w:rPr>
                      <w:rFonts w:hint="eastAsia" w:ascii="宋体" w:hAnsi="宋体" w:cs="宋体"/>
                      <w:color w:val="auto"/>
                      <w:highlight w:val="none"/>
                    </w:rPr>
                    <w:t>、</w:t>
                  </w:r>
                  <w:r>
                    <w:rPr>
                      <w:rFonts w:hint="eastAsia" w:ascii="宋体" w:hAnsi="宋体" w:cs="宋体"/>
                      <w:color w:val="auto"/>
                      <w:highlight w:val="none"/>
                      <w:lang w:val="en-US" w:eastAsia="zh-CN"/>
                    </w:rPr>
                    <w:t>磨光、切边。</w:t>
                  </w:r>
                  <w:r>
                    <w:rPr>
                      <w:rFonts w:hint="eastAsia" w:ascii="宋体" w:hAnsi="宋体" w:cs="宋体"/>
                      <w:color w:val="auto"/>
                      <w:highlight w:val="none"/>
                    </w:rPr>
                    <w:t>骨料、尾粉加工</w:t>
                  </w:r>
                  <w:r>
                    <w:rPr>
                      <w:rFonts w:hint="eastAsia" w:ascii="宋体" w:hAnsi="宋体" w:cs="宋体"/>
                      <w:color w:val="auto"/>
                      <w:highlight w:val="none"/>
                      <w:lang w:val="en-US" w:eastAsia="zh-CN"/>
                    </w:rPr>
                    <w:t>工艺为破碎、筛分</w:t>
                  </w:r>
                  <w:r>
                    <w:rPr>
                      <w:rFonts w:hint="eastAsia" w:ascii="宋体" w:hAnsi="宋体" w:cs="宋体"/>
                      <w:color w:val="auto"/>
                      <w:highlight w:val="none"/>
                    </w:rPr>
                    <w:t>。大气污染物仅为颗粒物，废水不外排。</w:t>
                  </w:r>
                </w:p>
              </w:tc>
              <w:tc>
                <w:tcPr>
                  <w:tcW w:w="1880" w:type="dxa"/>
                  <w:vAlign w:val="center"/>
                </w:tcPr>
                <w:p w14:paraId="7CF9DA37">
                  <w:pPr>
                    <w:widowControl/>
                    <w:adjustRightInd w:val="0"/>
                    <w:snapToGrid w:val="0"/>
                    <w:jc w:val="left"/>
                    <w:rPr>
                      <w:rFonts w:ascii="宋体" w:hAnsi="宋体" w:cs="宋体"/>
                      <w:color w:val="auto"/>
                      <w:highlight w:val="none"/>
                    </w:rPr>
                  </w:pPr>
                  <w:r>
                    <w:rPr>
                      <w:rFonts w:hint="eastAsia" w:ascii="宋体" w:hAnsi="宋体" w:cs="宋体"/>
                      <w:color w:val="auto"/>
                      <w:highlight w:val="none"/>
                    </w:rPr>
                    <w:t>位于环境质量达标区，不涉及燃料使用。原料为</w:t>
                  </w:r>
                  <w:r>
                    <w:rPr>
                      <w:rFonts w:hint="eastAsia" w:ascii="Times New Roman" w:hAnsi="Times New Roman"/>
                      <w:szCs w:val="21"/>
                      <w:lang w:bidi="ar"/>
                    </w:rPr>
                    <w:t>矿</w:t>
                  </w:r>
                  <w:r>
                    <w:rPr>
                      <w:rFonts w:ascii="Times New Roman" w:hAnsi="Times New Roman"/>
                      <w:szCs w:val="21"/>
                      <w:lang w:bidi="ar"/>
                    </w:rPr>
                    <w:t>石</w:t>
                  </w:r>
                  <w:r>
                    <w:rPr>
                      <w:rFonts w:hint="eastAsia" w:ascii="Times New Roman" w:hAnsi="Times New Roman"/>
                      <w:szCs w:val="21"/>
                      <w:lang w:eastAsia="zh-CN" w:bidi="ar"/>
                    </w:rPr>
                    <w:t>，</w:t>
                  </w:r>
                  <w:r>
                    <w:rPr>
                      <w:rFonts w:hint="eastAsia" w:ascii="宋体" w:hAnsi="宋体" w:cs="宋体"/>
                      <w:color w:val="auto"/>
                      <w:highlight w:val="none"/>
                    </w:rPr>
                    <w:t>石膏粉、水泥、纤维素等原辅料；</w:t>
                  </w:r>
                  <w:r>
                    <w:rPr>
                      <w:rFonts w:hint="eastAsia" w:ascii="宋体" w:hAnsi="宋体" w:cs="宋体"/>
                      <w:color w:val="auto"/>
                      <w:highlight w:val="none"/>
                      <w:lang w:val="en-US" w:eastAsia="zh-CN"/>
                    </w:rPr>
                    <w:t>生产</w:t>
                  </w:r>
                  <w:r>
                    <w:rPr>
                      <w:rFonts w:hint="eastAsia" w:ascii="宋体" w:hAnsi="宋体" w:cs="宋体"/>
                      <w:color w:val="auto"/>
                      <w:highlight w:val="none"/>
                    </w:rPr>
                    <w:t>彩砂，</w:t>
                  </w:r>
                  <w:r>
                    <w:rPr>
                      <w:rFonts w:hint="eastAsia" w:ascii="宋体" w:hAnsi="宋体" w:cs="宋体"/>
                      <w:color w:val="auto"/>
                      <w:highlight w:val="none"/>
                      <w:lang w:val="en-US" w:eastAsia="zh-CN"/>
                    </w:rPr>
                    <w:t>骨料及水洗砂，改性粉体，干混砂浆</w:t>
                  </w:r>
                  <w:r>
                    <w:rPr>
                      <w:rFonts w:hint="eastAsia"/>
                      <w:color w:val="auto"/>
                      <w:szCs w:val="32"/>
                      <w:highlight w:val="none"/>
                    </w:rPr>
                    <w:t>。</w:t>
                  </w:r>
                  <w:r>
                    <w:rPr>
                      <w:rFonts w:hint="eastAsia"/>
                      <w:color w:val="auto"/>
                      <w:szCs w:val="32"/>
                      <w:highlight w:val="none"/>
                      <w:lang w:val="en-US" w:eastAsia="zh-CN"/>
                    </w:rPr>
                    <w:t>砂石骨料及彩砂</w:t>
                  </w:r>
                  <w:r>
                    <w:rPr>
                      <w:rFonts w:hint="eastAsia"/>
                      <w:color w:val="auto"/>
                      <w:szCs w:val="32"/>
                      <w:highlight w:val="none"/>
                    </w:rPr>
                    <w:t>产品工艺</w:t>
                  </w:r>
                  <w:r>
                    <w:rPr>
                      <w:rFonts w:hint="eastAsia"/>
                      <w:color w:val="auto"/>
                      <w:szCs w:val="32"/>
                      <w:highlight w:val="none"/>
                      <w:lang w:val="en-US" w:eastAsia="zh-CN"/>
                    </w:rPr>
                    <w:t>为破碎、筛分、水洗、磨粉等。</w:t>
                  </w:r>
                  <w:r>
                    <w:rPr>
                      <w:rFonts w:hint="eastAsia" w:ascii="宋体" w:hAnsi="宋体" w:cs="宋体"/>
                      <w:color w:val="auto"/>
                      <w:highlight w:val="none"/>
                      <w:lang w:val="en-US" w:eastAsia="zh-CN"/>
                    </w:rPr>
                    <w:t>改性粉体，干混砂浆生产工艺为</w:t>
                  </w:r>
                  <w:r>
                    <w:rPr>
                      <w:rFonts w:hint="eastAsia"/>
                      <w:color w:val="auto"/>
                      <w:szCs w:val="32"/>
                      <w:highlight w:val="none"/>
                    </w:rPr>
                    <w:t>搅拌、包装。</w:t>
                  </w:r>
                  <w:r>
                    <w:rPr>
                      <w:rFonts w:hint="eastAsia" w:ascii="宋体" w:hAnsi="宋体" w:cs="宋体"/>
                      <w:color w:val="auto"/>
                      <w:highlight w:val="none"/>
                    </w:rPr>
                    <w:t>大气污染物仅为颗粒物，废水不外排。</w:t>
                  </w:r>
                </w:p>
              </w:tc>
              <w:tc>
                <w:tcPr>
                  <w:tcW w:w="1416" w:type="dxa"/>
                  <w:vAlign w:val="center"/>
                </w:tcPr>
                <w:p w14:paraId="337C4749">
                  <w:pPr>
                    <w:pStyle w:val="46"/>
                    <w:jc w:val="both"/>
                    <w:rPr>
                      <w:rFonts w:hAnsi="宋体"/>
                      <w:color w:val="auto"/>
                      <w:sz w:val="21"/>
                      <w:szCs w:val="21"/>
                      <w:highlight w:val="none"/>
                    </w:rPr>
                  </w:pPr>
                  <w:r>
                    <w:rPr>
                      <w:rFonts w:ascii="Times New Roman" w:cs="Times New Roman"/>
                      <w:color w:val="auto"/>
                      <w:sz w:val="21"/>
                      <w:szCs w:val="21"/>
                      <w:highlight w:val="none"/>
                    </w:rPr>
                    <w:t>本次变动</w:t>
                  </w:r>
                  <w:r>
                    <w:rPr>
                      <w:rFonts w:hint="eastAsia" w:ascii="Times New Roman" w:cs="Times New Roman"/>
                      <w:color w:val="auto"/>
                      <w:sz w:val="21"/>
                      <w:szCs w:val="21"/>
                      <w:highlight w:val="none"/>
                    </w:rPr>
                    <w:t>新增</w:t>
                  </w:r>
                  <w:r>
                    <w:rPr>
                      <w:rFonts w:ascii="Times New Roman" w:cs="Times New Roman"/>
                      <w:color w:val="auto"/>
                      <w:sz w:val="21"/>
                      <w:szCs w:val="21"/>
                      <w:highlight w:val="none"/>
                    </w:rPr>
                    <w:t>原料种类</w:t>
                  </w:r>
                  <w:r>
                    <w:rPr>
                      <w:rFonts w:hint="eastAsia" w:ascii="Times New Roman" w:cs="Times New Roman"/>
                      <w:color w:val="auto"/>
                      <w:sz w:val="21"/>
                      <w:szCs w:val="21"/>
                      <w:highlight w:val="none"/>
                    </w:rPr>
                    <w:t>、生产工艺及</w:t>
                  </w:r>
                  <w:r>
                    <w:rPr>
                      <w:rFonts w:ascii="Times New Roman" w:cs="Times New Roman"/>
                      <w:color w:val="auto"/>
                      <w:sz w:val="21"/>
                      <w:szCs w:val="21"/>
                      <w:highlight w:val="none"/>
                    </w:rPr>
                    <w:t>产品种类</w:t>
                  </w:r>
                  <w:r>
                    <w:rPr>
                      <w:rFonts w:hint="eastAsia" w:ascii="Times New Roman" w:cs="Times New Roman"/>
                      <w:color w:val="auto"/>
                      <w:sz w:val="21"/>
                      <w:szCs w:val="21"/>
                      <w:highlight w:val="none"/>
                    </w:rPr>
                    <w:t>，</w:t>
                  </w:r>
                  <w:r>
                    <w:rPr>
                      <w:rFonts w:hint="eastAsia" w:ascii="Times New Roman" w:cs="Times New Roman"/>
                      <w:color w:val="auto"/>
                      <w:sz w:val="21"/>
                      <w:szCs w:val="21"/>
                      <w:highlight w:val="none"/>
                      <w:lang w:eastAsia="zh-CN"/>
                    </w:rPr>
                    <w:t>导致大气污染物（粉尘）排放量超</w:t>
                  </w:r>
                  <w:r>
                    <w:rPr>
                      <w:rFonts w:hint="eastAsia" w:asci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w:t>
                  </w:r>
                </w:p>
              </w:tc>
              <w:tc>
                <w:tcPr>
                  <w:tcW w:w="1083" w:type="dxa"/>
                  <w:vAlign w:val="center"/>
                </w:tcPr>
                <w:p w14:paraId="684E248B">
                  <w:pPr>
                    <w:pStyle w:val="46"/>
                    <w:jc w:val="center"/>
                    <w:rPr>
                      <w:rFonts w:hint="eastAsia" w:ascii="Times New Roman" w:eastAsia="宋体" w:cs="Times New Roman"/>
                      <w:color w:val="auto"/>
                      <w:sz w:val="21"/>
                      <w:szCs w:val="21"/>
                      <w:highlight w:val="none"/>
                      <w:lang w:eastAsia="zh-CN"/>
                    </w:rPr>
                  </w:pPr>
                  <w:r>
                    <w:rPr>
                      <w:rFonts w:hint="eastAsia"/>
                      <w:color w:val="auto"/>
                      <w:sz w:val="21"/>
                      <w:szCs w:val="21"/>
                      <w:highlight w:val="none"/>
                      <w:lang w:eastAsia="zh-CN"/>
                    </w:rPr>
                    <w:t>是</w:t>
                  </w:r>
                </w:p>
              </w:tc>
            </w:tr>
            <w:tr w14:paraId="3D3F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7" w:hRule="atLeast"/>
                <w:jc w:val="center"/>
              </w:trPr>
              <w:tc>
                <w:tcPr>
                  <w:tcW w:w="356" w:type="dxa"/>
                  <w:vAlign w:val="center"/>
                </w:tcPr>
                <w:p w14:paraId="18530419">
                  <w:pPr>
                    <w:widowControl/>
                    <w:adjustRightInd w:val="0"/>
                    <w:snapToGrid w:val="0"/>
                    <w:jc w:val="center"/>
                    <w:rPr>
                      <w:color w:val="auto"/>
                      <w:highlight w:val="none"/>
                    </w:rPr>
                  </w:pPr>
                  <w:r>
                    <w:rPr>
                      <w:rFonts w:hint="eastAsia"/>
                      <w:color w:val="auto"/>
                      <w:highlight w:val="none"/>
                    </w:rPr>
                    <w:t>环境保护措施</w:t>
                  </w:r>
                </w:p>
              </w:tc>
              <w:tc>
                <w:tcPr>
                  <w:tcW w:w="2076" w:type="dxa"/>
                  <w:vAlign w:val="center"/>
                </w:tcPr>
                <w:p w14:paraId="279F3929">
                  <w:pPr>
                    <w:widowControl/>
                    <w:adjustRightInd w:val="0"/>
                    <w:snapToGrid w:val="0"/>
                    <w:jc w:val="left"/>
                    <w:rPr>
                      <w:color w:val="auto"/>
                      <w:highlight w:val="none"/>
                    </w:rPr>
                  </w:pPr>
                  <w:r>
                    <w:rPr>
                      <w:rFonts w:hint="eastAsia" w:ascii="宋体" w:hAnsi="宋体" w:cs="宋体"/>
                      <w:color w:val="auto"/>
                      <w:highlight w:val="none"/>
                    </w:rPr>
                    <w:t>①</w:t>
                  </w:r>
                  <w:r>
                    <w:rPr>
                      <w:rFonts w:hint="eastAsia"/>
                      <w:color w:val="auto"/>
                      <w:highlight w:val="none"/>
                    </w:rPr>
                    <w:t>废气、废水污染防治措施变化，导致第6条中所列情形之一（废气无组织排放改为有组织排放、污染防治措施强化或改进的除外）或大气污染物无组织排放量增加10%及以上的。</w:t>
                  </w:r>
                </w:p>
                <w:p w14:paraId="6EBFCA6D">
                  <w:pPr>
                    <w:widowControl/>
                    <w:adjustRightInd w:val="0"/>
                    <w:snapToGrid w:val="0"/>
                    <w:jc w:val="left"/>
                    <w:rPr>
                      <w:color w:val="auto"/>
                      <w:highlight w:val="none"/>
                    </w:rPr>
                  </w:pPr>
                  <w:r>
                    <w:rPr>
                      <w:rFonts w:hint="eastAsia" w:ascii="宋体" w:hAnsi="宋体" w:cs="宋体"/>
                      <w:color w:val="auto"/>
                      <w:highlight w:val="none"/>
                    </w:rPr>
                    <w:t>②</w:t>
                  </w:r>
                  <w:r>
                    <w:rPr>
                      <w:rFonts w:hint="eastAsia"/>
                      <w:color w:val="auto"/>
                      <w:highlight w:val="none"/>
                    </w:rPr>
                    <w:t>新增废水直接排放口；废水由间接排放改为直接排放；废水直接排放口位置变化，导致不利环境影响加重的。</w:t>
                  </w:r>
                </w:p>
                <w:p w14:paraId="3FB8A563">
                  <w:pPr>
                    <w:widowControl/>
                    <w:adjustRightInd w:val="0"/>
                    <w:snapToGrid w:val="0"/>
                    <w:jc w:val="left"/>
                    <w:rPr>
                      <w:color w:val="auto"/>
                      <w:highlight w:val="none"/>
                    </w:rPr>
                  </w:pPr>
                  <w:r>
                    <w:rPr>
                      <w:rFonts w:hint="eastAsia" w:ascii="宋体" w:hAnsi="宋体" w:cs="宋体"/>
                      <w:color w:val="auto"/>
                      <w:highlight w:val="none"/>
                    </w:rPr>
                    <w:t>③</w:t>
                  </w:r>
                  <w:r>
                    <w:rPr>
                      <w:rFonts w:hint="eastAsia"/>
                      <w:color w:val="auto"/>
                      <w:highlight w:val="none"/>
                    </w:rPr>
                    <w:t>新增废气主要排放口（废气无组织排放改为有组织排放的除外）；主要排放口排气筒高度降低10%及以上的。</w:t>
                  </w:r>
                </w:p>
                <w:p w14:paraId="4531D5FB">
                  <w:pPr>
                    <w:widowControl/>
                    <w:adjustRightInd w:val="0"/>
                    <w:snapToGrid w:val="0"/>
                    <w:jc w:val="left"/>
                    <w:rPr>
                      <w:color w:val="auto"/>
                      <w:highlight w:val="none"/>
                    </w:rPr>
                  </w:pPr>
                  <w:r>
                    <w:rPr>
                      <w:rFonts w:hint="eastAsia" w:ascii="宋体" w:hAnsi="宋体" w:cs="宋体"/>
                      <w:color w:val="auto"/>
                      <w:highlight w:val="none"/>
                    </w:rPr>
                    <w:t>④</w:t>
                  </w:r>
                  <w:r>
                    <w:rPr>
                      <w:rFonts w:hint="eastAsia"/>
                      <w:color w:val="auto"/>
                      <w:highlight w:val="none"/>
                    </w:rPr>
                    <w:t>噪声、土壤或地下水污染防治措施变化，导致不利环境影响加重的。</w:t>
                  </w:r>
                </w:p>
                <w:p w14:paraId="5A5A2CAD">
                  <w:pPr>
                    <w:widowControl/>
                    <w:adjustRightInd w:val="0"/>
                    <w:snapToGrid w:val="0"/>
                    <w:jc w:val="left"/>
                    <w:rPr>
                      <w:color w:val="auto"/>
                      <w:highlight w:val="none"/>
                    </w:rPr>
                  </w:pPr>
                  <w:r>
                    <w:rPr>
                      <w:rFonts w:hint="eastAsia" w:ascii="宋体" w:hAnsi="宋体" w:cs="宋体"/>
                      <w:color w:val="auto"/>
                      <w:highlight w:val="none"/>
                    </w:rPr>
                    <w:t>⑤</w:t>
                  </w:r>
                  <w:r>
                    <w:rPr>
                      <w:rFonts w:hint="eastAsia"/>
                      <w:color w:val="auto"/>
                      <w:highlight w:val="none"/>
                    </w:rPr>
                    <w:t>固体废物利用处置方式由委托外单位利用处置改为自行利用处置的（自行利用处置设施单独开展环境影响评价的除外）</w:t>
                  </w:r>
                </w:p>
                <w:p w14:paraId="1EB575AD">
                  <w:pPr>
                    <w:widowControl/>
                    <w:adjustRightInd w:val="0"/>
                    <w:snapToGrid w:val="0"/>
                    <w:jc w:val="left"/>
                    <w:rPr>
                      <w:color w:val="auto"/>
                      <w:highlight w:val="none"/>
                    </w:rPr>
                  </w:pPr>
                  <w:r>
                    <w:rPr>
                      <w:rFonts w:hint="eastAsia"/>
                      <w:color w:val="auto"/>
                      <w:highlight w:val="none"/>
                    </w:rPr>
                    <w:t>固体废物自行处置方式变化，导致不利环境影响加重的。</w:t>
                  </w:r>
                </w:p>
                <w:p w14:paraId="5FF4C6C2">
                  <w:pPr>
                    <w:widowControl/>
                    <w:adjustRightInd w:val="0"/>
                    <w:snapToGrid w:val="0"/>
                    <w:jc w:val="left"/>
                    <w:rPr>
                      <w:color w:val="auto"/>
                      <w:highlight w:val="none"/>
                    </w:rPr>
                  </w:pPr>
                  <w:r>
                    <w:rPr>
                      <w:rFonts w:hint="eastAsia" w:ascii="宋体" w:hAnsi="宋体" w:cs="宋体"/>
                      <w:color w:val="auto"/>
                      <w:highlight w:val="none"/>
                    </w:rPr>
                    <w:t>⑥</w:t>
                  </w:r>
                  <w:r>
                    <w:rPr>
                      <w:rFonts w:hint="eastAsia"/>
                      <w:color w:val="auto"/>
                      <w:highlight w:val="none"/>
                    </w:rPr>
                    <w:t>事故废水暂存能力或拦截设施变化，导致环境风险防范能力弱化或降低的。</w:t>
                  </w:r>
                </w:p>
              </w:tc>
              <w:tc>
                <w:tcPr>
                  <w:tcW w:w="1486" w:type="dxa"/>
                  <w:vAlign w:val="center"/>
                </w:tcPr>
                <w:p w14:paraId="6A9FFBD2">
                  <w:pPr>
                    <w:widowControl/>
                    <w:adjustRightInd w:val="0"/>
                    <w:snapToGrid w:val="0"/>
                    <w:rPr>
                      <w:rFonts w:hint="eastAsia" w:ascii="Times New Roman" w:hAnsi="Times New Roman"/>
                    </w:rPr>
                  </w:pPr>
                  <w:r>
                    <w:rPr>
                      <w:rFonts w:hint="eastAsia" w:ascii="宋体" w:hAnsi="宋体" w:cs="宋体"/>
                      <w:color w:val="auto"/>
                      <w:highlight w:val="none"/>
                    </w:rPr>
                    <w:t>①废气方面：</w:t>
                  </w:r>
                  <w:r>
                    <w:rPr>
                      <w:rFonts w:hint="eastAsia" w:ascii="Times New Roman" w:hAnsi="Times New Roman"/>
                      <w:caps/>
                      <w:kern w:val="0"/>
                      <w:szCs w:val="21"/>
                    </w:rPr>
                    <w:t>板材加工粉尘</w:t>
                  </w:r>
                  <w:r>
                    <w:rPr>
                      <w:rFonts w:hint="eastAsia" w:ascii="Times New Roman" w:hAnsi="Times New Roman"/>
                      <w:caps/>
                      <w:kern w:val="0"/>
                      <w:szCs w:val="21"/>
                      <w:lang w:eastAsia="zh-CN"/>
                    </w:rPr>
                    <w:t>：</w:t>
                  </w:r>
                  <w:r>
                    <w:rPr>
                      <w:rFonts w:hint="eastAsia" w:ascii="Times New Roman" w:hAnsi="Times New Roman"/>
                    </w:rPr>
                    <w:t>切割设备配备</w:t>
                  </w:r>
                  <w:r>
                    <w:rPr>
                      <w:rFonts w:ascii="Times New Roman" w:hAnsi="Times New Roman"/>
                    </w:rPr>
                    <w:t>自动</w:t>
                  </w:r>
                  <w:r>
                    <w:rPr>
                      <w:rFonts w:hint="eastAsia" w:ascii="Times New Roman" w:hAnsi="Times New Roman"/>
                    </w:rPr>
                    <w:t>喷淋</w:t>
                  </w:r>
                  <w:r>
                    <w:rPr>
                      <w:rFonts w:ascii="Times New Roman" w:hAnsi="Times New Roman"/>
                    </w:rPr>
                    <w:t>装置</w:t>
                  </w:r>
                  <w:r>
                    <w:rPr>
                      <w:rFonts w:hint="eastAsia" w:ascii="Times New Roman" w:hAnsi="Times New Roman"/>
                    </w:rPr>
                    <w:t>，车间配备1套</w:t>
                  </w:r>
                  <w:r>
                    <w:rPr>
                      <w:rFonts w:ascii="Times New Roman" w:hAnsi="Times New Roman"/>
                    </w:rPr>
                    <w:t>自动</w:t>
                  </w:r>
                  <w:r>
                    <w:rPr>
                      <w:rFonts w:hint="eastAsia" w:ascii="Times New Roman" w:hAnsi="Times New Roman"/>
                    </w:rPr>
                    <w:t>喷雾设施</w:t>
                  </w:r>
                </w:p>
                <w:p w14:paraId="32BA03FE">
                  <w:pPr>
                    <w:widowControl/>
                    <w:adjustRightInd w:val="0"/>
                    <w:snapToGrid w:val="0"/>
                    <w:rPr>
                      <w:rFonts w:ascii="宋体" w:hAnsi="宋体" w:cs="宋体"/>
                      <w:color w:val="auto"/>
                      <w:highlight w:val="none"/>
                    </w:rPr>
                  </w:pPr>
                  <w:r>
                    <w:rPr>
                      <w:rFonts w:hint="eastAsia" w:ascii="Times New Roman" w:hAnsi="Times New Roman"/>
                      <w:caps/>
                      <w:kern w:val="0"/>
                      <w:szCs w:val="21"/>
                      <w:lang w:val="en-US" w:eastAsia="zh-CN"/>
                    </w:rPr>
                    <w:t>骨料</w:t>
                  </w:r>
                  <w:r>
                    <w:rPr>
                      <w:rFonts w:hint="eastAsia" w:ascii="Times New Roman" w:hAnsi="Times New Roman"/>
                      <w:caps/>
                      <w:kern w:val="0"/>
                      <w:szCs w:val="21"/>
                    </w:rPr>
                    <w:t>破碎、筛分粉尘</w:t>
                  </w:r>
                  <w:r>
                    <w:rPr>
                      <w:rFonts w:hint="eastAsia" w:ascii="Times New Roman" w:hAnsi="Times New Roman"/>
                      <w:caps/>
                      <w:kern w:val="0"/>
                      <w:szCs w:val="21"/>
                      <w:lang w:eastAsia="zh-CN"/>
                    </w:rPr>
                    <w:t>：</w:t>
                  </w:r>
                  <w:r>
                    <w:rPr>
                      <w:rFonts w:hint="eastAsia" w:ascii="Times New Roman" w:hAnsi="Times New Roman"/>
                      <w:caps/>
                      <w:kern w:val="0"/>
                      <w:szCs w:val="21"/>
                      <w:lang w:val="en-US" w:eastAsia="zh-CN"/>
                    </w:rPr>
                    <w:t>经</w:t>
                  </w:r>
                  <w:r>
                    <w:rPr>
                      <w:rFonts w:hint="eastAsia" w:ascii="Times New Roman" w:hAnsi="Times New Roman"/>
                      <w:caps/>
                      <w:kern w:val="0"/>
                      <w:szCs w:val="21"/>
                    </w:rPr>
                    <w:t>1套布袋除尘器+1根15</w:t>
                  </w:r>
                  <w:r>
                    <w:rPr>
                      <w:rFonts w:ascii="Times New Roman" w:hAnsi="Times New Roman"/>
                      <w:szCs w:val="21"/>
                    </w:rPr>
                    <w:t>m</w:t>
                  </w:r>
                  <w:r>
                    <w:rPr>
                      <w:rFonts w:hint="eastAsia" w:ascii="Times New Roman" w:hAnsi="Times New Roman"/>
                      <w:szCs w:val="21"/>
                    </w:rPr>
                    <w:t>高排气筒</w:t>
                  </w:r>
                  <w:r>
                    <w:rPr>
                      <w:rFonts w:hint="eastAsia" w:ascii="宋体" w:hAnsi="宋体" w:cs="宋体"/>
                      <w:color w:val="auto"/>
                      <w:highlight w:val="none"/>
                      <w:lang w:val="en-US" w:eastAsia="zh-CN"/>
                    </w:rPr>
                    <w:t>达标</w:t>
                  </w:r>
                  <w:r>
                    <w:rPr>
                      <w:rFonts w:hint="eastAsia" w:ascii="宋体" w:hAnsi="宋体" w:cs="宋体"/>
                      <w:color w:val="auto"/>
                      <w:highlight w:val="none"/>
                    </w:rPr>
                    <w:t>排放；无组织粉尘采取合理控制装卸料高度、</w:t>
                  </w:r>
                  <w:r>
                    <w:rPr>
                      <w:rFonts w:hint="eastAsia" w:ascii="Times New Roman" w:hAnsi="Times New Roman"/>
                    </w:rPr>
                    <w:t>原料、成品置于车间内，车间配备1套</w:t>
                  </w:r>
                  <w:r>
                    <w:rPr>
                      <w:rFonts w:ascii="Times New Roman" w:hAnsi="Times New Roman"/>
                    </w:rPr>
                    <w:t>自动</w:t>
                  </w:r>
                  <w:r>
                    <w:rPr>
                      <w:rFonts w:hint="eastAsia" w:ascii="Times New Roman" w:hAnsi="Times New Roman"/>
                    </w:rPr>
                    <w:t>喷雾</w:t>
                  </w:r>
                  <w:r>
                    <w:rPr>
                      <w:rFonts w:ascii="Times New Roman" w:hAnsi="Times New Roman"/>
                    </w:rPr>
                    <w:t>装置</w:t>
                  </w:r>
                  <w:r>
                    <w:rPr>
                      <w:rFonts w:hint="eastAsia" w:ascii="宋体" w:hAnsi="宋体" w:cs="宋体"/>
                      <w:color w:val="auto"/>
                      <w:highlight w:val="none"/>
                    </w:rPr>
                    <w:t>等；</w:t>
                  </w:r>
                </w:p>
                <w:p w14:paraId="150B409E">
                  <w:pPr>
                    <w:widowControl/>
                    <w:adjustRightInd w:val="0"/>
                    <w:snapToGrid w:val="0"/>
                    <w:rPr>
                      <w:color w:val="auto"/>
                      <w:szCs w:val="21"/>
                      <w:highlight w:val="none"/>
                    </w:rPr>
                  </w:pPr>
                  <w:r>
                    <w:rPr>
                      <w:rFonts w:hint="eastAsia" w:ascii="宋体" w:hAnsi="宋体" w:cs="宋体"/>
                      <w:color w:val="auto"/>
                      <w:highlight w:val="none"/>
                    </w:rPr>
                    <w:t>②废水方面：</w:t>
                  </w:r>
                  <w:r>
                    <w:rPr>
                      <w:color w:val="auto"/>
                      <w:szCs w:val="21"/>
                      <w:highlight w:val="none"/>
                    </w:rPr>
                    <w:t>餐饮废水经</w:t>
                  </w:r>
                  <w:r>
                    <w:rPr>
                      <w:rFonts w:hint="eastAsia"/>
                      <w:color w:val="auto"/>
                      <w:szCs w:val="21"/>
                      <w:highlight w:val="none"/>
                      <w:lang w:val="en-US" w:eastAsia="zh-CN"/>
                    </w:rPr>
                    <w:t>隔油</w:t>
                  </w:r>
                  <w:r>
                    <w:rPr>
                      <w:color w:val="auto"/>
                      <w:szCs w:val="21"/>
                      <w:highlight w:val="none"/>
                    </w:rPr>
                    <w:t>处理后，同生活污水一起排入厂区化粪池，处理后用于周边</w:t>
                  </w:r>
                  <w:r>
                    <w:rPr>
                      <w:rFonts w:hint="eastAsia"/>
                      <w:color w:val="auto"/>
                      <w:szCs w:val="21"/>
                      <w:highlight w:val="none"/>
                    </w:rPr>
                    <w:t>农田施肥；</w:t>
                  </w:r>
                  <w:r>
                    <w:rPr>
                      <w:rFonts w:hint="eastAsia"/>
                      <w:color w:val="auto"/>
                      <w:szCs w:val="21"/>
                      <w:highlight w:val="none"/>
                      <w:lang w:val="en-US" w:eastAsia="zh-CN"/>
                    </w:rPr>
                    <w:t>板材清洗废水、</w:t>
                  </w:r>
                  <w:r>
                    <w:rPr>
                      <w:rFonts w:hint="eastAsia"/>
                      <w:color w:val="auto"/>
                      <w:szCs w:val="21"/>
                      <w:highlight w:val="none"/>
                    </w:rPr>
                    <w:t>洗车废水经配套沉淀池处理后回用，不外排</w:t>
                  </w:r>
                </w:p>
                <w:p w14:paraId="05FF8AF4">
                  <w:pPr>
                    <w:widowControl/>
                    <w:adjustRightInd w:val="0"/>
                    <w:snapToGrid w:val="0"/>
                    <w:rPr>
                      <w:color w:val="auto"/>
                      <w:szCs w:val="21"/>
                      <w:highlight w:val="none"/>
                    </w:rPr>
                  </w:pPr>
                  <w:r>
                    <w:rPr>
                      <w:rFonts w:hint="eastAsia" w:ascii="宋体" w:hAnsi="宋体" w:cs="宋体"/>
                      <w:color w:val="auto"/>
                      <w:szCs w:val="21"/>
                      <w:highlight w:val="none"/>
                    </w:rPr>
                    <w:t>③噪声方面：</w:t>
                  </w:r>
                  <w:r>
                    <w:rPr>
                      <w:color w:val="auto"/>
                      <w:szCs w:val="21"/>
                      <w:highlight w:val="none"/>
                    </w:rPr>
                    <w:t>采用低噪声设备，</w:t>
                  </w:r>
                  <w:r>
                    <w:rPr>
                      <w:rFonts w:hint="eastAsia"/>
                      <w:color w:val="auto"/>
                      <w:szCs w:val="21"/>
                      <w:highlight w:val="none"/>
                    </w:rPr>
                    <w:t>并</w:t>
                  </w:r>
                  <w:r>
                    <w:rPr>
                      <w:color w:val="auto"/>
                      <w:szCs w:val="21"/>
                      <w:highlight w:val="none"/>
                    </w:rPr>
                    <w:t>合理安排运行时间，</w:t>
                  </w:r>
                  <w:r>
                    <w:rPr>
                      <w:rFonts w:hint="eastAsia"/>
                      <w:color w:val="auto"/>
                      <w:szCs w:val="21"/>
                      <w:highlight w:val="none"/>
                    </w:rPr>
                    <w:t>厂房封闭隔声等措施；</w:t>
                  </w:r>
                </w:p>
                <w:p w14:paraId="1295A10F">
                  <w:pPr>
                    <w:rPr>
                      <w:color w:val="auto"/>
                      <w:szCs w:val="21"/>
                      <w:highlight w:val="none"/>
                    </w:rPr>
                  </w:pPr>
                  <w:r>
                    <w:rPr>
                      <w:rFonts w:hint="eastAsia" w:ascii="宋体" w:hAnsi="宋体" w:cs="宋体"/>
                      <w:color w:val="auto"/>
                      <w:szCs w:val="21"/>
                      <w:highlight w:val="none"/>
                    </w:rPr>
                    <w:t>④</w:t>
                  </w:r>
                  <w:r>
                    <w:rPr>
                      <w:rFonts w:hint="eastAsia" w:ascii="宋体" w:hAnsi="宋体"/>
                      <w:bCs/>
                      <w:color w:val="auto"/>
                      <w:kern w:val="0"/>
                      <w:szCs w:val="21"/>
                      <w:highlight w:val="none"/>
                    </w:rPr>
                    <w:t>生活垃圾经垃圾桶收集后交由环卫部门处置</w:t>
                  </w:r>
                  <w:r>
                    <w:rPr>
                      <w:color w:val="auto"/>
                      <w:szCs w:val="21"/>
                      <w:highlight w:val="none"/>
                    </w:rPr>
                    <w:t>；废</w:t>
                  </w:r>
                  <w:r>
                    <w:rPr>
                      <w:rFonts w:hint="eastAsia"/>
                      <w:color w:val="auto"/>
                      <w:szCs w:val="21"/>
                      <w:highlight w:val="none"/>
                    </w:rPr>
                    <w:t>润滑油、废油桶、含油手套和棉纱等</w:t>
                  </w:r>
                  <w:r>
                    <w:rPr>
                      <w:color w:val="auto"/>
                      <w:szCs w:val="21"/>
                      <w:highlight w:val="none"/>
                    </w:rPr>
                    <w:t>经专用容器收集后</w:t>
                  </w:r>
                  <w:r>
                    <w:rPr>
                      <w:rFonts w:hint="eastAsia"/>
                      <w:color w:val="auto"/>
                      <w:szCs w:val="21"/>
                      <w:highlight w:val="none"/>
                    </w:rPr>
                    <w:t>，</w:t>
                  </w:r>
                  <w:r>
                    <w:rPr>
                      <w:color w:val="auto"/>
                      <w:szCs w:val="21"/>
                      <w:highlight w:val="none"/>
                    </w:rPr>
                    <w:t>定期交由有资质单位处理；</w:t>
                  </w:r>
                  <w:r>
                    <w:rPr>
                      <w:rFonts w:ascii="Times New Roman" w:hAnsi="Times New Roman"/>
                      <w:szCs w:val="21"/>
                    </w:rPr>
                    <w:t>尾泥</w:t>
                  </w:r>
                  <w:r>
                    <w:rPr>
                      <w:rFonts w:hint="eastAsia"/>
                      <w:color w:val="auto"/>
                      <w:szCs w:val="21"/>
                      <w:highlight w:val="none"/>
                      <w:lang w:val="en-US" w:eastAsia="zh-CN"/>
                    </w:rPr>
                    <w:t>无害化</w:t>
                  </w:r>
                  <w:r>
                    <w:rPr>
                      <w:color w:val="auto"/>
                      <w:szCs w:val="21"/>
                      <w:highlight w:val="none"/>
                    </w:rPr>
                    <w:t>处置</w:t>
                  </w:r>
                </w:p>
              </w:tc>
              <w:tc>
                <w:tcPr>
                  <w:tcW w:w="1880" w:type="dxa"/>
                  <w:vAlign w:val="center"/>
                </w:tcPr>
                <w:p w14:paraId="403DEFB3">
                  <w:pPr>
                    <w:widowControl/>
                    <w:adjustRightInd w:val="0"/>
                    <w:snapToGrid w:val="0"/>
                    <w:rPr>
                      <w:rFonts w:ascii="宋体" w:hAnsi="宋体" w:cs="宋体"/>
                      <w:color w:val="auto"/>
                      <w:highlight w:val="none"/>
                    </w:rPr>
                  </w:pPr>
                  <w:r>
                    <w:rPr>
                      <w:rFonts w:hint="eastAsia" w:ascii="宋体" w:hAnsi="宋体" w:cs="宋体"/>
                      <w:color w:val="auto"/>
                      <w:highlight w:val="none"/>
                    </w:rPr>
                    <w:t>①废气方面：有组织废气采取集气设施+袋式除尘处理后经排气筒排放（变动后，厂区新增</w:t>
                  </w:r>
                  <w:r>
                    <w:rPr>
                      <w:rFonts w:hint="eastAsia"/>
                      <w:color w:val="auto"/>
                      <w:highlight w:val="none"/>
                      <w:lang w:val="en-US" w:eastAsia="zh-CN"/>
                    </w:rPr>
                    <w:t>2</w:t>
                  </w:r>
                  <w:r>
                    <w:rPr>
                      <w:rFonts w:hint="eastAsia" w:ascii="宋体" w:hAnsi="宋体" w:cs="宋体"/>
                      <w:color w:val="auto"/>
                      <w:highlight w:val="none"/>
                    </w:rPr>
                    <w:t>个废气一般排放口）；无组织粉尘采取合理控制装卸料高度、原料</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成品</w:t>
                  </w:r>
                  <w:r>
                    <w:rPr>
                      <w:rFonts w:hint="eastAsia" w:ascii="宋体" w:hAnsi="宋体" w:cs="宋体"/>
                      <w:color w:val="auto"/>
                      <w:highlight w:val="none"/>
                    </w:rPr>
                    <w:t>区进行三面封闭+顶棚处理等；</w:t>
                  </w:r>
                </w:p>
                <w:p w14:paraId="50E9DB95">
                  <w:pPr>
                    <w:widowControl/>
                    <w:adjustRightInd w:val="0"/>
                    <w:snapToGrid w:val="0"/>
                    <w:rPr>
                      <w:color w:val="auto"/>
                      <w:szCs w:val="21"/>
                      <w:highlight w:val="none"/>
                    </w:rPr>
                  </w:pPr>
                  <w:r>
                    <w:rPr>
                      <w:rFonts w:hint="eastAsia" w:ascii="宋体" w:hAnsi="宋体" w:cs="宋体"/>
                      <w:color w:val="auto"/>
                      <w:highlight w:val="none"/>
                    </w:rPr>
                    <w:t>②废水方面：</w:t>
                  </w:r>
                  <w:r>
                    <w:rPr>
                      <w:color w:val="auto"/>
                      <w:szCs w:val="21"/>
                      <w:highlight w:val="none"/>
                    </w:rPr>
                    <w:t>生活污水排入厂区化粪池，处理后用于周边</w:t>
                  </w:r>
                  <w:r>
                    <w:rPr>
                      <w:rFonts w:hint="eastAsia"/>
                      <w:color w:val="auto"/>
                      <w:szCs w:val="21"/>
                      <w:highlight w:val="none"/>
                    </w:rPr>
                    <w:t>农田施肥；</w:t>
                  </w:r>
                  <w:r>
                    <w:rPr>
                      <w:rFonts w:hint="eastAsia"/>
                      <w:color w:val="auto"/>
                      <w:szCs w:val="21"/>
                      <w:highlight w:val="none"/>
                      <w:lang w:val="en-US" w:eastAsia="zh-CN"/>
                    </w:rPr>
                    <w:t>洗砂及</w:t>
                  </w:r>
                  <w:r>
                    <w:rPr>
                      <w:rFonts w:hint="eastAsia"/>
                      <w:color w:val="auto"/>
                      <w:szCs w:val="21"/>
                      <w:highlight w:val="none"/>
                    </w:rPr>
                    <w:t>洗车废水经配套沉淀池处理后回用，不外排</w:t>
                  </w:r>
                </w:p>
                <w:p w14:paraId="0C882B8E">
                  <w:pPr>
                    <w:widowControl/>
                    <w:adjustRightInd w:val="0"/>
                    <w:snapToGrid w:val="0"/>
                    <w:rPr>
                      <w:color w:val="auto"/>
                      <w:szCs w:val="21"/>
                      <w:highlight w:val="none"/>
                    </w:rPr>
                  </w:pPr>
                  <w:r>
                    <w:rPr>
                      <w:rFonts w:hint="eastAsia" w:ascii="宋体" w:hAnsi="宋体" w:cs="宋体"/>
                      <w:color w:val="auto"/>
                      <w:szCs w:val="21"/>
                      <w:highlight w:val="none"/>
                    </w:rPr>
                    <w:t>③噪声方面：</w:t>
                  </w:r>
                  <w:r>
                    <w:rPr>
                      <w:color w:val="auto"/>
                      <w:szCs w:val="21"/>
                      <w:highlight w:val="none"/>
                    </w:rPr>
                    <w:t>采用低噪声设备，</w:t>
                  </w:r>
                  <w:r>
                    <w:rPr>
                      <w:rFonts w:hint="eastAsia"/>
                      <w:color w:val="auto"/>
                      <w:szCs w:val="21"/>
                      <w:highlight w:val="none"/>
                    </w:rPr>
                    <w:t>并</w:t>
                  </w:r>
                  <w:r>
                    <w:rPr>
                      <w:color w:val="auto"/>
                      <w:szCs w:val="21"/>
                      <w:highlight w:val="none"/>
                    </w:rPr>
                    <w:t>合理安排运行时间，</w:t>
                  </w:r>
                  <w:r>
                    <w:rPr>
                      <w:rFonts w:hint="eastAsia"/>
                      <w:color w:val="auto"/>
                      <w:szCs w:val="21"/>
                      <w:highlight w:val="none"/>
                    </w:rPr>
                    <w:t>厂房封闭隔声等措施</w:t>
                  </w:r>
                </w:p>
                <w:p w14:paraId="2C9421F7">
                  <w:pPr>
                    <w:widowControl/>
                    <w:adjustRightInd w:val="0"/>
                    <w:snapToGrid w:val="0"/>
                    <w:rPr>
                      <w:rFonts w:ascii="宋体" w:hAnsi="宋体" w:cs="宋体"/>
                      <w:color w:val="auto"/>
                      <w:highlight w:val="none"/>
                    </w:rPr>
                  </w:pPr>
                  <w:r>
                    <w:rPr>
                      <w:rFonts w:hint="eastAsia" w:ascii="宋体" w:hAnsi="宋体" w:cs="宋体"/>
                      <w:color w:val="auto"/>
                      <w:szCs w:val="21"/>
                      <w:highlight w:val="none"/>
                    </w:rPr>
                    <w:t>④</w:t>
                  </w:r>
                  <w:r>
                    <w:rPr>
                      <w:rFonts w:hint="eastAsia" w:ascii="宋体" w:hAnsi="宋体"/>
                      <w:bCs/>
                      <w:color w:val="auto"/>
                      <w:kern w:val="0"/>
                      <w:szCs w:val="21"/>
                      <w:highlight w:val="none"/>
                    </w:rPr>
                    <w:t>生活垃圾经垃圾桶收集后交由环卫部门处置</w:t>
                  </w:r>
                  <w:r>
                    <w:rPr>
                      <w:color w:val="auto"/>
                      <w:szCs w:val="21"/>
                      <w:highlight w:val="none"/>
                    </w:rPr>
                    <w:t>；</w:t>
                  </w:r>
                  <w:r>
                    <w:rPr>
                      <w:rFonts w:hint="eastAsia" w:ascii="宋体" w:hAnsi="宋体"/>
                      <w:bCs/>
                      <w:color w:val="auto"/>
                      <w:kern w:val="0"/>
                      <w:szCs w:val="21"/>
                      <w:highlight w:val="none"/>
                    </w:rPr>
                    <w:t>收集尘</w:t>
                  </w:r>
                  <w:r>
                    <w:rPr>
                      <w:rFonts w:hint="eastAsia" w:ascii="宋体" w:hAnsi="宋体"/>
                      <w:bCs/>
                      <w:color w:val="auto"/>
                      <w:kern w:val="0"/>
                      <w:szCs w:val="21"/>
                      <w:highlight w:val="none"/>
                      <w:lang w:val="en-US" w:eastAsia="zh-CN"/>
                    </w:rPr>
                    <w:t>回用；</w:t>
                  </w:r>
                  <w:r>
                    <w:rPr>
                      <w:color w:val="auto"/>
                      <w:szCs w:val="21"/>
                      <w:highlight w:val="none"/>
                    </w:rPr>
                    <w:t>废</w:t>
                  </w:r>
                  <w:r>
                    <w:rPr>
                      <w:rFonts w:hint="eastAsia"/>
                      <w:color w:val="auto"/>
                      <w:szCs w:val="21"/>
                      <w:highlight w:val="none"/>
                    </w:rPr>
                    <w:t>润滑油、废油桶、含油手套和棉纱等</w:t>
                  </w:r>
                  <w:r>
                    <w:rPr>
                      <w:color w:val="auto"/>
                      <w:szCs w:val="21"/>
                      <w:highlight w:val="none"/>
                    </w:rPr>
                    <w:t>经专用容器收集后</w:t>
                  </w:r>
                  <w:r>
                    <w:rPr>
                      <w:rFonts w:hint="eastAsia"/>
                      <w:color w:val="auto"/>
                      <w:szCs w:val="21"/>
                      <w:highlight w:val="none"/>
                    </w:rPr>
                    <w:t>，</w:t>
                  </w:r>
                  <w:r>
                    <w:rPr>
                      <w:color w:val="auto"/>
                      <w:szCs w:val="21"/>
                      <w:highlight w:val="none"/>
                    </w:rPr>
                    <w:t>定期交由有资质单位处理；</w:t>
                  </w:r>
                  <w:r>
                    <w:rPr>
                      <w:rFonts w:hint="eastAsia"/>
                      <w:color w:val="auto"/>
                      <w:szCs w:val="21"/>
                      <w:highlight w:val="none"/>
                      <w:lang w:val="en-US" w:eastAsia="zh-CN"/>
                    </w:rPr>
                    <w:t>泥饼外运综合利用</w:t>
                  </w:r>
                  <w:r>
                    <w:rPr>
                      <w:rFonts w:hint="eastAsia"/>
                      <w:color w:val="auto"/>
                      <w:szCs w:val="21"/>
                      <w:highlight w:val="none"/>
                    </w:rPr>
                    <w:t>；</w:t>
                  </w:r>
                  <w:r>
                    <w:rPr>
                      <w:color w:val="auto"/>
                      <w:szCs w:val="21"/>
                      <w:highlight w:val="none"/>
                    </w:rPr>
                    <w:t>废编织袋交由当地废品回收站处置</w:t>
                  </w:r>
                  <w:r>
                    <w:rPr>
                      <w:rFonts w:hint="eastAsia"/>
                      <w:color w:val="auto"/>
                      <w:szCs w:val="21"/>
                      <w:highlight w:val="none"/>
                    </w:rPr>
                    <w:t>。</w:t>
                  </w:r>
                </w:p>
              </w:tc>
              <w:tc>
                <w:tcPr>
                  <w:tcW w:w="1416" w:type="dxa"/>
                  <w:vAlign w:val="center"/>
                </w:tcPr>
                <w:p w14:paraId="130CA6F3">
                  <w:pPr>
                    <w:widowControl/>
                    <w:adjustRightInd w:val="0"/>
                    <w:snapToGrid w:val="0"/>
                    <w:jc w:val="left"/>
                    <w:rPr>
                      <w:color w:val="auto"/>
                      <w:highlight w:val="none"/>
                    </w:rPr>
                  </w:pPr>
                  <w:r>
                    <w:rPr>
                      <w:rFonts w:hint="eastAsia"/>
                      <w:color w:val="auto"/>
                      <w:highlight w:val="none"/>
                      <w:lang w:eastAsia="zh-CN"/>
                    </w:rPr>
                    <w:t>结合</w:t>
                  </w:r>
                  <w:r>
                    <w:rPr>
                      <w:rFonts w:hint="eastAsia"/>
                      <w:color w:val="auto"/>
                      <w:highlight w:val="none"/>
                      <w:lang w:val="en-US" w:eastAsia="zh-CN"/>
                    </w:rPr>
                    <w:t>本次</w:t>
                  </w:r>
                  <w:r>
                    <w:rPr>
                      <w:rFonts w:hint="eastAsia"/>
                      <w:color w:val="auto"/>
                      <w:highlight w:val="none"/>
                      <w:lang w:eastAsia="zh-CN"/>
                    </w:rPr>
                    <w:t>工程可知，本次变动涉及新增废气一般排放口</w:t>
                  </w:r>
                  <w:r>
                    <w:rPr>
                      <w:rFonts w:hint="eastAsia"/>
                      <w:color w:val="auto"/>
                      <w:highlight w:val="none"/>
                      <w:lang w:val="en-US" w:eastAsia="zh-CN"/>
                    </w:rPr>
                    <w:t>两</w:t>
                  </w:r>
                  <w:r>
                    <w:rPr>
                      <w:rFonts w:hint="eastAsia"/>
                      <w:color w:val="auto"/>
                      <w:highlight w:val="none"/>
                      <w:lang w:eastAsia="zh-CN"/>
                    </w:rPr>
                    <w:t>个，</w:t>
                  </w:r>
                  <w:r>
                    <w:rPr>
                      <w:rFonts w:hint="eastAsia"/>
                      <w:color w:val="auto"/>
                      <w:highlight w:val="none"/>
                    </w:rPr>
                    <w:t>大气污染物无组织排放量增加10%以上。</w:t>
                  </w:r>
                </w:p>
                <w:p w14:paraId="3274B1E2">
                  <w:pPr>
                    <w:widowControl/>
                    <w:adjustRightInd w:val="0"/>
                    <w:snapToGrid w:val="0"/>
                    <w:rPr>
                      <w:color w:val="auto"/>
                      <w:highlight w:val="none"/>
                    </w:rPr>
                  </w:pPr>
                  <w:r>
                    <w:rPr>
                      <w:rFonts w:hint="eastAsia"/>
                      <w:color w:val="auto"/>
                      <w:highlight w:val="none"/>
                      <w:lang w:eastAsia="zh-CN"/>
                    </w:rPr>
                    <w:t>剩余左侧情形均不涉及</w:t>
                  </w:r>
                  <w:r>
                    <w:rPr>
                      <w:rFonts w:hint="eastAsia"/>
                      <w:color w:val="auto"/>
                      <w:highlight w:val="none"/>
                    </w:rPr>
                    <w:t>。</w:t>
                  </w:r>
                </w:p>
              </w:tc>
              <w:tc>
                <w:tcPr>
                  <w:tcW w:w="1083" w:type="dxa"/>
                  <w:vAlign w:val="center"/>
                </w:tcPr>
                <w:p w14:paraId="1F2CAB84">
                  <w:pPr>
                    <w:widowControl/>
                    <w:adjustRightInd w:val="0"/>
                    <w:snapToGrid w:val="0"/>
                    <w:jc w:val="center"/>
                    <w:rPr>
                      <w:rFonts w:hint="eastAsia" w:eastAsia="宋体"/>
                      <w:color w:val="auto"/>
                      <w:highlight w:val="none"/>
                      <w:lang w:eastAsia="zh-CN"/>
                    </w:rPr>
                  </w:pPr>
                  <w:r>
                    <w:rPr>
                      <w:rFonts w:hint="eastAsia"/>
                      <w:color w:val="auto"/>
                      <w:highlight w:val="none"/>
                      <w:lang w:val="en-US" w:eastAsia="zh-CN"/>
                    </w:rPr>
                    <w:t>是</w:t>
                  </w:r>
                </w:p>
              </w:tc>
            </w:tr>
          </w:tbl>
          <w:p w14:paraId="344CBA94">
            <w:pPr>
              <w:spacing w:line="360" w:lineRule="auto"/>
              <w:ind w:firstLine="480" w:firstLineChars="200"/>
              <w:rPr>
                <w:b/>
                <w:bCs/>
                <w:color w:val="auto"/>
                <w:sz w:val="24"/>
                <w:highlight w:val="none"/>
              </w:rPr>
            </w:pPr>
            <w:r>
              <w:rPr>
                <w:rFonts w:hint="eastAsia"/>
                <w:color w:val="auto"/>
                <w:sz w:val="24"/>
                <w:highlight w:val="none"/>
              </w:rPr>
              <w:t>综上，本项目</w:t>
            </w:r>
            <w:r>
              <w:rPr>
                <w:rFonts w:hint="eastAsia"/>
                <w:color w:val="auto"/>
                <w:sz w:val="24"/>
                <w:highlight w:val="none"/>
                <w:lang w:eastAsia="zh-CN"/>
              </w:rPr>
              <w:t>属于</w:t>
            </w:r>
            <w:r>
              <w:rPr>
                <w:rFonts w:hint="eastAsia"/>
                <w:color w:val="auto"/>
                <w:sz w:val="24"/>
                <w:highlight w:val="none"/>
              </w:rPr>
              <w:t>重大变动，</w:t>
            </w:r>
            <w:r>
              <w:rPr>
                <w:rFonts w:hint="eastAsia" w:ascii="Times New Roman" w:hAnsi="Times New Roman" w:cs="Times New Roman"/>
                <w:color w:val="auto"/>
                <w:kern w:val="2"/>
                <w:sz w:val="24"/>
                <w:szCs w:val="32"/>
                <w:highlight w:val="none"/>
                <w:lang w:val="en-US" w:eastAsia="zh-CN" w:bidi="ar-SA"/>
              </w:rPr>
              <w:t>本次项目建成后替代原有项目，故</w:t>
            </w:r>
            <w:r>
              <w:rPr>
                <w:rFonts w:hint="default" w:ascii="Times New Roman" w:hAnsi="Times New Roman" w:cs="Times New Roman"/>
                <w:sz w:val="24"/>
                <w:lang w:val="en-US" w:eastAsia="zh-CN"/>
              </w:rPr>
              <w:t>本次对</w:t>
            </w:r>
            <w:r>
              <w:rPr>
                <w:rFonts w:hint="eastAsia" w:ascii="Times New Roman" w:hAnsi="Times New Roman" w:cs="Times New Roman"/>
                <w:sz w:val="24"/>
                <w:lang w:val="en-US" w:eastAsia="zh-CN"/>
              </w:rPr>
              <w:t>变动</w:t>
            </w:r>
            <w:r>
              <w:rPr>
                <w:rFonts w:hint="default" w:ascii="Times New Roman" w:hAnsi="Times New Roman" w:cs="Times New Roman"/>
                <w:sz w:val="24"/>
                <w:lang w:val="en-US" w:eastAsia="zh-CN"/>
              </w:rPr>
              <w:t>后的项目整体工程进行评价</w:t>
            </w:r>
            <w:r>
              <w:rPr>
                <w:rFonts w:hint="eastAsia" w:ascii="Times New Roman" w:hAnsi="Times New Roman" w:cs="Times New Roman"/>
                <w:sz w:val="24"/>
                <w:lang w:val="en-US" w:eastAsia="zh-CN"/>
              </w:rPr>
              <w:t>并</w:t>
            </w:r>
            <w:r>
              <w:rPr>
                <w:rFonts w:hint="default" w:ascii="Times New Roman" w:hAnsi="Times New Roman" w:cs="Times New Roman"/>
                <w:sz w:val="24"/>
                <w:lang w:val="en-US" w:eastAsia="zh-CN"/>
              </w:rPr>
              <w:t>重新报批。</w:t>
            </w:r>
          </w:p>
          <w:p w14:paraId="4CCA80A8">
            <w:pPr>
              <w:spacing w:line="360" w:lineRule="auto"/>
              <w:ind w:firstLine="482" w:firstLineChars="200"/>
              <w:rPr>
                <w:rFonts w:hint="default" w:ascii="Times New Roman" w:hAnsi="Times New Roman" w:cs="Times New Roman"/>
                <w:b/>
                <w:bCs/>
                <w:color w:val="auto"/>
                <w:sz w:val="24"/>
                <w:szCs w:val="32"/>
                <w:highlight w:val="none"/>
              </w:rPr>
            </w:pPr>
            <w:r>
              <w:rPr>
                <w:rFonts w:hint="eastAsia" w:cs="Times New Roman"/>
                <w:b/>
                <w:bCs/>
                <w:color w:val="auto"/>
                <w:sz w:val="24"/>
                <w:szCs w:val="32"/>
                <w:highlight w:val="none"/>
                <w:lang w:val="en-US" w:eastAsia="zh-CN"/>
              </w:rPr>
              <w:t>3</w:t>
            </w:r>
            <w:r>
              <w:rPr>
                <w:rFonts w:hint="default" w:ascii="Times New Roman" w:hAnsi="Times New Roman" w:cs="Times New Roman"/>
                <w:b/>
                <w:bCs/>
                <w:color w:val="auto"/>
                <w:sz w:val="24"/>
                <w:szCs w:val="32"/>
                <w:highlight w:val="none"/>
              </w:rPr>
              <w:t>、项目组成</w:t>
            </w:r>
          </w:p>
          <w:p w14:paraId="6F760581">
            <w:pPr>
              <w:snapToGrid w:val="0"/>
              <w:spacing w:line="360" w:lineRule="auto"/>
              <w:ind w:firstLine="480" w:firstLineChars="200"/>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color w:val="auto"/>
                <w:sz w:val="24"/>
                <w:szCs w:val="32"/>
                <w:highlight w:val="none"/>
              </w:rPr>
              <w:t>结合租赁合同可知，厂区总占地</w:t>
            </w:r>
            <w:r>
              <w:rPr>
                <w:rFonts w:hint="eastAsia" w:cs="Times New Roman"/>
                <w:color w:val="auto"/>
                <w:sz w:val="24"/>
                <w:szCs w:val="32"/>
                <w:highlight w:val="none"/>
                <w:lang w:val="en-US" w:eastAsia="zh-CN"/>
              </w:rPr>
              <w:t>约</w:t>
            </w:r>
            <w:r>
              <w:rPr>
                <w:rFonts w:hint="default" w:ascii="Times New Roman" w:hAnsi="Times New Roman" w:eastAsia="宋体" w:cs="Times New Roman"/>
                <w:color w:val="auto"/>
                <w:sz w:val="24"/>
                <w:szCs w:val="32"/>
                <w:highlight w:val="none"/>
                <w:lang w:val="en-US" w:eastAsia="zh-CN"/>
              </w:rPr>
              <w:t>1</w:t>
            </w:r>
            <w:r>
              <w:rPr>
                <w:rFonts w:hint="default" w:ascii="Times New Roman" w:hAnsi="Times New Roman" w:cs="Times New Roman"/>
                <w:color w:val="auto"/>
                <w:sz w:val="24"/>
                <w:szCs w:val="32"/>
                <w:highlight w:val="none"/>
                <w:lang w:val="en-US" w:eastAsia="zh-CN"/>
              </w:rPr>
              <w:t>34.74</w:t>
            </w:r>
            <w:r>
              <w:rPr>
                <w:rFonts w:hint="default" w:ascii="Times New Roman" w:hAnsi="Times New Roman" w:eastAsia="宋体" w:cs="Times New Roman"/>
                <w:color w:val="auto"/>
                <w:sz w:val="24"/>
                <w:szCs w:val="32"/>
                <w:highlight w:val="none"/>
              </w:rPr>
              <w:t>亩（约合</w:t>
            </w:r>
            <w:r>
              <w:rPr>
                <w:rFonts w:hint="default" w:ascii="Times New Roman" w:hAnsi="Times New Roman" w:cs="Times New Roman"/>
                <w:color w:val="auto"/>
                <w:sz w:val="24"/>
                <w:szCs w:val="32"/>
                <w:highlight w:val="none"/>
                <w:lang w:val="en-US" w:eastAsia="zh-CN"/>
              </w:rPr>
              <w:t>89831</w:t>
            </w:r>
            <w:r>
              <w:rPr>
                <w:rFonts w:hint="default" w:ascii="Times New Roman" w:hAnsi="Times New Roman" w:eastAsia="宋体" w:cs="Times New Roman"/>
                <w:color w:val="auto"/>
                <w:sz w:val="24"/>
                <w:szCs w:val="32"/>
                <w:highlight w:val="none"/>
                <w:lang w:val="en-US" w:eastAsia="zh-CN"/>
              </w:rPr>
              <w:t xml:space="preserve"> </w:t>
            </w:r>
            <w:r>
              <w:rPr>
                <w:rFonts w:hint="default" w:ascii="Times New Roman" w:hAnsi="Times New Roman" w:eastAsia="宋体" w:cs="Times New Roman"/>
                <w:color w:val="auto"/>
                <w:sz w:val="24"/>
                <w:szCs w:val="32"/>
                <w:highlight w:val="none"/>
              </w:rPr>
              <w:t>m</w:t>
            </w:r>
            <w:r>
              <w:rPr>
                <w:rFonts w:hint="default" w:ascii="Times New Roman" w:hAnsi="Times New Roman" w:eastAsia="宋体" w:cs="Times New Roman"/>
                <w:color w:val="auto"/>
                <w:sz w:val="24"/>
                <w:szCs w:val="32"/>
                <w:highlight w:val="none"/>
                <w:vertAlign w:val="superscript"/>
              </w:rPr>
              <w:t>2</w:t>
            </w:r>
            <w:r>
              <w:rPr>
                <w:rFonts w:hint="default" w:ascii="Times New Roman" w:hAnsi="Times New Roman" w:eastAsia="宋体" w:cs="Times New Roman"/>
                <w:color w:val="auto"/>
                <w:sz w:val="24"/>
                <w:szCs w:val="32"/>
                <w:highlight w:val="none"/>
              </w:rPr>
              <w:t>），考虑到市场变动和企业长远发展，本次计划在原有厂区内</w:t>
            </w:r>
            <w:r>
              <w:rPr>
                <w:rFonts w:hint="default" w:ascii="Times New Roman" w:hAnsi="Times New Roman" w:eastAsia="宋体" w:cs="Times New Roman"/>
                <w:color w:val="auto"/>
                <w:sz w:val="24"/>
                <w:szCs w:val="32"/>
                <w:highlight w:val="none"/>
                <w:lang w:val="en-US" w:eastAsia="zh-CN"/>
              </w:rPr>
              <w:t>建设</w:t>
            </w:r>
            <w:r>
              <w:rPr>
                <w:rFonts w:hint="default" w:ascii="Times New Roman" w:hAnsi="Times New Roman" w:eastAsia="宋体" w:cs="Times New Roman"/>
                <w:color w:val="auto"/>
                <w:sz w:val="24"/>
                <w:szCs w:val="32"/>
                <w:highlight w:val="none"/>
                <w:lang w:eastAsia="zh-CN"/>
              </w:rPr>
              <w:t>骨料碎石及水洗（机制）沙、超细改性粉体、彩砂、特种干混砂浆</w:t>
            </w:r>
            <w:r>
              <w:rPr>
                <w:rFonts w:hint="default" w:ascii="Times New Roman" w:hAnsi="Times New Roman" w:eastAsia="宋体" w:cs="Times New Roman"/>
                <w:color w:val="auto"/>
                <w:sz w:val="24"/>
                <w:szCs w:val="32"/>
                <w:highlight w:val="none"/>
                <w:lang w:val="en-US" w:eastAsia="zh-CN"/>
              </w:rPr>
              <w:t>生产线</w:t>
            </w:r>
            <w:r>
              <w:rPr>
                <w:rFonts w:hint="default" w:ascii="Times New Roman" w:hAnsi="Times New Roman" w:eastAsia="宋体" w:cs="Times New Roman"/>
                <w:color w:val="auto"/>
                <w:sz w:val="24"/>
                <w:szCs w:val="32"/>
                <w:highlight w:val="none"/>
              </w:rPr>
              <w:t>各一条。</w:t>
            </w:r>
            <w:r>
              <w:rPr>
                <w:rFonts w:hint="default" w:ascii="Times New Roman" w:hAnsi="Times New Roman" w:cs="Times New Roman"/>
                <w:color w:val="auto"/>
                <w:sz w:val="24"/>
                <w:szCs w:val="32"/>
                <w:highlight w:val="none"/>
                <w:lang w:val="en-US" w:eastAsia="zh-CN"/>
              </w:rPr>
              <w:t>项目</w:t>
            </w:r>
            <w:r>
              <w:rPr>
                <w:rFonts w:hint="default" w:ascii="Times New Roman" w:hAnsi="Times New Roman" w:cs="Times New Roman"/>
                <w:color w:val="auto"/>
                <w:sz w:val="24"/>
                <w:szCs w:val="32"/>
                <w:highlight w:val="none"/>
              </w:rPr>
              <w:t>具体组成及建设内容详见表2-</w:t>
            </w:r>
            <w:r>
              <w:rPr>
                <w:rFonts w:hint="eastAsia" w:cs="Times New Roman"/>
                <w:color w:val="auto"/>
                <w:sz w:val="24"/>
                <w:szCs w:val="32"/>
                <w:highlight w:val="none"/>
                <w:lang w:val="en-US" w:eastAsia="zh-CN"/>
              </w:rPr>
              <w:t>2</w:t>
            </w:r>
            <w:r>
              <w:rPr>
                <w:rFonts w:hint="default" w:ascii="Times New Roman" w:hAnsi="Times New Roman" w:cs="Times New Roman"/>
                <w:color w:val="auto"/>
                <w:sz w:val="24"/>
                <w:szCs w:val="32"/>
                <w:highlight w:val="none"/>
                <w:lang w:eastAsia="zh-CN"/>
              </w:rPr>
              <w:t>。</w:t>
            </w:r>
          </w:p>
          <w:p w14:paraId="06C8FC9C">
            <w:pPr>
              <w:pStyle w:val="46"/>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kern w:val="2"/>
                <w:sz w:val="21"/>
                <w:szCs w:val="21"/>
                <w:highlight w:val="none"/>
              </w:rPr>
              <w:t>2-</w:t>
            </w:r>
            <w:r>
              <w:rPr>
                <w:rFonts w:hint="eastAsia" w:ascii="Times New Roman" w:cs="Times New Roman"/>
                <w:b/>
                <w:bCs/>
                <w:color w:val="auto"/>
                <w:kern w:val="2"/>
                <w:sz w:val="21"/>
                <w:szCs w:val="21"/>
                <w:highlight w:val="none"/>
                <w:lang w:val="en-US" w:eastAsia="zh-CN"/>
              </w:rPr>
              <w:t>2</w:t>
            </w:r>
            <w:r>
              <w:rPr>
                <w:rFonts w:hint="default" w:ascii="Times New Roman" w:hAnsi="Times New Roman" w:cs="Times New Roman"/>
                <w:b/>
                <w:bCs/>
                <w:color w:val="auto"/>
                <w:kern w:val="2"/>
                <w:sz w:val="21"/>
                <w:szCs w:val="21"/>
                <w:highlight w:val="none"/>
              </w:rPr>
              <w:t xml:space="preserve"> </w:t>
            </w:r>
            <w:r>
              <w:rPr>
                <w:rFonts w:hint="default" w:ascii="Times New Roman" w:hAnsi="Times New Roman" w:cs="Times New Roman"/>
                <w:b/>
                <w:bCs/>
                <w:color w:val="auto"/>
                <w:sz w:val="21"/>
                <w:szCs w:val="21"/>
                <w:highlight w:val="none"/>
              </w:rPr>
              <w:t xml:space="preserve"> 项目建设内容一览表</w:t>
            </w:r>
          </w:p>
          <w:tbl>
            <w:tblPr>
              <w:tblStyle w:val="32"/>
              <w:tblW w:w="84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983"/>
              <w:gridCol w:w="5367"/>
              <w:gridCol w:w="1318"/>
            </w:tblGrid>
            <w:tr w14:paraId="28031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49" w:type="dxa"/>
                  <w:gridSpan w:val="2"/>
                  <w:tcBorders>
                    <w:right w:val="single" w:color="auto" w:sz="4" w:space="0"/>
                    <w:tl2br w:val="nil"/>
                    <w:tr2bl w:val="nil"/>
                  </w:tcBorders>
                  <w:vAlign w:val="center"/>
                </w:tcPr>
                <w:p w14:paraId="7337C6F1">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名称</w:t>
                  </w:r>
                </w:p>
              </w:tc>
              <w:tc>
                <w:tcPr>
                  <w:tcW w:w="5367" w:type="dxa"/>
                  <w:tcBorders>
                    <w:left w:val="single" w:color="auto" w:sz="4" w:space="0"/>
                    <w:tl2br w:val="nil"/>
                    <w:tr2bl w:val="nil"/>
                  </w:tcBorders>
                  <w:vAlign w:val="center"/>
                </w:tcPr>
                <w:p w14:paraId="43B273E0">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建设内容</w:t>
                  </w:r>
                </w:p>
              </w:tc>
              <w:tc>
                <w:tcPr>
                  <w:tcW w:w="1318" w:type="dxa"/>
                  <w:tcBorders>
                    <w:tl2br w:val="nil"/>
                    <w:tr2bl w:val="nil"/>
                  </w:tcBorders>
                  <w:vAlign w:val="center"/>
                </w:tcPr>
                <w:p w14:paraId="2A4E3CBB">
                  <w:pPr>
                    <w:pStyle w:val="103"/>
                    <w:snapToGrid w:val="0"/>
                    <w:rPr>
                      <w:rFonts w:hint="default" w:ascii="Times New Roman" w:hAnsi="Times New Roman" w:eastAsia="宋体" w:cs="Times New Roman"/>
                      <w:color w:val="auto"/>
                      <w:kern w:val="2"/>
                      <w:sz w:val="21"/>
                      <w:highlight w:val="none"/>
                      <w:lang w:eastAsia="zh-CN"/>
                    </w:rPr>
                  </w:pPr>
                  <w:r>
                    <w:rPr>
                      <w:rFonts w:hint="default" w:ascii="Times New Roman" w:hAnsi="Times New Roman" w:cs="Times New Roman"/>
                      <w:color w:val="auto"/>
                      <w:kern w:val="2"/>
                      <w:sz w:val="21"/>
                      <w:highlight w:val="none"/>
                      <w:lang w:val="en-US" w:eastAsia="zh-CN"/>
                    </w:rPr>
                    <w:t>备注</w:t>
                  </w:r>
                </w:p>
              </w:tc>
            </w:tr>
            <w:tr w14:paraId="288020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tcBorders>
                    <w:tl2br w:val="nil"/>
                    <w:tr2bl w:val="nil"/>
                  </w:tcBorders>
                  <w:vAlign w:val="center"/>
                </w:tcPr>
                <w:p w14:paraId="48BAB217">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主体</w:t>
                  </w:r>
                </w:p>
                <w:p w14:paraId="7C8AFB11">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工程</w:t>
                  </w:r>
                </w:p>
              </w:tc>
              <w:tc>
                <w:tcPr>
                  <w:tcW w:w="983" w:type="dxa"/>
                  <w:tcBorders>
                    <w:right w:val="single" w:color="auto" w:sz="4" w:space="0"/>
                    <w:tl2br w:val="nil"/>
                    <w:tr2bl w:val="nil"/>
                  </w:tcBorders>
                  <w:vAlign w:val="center"/>
                </w:tcPr>
                <w:p w14:paraId="501B641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w:t>
                  </w:r>
                </w:p>
                <w:p w14:paraId="0EC6568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车间</w:t>
                  </w:r>
                </w:p>
              </w:tc>
              <w:tc>
                <w:tcPr>
                  <w:tcW w:w="5367" w:type="dxa"/>
                  <w:tcBorders>
                    <w:left w:val="single" w:color="auto" w:sz="4" w:space="0"/>
                    <w:tl2br w:val="nil"/>
                    <w:tr2bl w:val="nil"/>
                  </w:tcBorders>
                  <w:vAlign w:val="center"/>
                </w:tcPr>
                <w:p w14:paraId="24E42833">
                  <w:pPr>
                    <w:pStyle w:val="8"/>
                    <w:ind w:firstLine="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各产品</w:t>
                  </w:r>
                  <w:r>
                    <w:rPr>
                      <w:rFonts w:hint="default" w:ascii="Times New Roman" w:hAnsi="Times New Roman" w:cs="Times New Roman"/>
                      <w:color w:val="auto"/>
                      <w:sz w:val="21"/>
                      <w:szCs w:val="21"/>
                      <w:highlight w:val="none"/>
                    </w:rPr>
                    <w:t>生产车间位于厂区</w:t>
                  </w:r>
                  <w:r>
                    <w:rPr>
                      <w:rFonts w:hint="default" w:ascii="Times New Roman" w:hAnsi="Times New Roman" w:cs="Times New Roman"/>
                      <w:color w:val="auto"/>
                      <w:sz w:val="21"/>
                      <w:szCs w:val="21"/>
                      <w:highlight w:val="none"/>
                      <w:lang w:val="en-US" w:eastAsia="zh-CN"/>
                    </w:rPr>
                    <w:t>中部</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封闭式厂房（仅保留出入口），</w:t>
                  </w:r>
                  <w:r>
                    <w:rPr>
                      <w:rFonts w:hint="default" w:ascii="Times New Roman" w:hAnsi="Times New Roman" w:cs="Times New Roman"/>
                      <w:color w:val="auto"/>
                      <w:sz w:val="21"/>
                      <w:szCs w:val="21"/>
                      <w:highlight w:val="none"/>
                    </w:rPr>
                    <w:t>彩钢结构。</w:t>
                  </w:r>
                </w:p>
                <w:p w14:paraId="4E5B8973">
                  <w:pPr>
                    <w:pStyle w:val="8"/>
                    <w:ind w:firstLine="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eastAsia="zh-CN"/>
                    </w:rPr>
                    <w:t>骨料碎石及水洗（机制）沙</w:t>
                  </w:r>
                  <w:r>
                    <w:rPr>
                      <w:rFonts w:hint="default" w:ascii="Times New Roman" w:hAnsi="Times New Roman" w:eastAsia="宋体" w:cs="Times New Roman"/>
                      <w:color w:val="auto"/>
                      <w:sz w:val="21"/>
                      <w:szCs w:val="21"/>
                      <w:highlight w:val="none"/>
                      <w:lang w:val="en-US" w:eastAsia="zh-CN"/>
                    </w:rPr>
                    <w:t>生产车间占地面积约</w:t>
                  </w: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 xml:space="preserve">00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位于厂区中部西侧，</w:t>
                  </w:r>
                  <w:r>
                    <w:rPr>
                      <w:rFonts w:hint="default" w:ascii="Times New Roman" w:hAnsi="Times New Roman" w:eastAsia="宋体" w:cs="Times New Roman"/>
                      <w:color w:val="auto"/>
                      <w:sz w:val="21"/>
                      <w:szCs w:val="21"/>
                      <w:highlight w:val="none"/>
                    </w:rPr>
                    <w:t>配备给料机、破碎机、制砂机</w:t>
                  </w:r>
                  <w:r>
                    <w:rPr>
                      <w:rFonts w:hint="default" w:ascii="Times New Roman" w:hAnsi="Times New Roman" w:eastAsia="宋体" w:cs="Times New Roman"/>
                      <w:color w:val="auto"/>
                      <w:sz w:val="21"/>
                      <w:szCs w:val="21"/>
                      <w:highlight w:val="none"/>
                      <w:lang w:val="en-US" w:eastAsia="zh-CN"/>
                    </w:rPr>
                    <w:t>等设备；</w:t>
                  </w:r>
                </w:p>
                <w:p w14:paraId="1F43F6BE">
                  <w:pPr>
                    <w:pStyle w:val="8"/>
                    <w:ind w:firstLine="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default" w:ascii="Times New Roman" w:hAnsi="Times New Roman" w:cs="Times New Roman"/>
                      <w:color w:val="auto"/>
                      <w:sz w:val="21"/>
                      <w:szCs w:val="21"/>
                      <w:highlight w:val="none"/>
                    </w:rPr>
                    <w:t>彩砂生产线</w:t>
                  </w:r>
                  <w:r>
                    <w:rPr>
                      <w:rFonts w:hint="default" w:ascii="Times New Roman" w:hAnsi="Times New Roman" w:cs="Times New Roman"/>
                      <w:color w:val="auto"/>
                      <w:sz w:val="21"/>
                      <w:szCs w:val="21"/>
                      <w:highlight w:val="none"/>
                      <w:lang w:val="en-US" w:eastAsia="zh-CN"/>
                    </w:rPr>
                    <w:t>位于砂石骨料生产线东侧，</w:t>
                  </w:r>
                  <w:r>
                    <w:rPr>
                      <w:rFonts w:hint="default" w:ascii="Times New Roman" w:hAnsi="Times New Roman" w:eastAsia="宋体" w:cs="Times New Roman"/>
                      <w:color w:val="auto"/>
                      <w:sz w:val="21"/>
                      <w:szCs w:val="21"/>
                      <w:highlight w:val="none"/>
                      <w:lang w:val="en-US" w:eastAsia="zh-CN"/>
                    </w:rPr>
                    <w:t>占地面积约</w:t>
                  </w:r>
                  <w:r>
                    <w:rPr>
                      <w:rFonts w:hint="eastAsia"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配备</w:t>
                  </w:r>
                  <w:r>
                    <w:rPr>
                      <w:rFonts w:hint="eastAsia" w:cs="Times New Roman"/>
                      <w:color w:val="auto"/>
                      <w:sz w:val="21"/>
                      <w:szCs w:val="21"/>
                      <w:highlight w:val="none"/>
                      <w:lang w:val="en-US" w:eastAsia="zh-CN"/>
                    </w:rPr>
                    <w:t>制砂机、</w:t>
                  </w:r>
                  <w:r>
                    <w:rPr>
                      <w:rFonts w:hint="default" w:ascii="Times New Roman" w:hAnsi="Times New Roman" w:cs="Times New Roman"/>
                      <w:color w:val="auto"/>
                      <w:sz w:val="21"/>
                      <w:szCs w:val="21"/>
                      <w:highlight w:val="none"/>
                    </w:rPr>
                    <w:t>雷蒙</w:t>
                  </w:r>
                  <w:r>
                    <w:rPr>
                      <w:rFonts w:hint="eastAsia" w:cs="Times New Roman"/>
                      <w:color w:val="auto"/>
                      <w:sz w:val="21"/>
                      <w:szCs w:val="21"/>
                      <w:highlight w:val="none"/>
                      <w:lang w:val="en-US" w:eastAsia="zh-CN"/>
                    </w:rPr>
                    <w:t>磨</w:t>
                  </w:r>
                  <w:r>
                    <w:rPr>
                      <w:rFonts w:hint="default" w:ascii="Times New Roman" w:hAnsi="Times New Roman" w:cs="Times New Roman"/>
                      <w:color w:val="auto"/>
                      <w:sz w:val="21"/>
                      <w:szCs w:val="21"/>
                      <w:highlight w:val="none"/>
                    </w:rPr>
                    <w:t>和包装机等设备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年产</w:t>
                  </w:r>
                  <w:r>
                    <w:rPr>
                      <w:rFonts w:hint="default" w:ascii="Times New Roman" w:hAnsi="Times New Roman" w:cs="Times New Roman"/>
                      <w:color w:val="auto"/>
                      <w:sz w:val="21"/>
                      <w:szCs w:val="21"/>
                      <w:highlight w:val="none"/>
                    </w:rPr>
                    <w:t>彩砂</w:t>
                  </w:r>
                  <w:r>
                    <w:rPr>
                      <w:rFonts w:hint="default" w:ascii="Times New Roman" w:hAnsi="Times New Roman" w:cs="Times New Roman"/>
                      <w:color w:val="auto"/>
                      <w:sz w:val="21"/>
                      <w:szCs w:val="21"/>
                      <w:highlight w:val="none"/>
                      <w:lang w:val="en-US" w:eastAsia="zh-CN"/>
                    </w:rPr>
                    <w:t>30万吨</w:t>
                  </w:r>
                  <w:r>
                    <w:rPr>
                      <w:rFonts w:hint="default" w:ascii="Times New Roman" w:hAnsi="Times New Roman" w:cs="Times New Roman"/>
                      <w:color w:val="auto"/>
                      <w:sz w:val="21"/>
                      <w:szCs w:val="21"/>
                      <w:highlight w:val="none"/>
                      <w:lang w:eastAsia="zh-CN"/>
                    </w:rPr>
                    <w:t>；</w:t>
                  </w:r>
                </w:p>
                <w:p w14:paraId="5799805F">
                  <w:pPr>
                    <w:pStyle w:val="8"/>
                    <w:ind w:firstLine="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③改性粉体</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干混砂浆</w:t>
                  </w:r>
                  <w:r>
                    <w:rPr>
                      <w:rFonts w:hint="default" w:ascii="Times New Roman" w:hAnsi="Times New Roman" w:cs="Times New Roman"/>
                      <w:color w:val="auto"/>
                      <w:sz w:val="21"/>
                      <w:szCs w:val="21"/>
                      <w:highlight w:val="none"/>
                    </w:rPr>
                    <w:t>生产线</w:t>
                  </w:r>
                  <w:r>
                    <w:rPr>
                      <w:rFonts w:hint="default" w:ascii="Times New Roman" w:hAnsi="Times New Roman" w:cs="Times New Roman"/>
                      <w:color w:val="auto"/>
                      <w:sz w:val="21"/>
                      <w:szCs w:val="21"/>
                      <w:highlight w:val="none"/>
                      <w:lang w:val="en-US" w:eastAsia="zh-CN"/>
                    </w:rPr>
                    <w:t>位于彩砂生产线东侧</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改性粉体</w:t>
                  </w:r>
                  <w:r>
                    <w:rPr>
                      <w:rFonts w:hint="eastAsia" w:cs="Times New Roman"/>
                      <w:color w:val="auto"/>
                      <w:sz w:val="21"/>
                      <w:szCs w:val="21"/>
                      <w:highlight w:val="none"/>
                      <w:lang w:val="en-US" w:eastAsia="zh-CN"/>
                    </w:rPr>
                    <w:t>及</w:t>
                  </w:r>
                  <w:r>
                    <w:rPr>
                      <w:rFonts w:hint="default" w:ascii="Times New Roman" w:hAnsi="Times New Roman" w:cs="Times New Roman"/>
                      <w:color w:val="auto"/>
                      <w:sz w:val="21"/>
                      <w:szCs w:val="21"/>
                      <w:highlight w:val="none"/>
                      <w:lang w:val="en-US" w:eastAsia="zh-CN"/>
                    </w:rPr>
                    <w:t>干混砂浆</w:t>
                  </w:r>
                  <w:r>
                    <w:rPr>
                      <w:rFonts w:hint="default" w:ascii="Times New Roman" w:hAnsi="Times New Roman" w:eastAsia="宋体" w:cs="Times New Roman"/>
                      <w:color w:val="auto"/>
                      <w:sz w:val="21"/>
                      <w:szCs w:val="21"/>
                      <w:highlight w:val="none"/>
                      <w:lang w:val="en-US" w:eastAsia="zh-CN"/>
                    </w:rPr>
                    <w:t>占地面积约</w:t>
                  </w:r>
                  <w:r>
                    <w:rPr>
                      <w:rFonts w:hint="eastAsia" w:cs="Times New Roman"/>
                      <w:color w:val="auto"/>
                      <w:sz w:val="21"/>
                      <w:szCs w:val="21"/>
                      <w:highlight w:val="none"/>
                      <w:lang w:val="en-US" w:eastAsia="zh-CN"/>
                    </w:rPr>
                    <w:t>500</w:t>
                  </w:r>
                  <w:r>
                    <w:rPr>
                      <w:rFonts w:hint="default" w:ascii="Times New Roman" w:hAnsi="Times New Roman" w:eastAsia="宋体" w:cs="Times New Roman"/>
                      <w:color w:val="auto"/>
                      <w:sz w:val="21"/>
                      <w:szCs w:val="21"/>
                      <w:highlight w:val="none"/>
                      <w:lang w:val="en-US" w:eastAsia="zh-CN"/>
                    </w:rPr>
                    <w:t xml:space="preserve">0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cs="Times New Roman"/>
                      <w:color w:val="auto"/>
                      <w:sz w:val="21"/>
                      <w:szCs w:val="21"/>
                      <w:highlight w:val="none"/>
                    </w:rPr>
                    <w:t>，年产</w:t>
                  </w:r>
                  <w:r>
                    <w:rPr>
                      <w:rFonts w:hint="eastAsia" w:cs="Times New Roman"/>
                      <w:color w:val="auto"/>
                      <w:sz w:val="21"/>
                      <w:szCs w:val="21"/>
                      <w:highlight w:val="none"/>
                      <w:lang w:val="en-US" w:eastAsia="zh-CN"/>
                    </w:rPr>
                    <w:t>改性粉体</w:t>
                  </w:r>
                  <w:r>
                    <w:rPr>
                      <w:rFonts w:hint="default"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万吨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干混砂浆20万吨</w:t>
                  </w:r>
                  <w:r>
                    <w:rPr>
                      <w:rFonts w:hint="default" w:ascii="Times New Roman" w:hAnsi="Times New Roman" w:cs="Times New Roman"/>
                      <w:color w:val="auto"/>
                      <w:sz w:val="21"/>
                      <w:szCs w:val="21"/>
                      <w:highlight w:val="none"/>
                    </w:rPr>
                    <w:t>，配备搅拌机、提升机和自动包装机设备</w:t>
                  </w:r>
                  <w:r>
                    <w:rPr>
                      <w:rFonts w:hint="default" w:ascii="Times New Roman" w:hAnsi="Times New Roman" w:cs="Times New Roman"/>
                      <w:color w:val="auto"/>
                      <w:sz w:val="21"/>
                      <w:szCs w:val="21"/>
                      <w:highlight w:val="none"/>
                      <w:lang w:val="en-US" w:eastAsia="zh-CN"/>
                    </w:rPr>
                    <w:t>等</w:t>
                  </w:r>
                </w:p>
              </w:tc>
              <w:tc>
                <w:tcPr>
                  <w:tcW w:w="1318" w:type="dxa"/>
                  <w:tcBorders>
                    <w:tl2br w:val="nil"/>
                    <w:tr2bl w:val="nil"/>
                  </w:tcBorders>
                  <w:vAlign w:val="center"/>
                </w:tcPr>
                <w:p w14:paraId="40D3DE3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新建，</w:t>
                  </w:r>
                  <w:r>
                    <w:rPr>
                      <w:rFonts w:hint="eastAsia" w:cs="Times New Roman"/>
                      <w:color w:val="auto"/>
                      <w:sz w:val="21"/>
                      <w:szCs w:val="21"/>
                      <w:highlight w:val="none"/>
                      <w:lang w:val="en-US" w:eastAsia="zh-CN"/>
                    </w:rPr>
                    <w:t>封闭式厂房（仅保留出入口）</w:t>
                  </w:r>
                </w:p>
              </w:tc>
            </w:tr>
            <w:tr w14:paraId="5D0E6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restart"/>
                  <w:tcBorders>
                    <w:tl2br w:val="nil"/>
                    <w:tr2bl w:val="nil"/>
                  </w:tcBorders>
                  <w:vAlign w:val="center"/>
                </w:tcPr>
                <w:p w14:paraId="0D0914B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辅助</w:t>
                  </w:r>
                </w:p>
                <w:p w14:paraId="037C944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983" w:type="dxa"/>
                  <w:tcBorders>
                    <w:tl2br w:val="nil"/>
                    <w:tr2bl w:val="nil"/>
                  </w:tcBorders>
                  <w:vAlign w:val="center"/>
                </w:tcPr>
                <w:p w14:paraId="047C8008">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原料</w:t>
                  </w:r>
                </w:p>
                <w:p w14:paraId="6455A3CB">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堆场</w:t>
                  </w:r>
                </w:p>
              </w:tc>
              <w:tc>
                <w:tcPr>
                  <w:tcW w:w="5367" w:type="dxa"/>
                  <w:tcBorders>
                    <w:tl2br w:val="nil"/>
                    <w:tr2bl w:val="nil"/>
                  </w:tcBorders>
                  <w:vAlign w:val="center"/>
                </w:tcPr>
                <w:p w14:paraId="7553B479">
                  <w:pPr>
                    <w:pStyle w:val="103"/>
                    <w:snapToGrid w:val="0"/>
                    <w:jc w:val="both"/>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lang w:eastAsia="zh-CN"/>
                    </w:rPr>
                    <w:t>设置</w:t>
                  </w:r>
                  <w:r>
                    <w:rPr>
                      <w:rFonts w:hint="default" w:ascii="Times New Roman" w:hAnsi="Times New Roman" w:cs="Times New Roman"/>
                      <w:color w:val="auto"/>
                      <w:kern w:val="2"/>
                      <w:sz w:val="21"/>
                      <w:highlight w:val="none"/>
                      <w:lang w:val="en-US" w:eastAsia="zh-CN"/>
                    </w:rPr>
                    <w:t>三</w:t>
                  </w:r>
                  <w:r>
                    <w:rPr>
                      <w:rFonts w:hint="default" w:ascii="Times New Roman" w:hAnsi="Times New Roman" w:cs="Times New Roman"/>
                      <w:color w:val="auto"/>
                      <w:kern w:val="2"/>
                      <w:sz w:val="21"/>
                      <w:highlight w:val="none"/>
                    </w:rPr>
                    <w:t>个</w:t>
                  </w:r>
                  <w:r>
                    <w:rPr>
                      <w:rFonts w:hint="eastAsia" w:ascii="Times New Roman" w:hAnsi="Times New Roman" w:cs="Times New Roman"/>
                      <w:color w:val="auto"/>
                      <w:kern w:val="2"/>
                      <w:sz w:val="21"/>
                      <w:highlight w:val="none"/>
                      <w:lang w:val="en-US" w:eastAsia="zh-CN"/>
                    </w:rPr>
                    <w:t>半封闭</w:t>
                  </w:r>
                  <w:r>
                    <w:rPr>
                      <w:rFonts w:hint="default" w:ascii="Times New Roman" w:hAnsi="Times New Roman" w:cs="Times New Roman"/>
                      <w:color w:val="auto"/>
                      <w:kern w:val="2"/>
                      <w:sz w:val="21"/>
                      <w:highlight w:val="none"/>
                    </w:rPr>
                    <w:t>原料堆场</w:t>
                  </w:r>
                  <w:r>
                    <w:rPr>
                      <w:rFonts w:hint="eastAsia" w:ascii="Times New Roman" w:hAnsi="Times New Roman" w:cs="Times New Roman"/>
                      <w:color w:val="auto"/>
                      <w:kern w:val="2"/>
                      <w:sz w:val="21"/>
                      <w:highlight w:val="none"/>
                      <w:lang w:eastAsia="zh-CN"/>
                    </w:rPr>
                    <w:t>（</w:t>
                  </w:r>
                  <w:r>
                    <w:rPr>
                      <w:rFonts w:hint="eastAsia" w:ascii="Times New Roman" w:hAnsi="Times New Roman" w:cs="Times New Roman"/>
                      <w:color w:val="auto"/>
                      <w:kern w:val="2"/>
                      <w:sz w:val="21"/>
                      <w:highlight w:val="none"/>
                      <w:lang w:val="en-US" w:eastAsia="zh-CN"/>
                    </w:rPr>
                    <w:t>三面围挡+顶棚</w:t>
                  </w:r>
                  <w:r>
                    <w:rPr>
                      <w:rFonts w:hint="eastAsia" w:ascii="Times New Roman" w:hAnsi="Times New Roman" w:cs="Times New Roman"/>
                      <w:color w:val="auto"/>
                      <w:kern w:val="2"/>
                      <w:sz w:val="21"/>
                      <w:highlight w:val="none"/>
                      <w:lang w:eastAsia="zh-CN"/>
                    </w:rPr>
                    <w:t>）</w:t>
                  </w:r>
                  <w:r>
                    <w:rPr>
                      <w:rFonts w:hint="default" w:ascii="Times New Roman" w:hAnsi="Times New Roman" w:cs="Times New Roman"/>
                      <w:color w:val="auto"/>
                      <w:kern w:val="2"/>
                      <w:sz w:val="21"/>
                      <w:highlight w:val="none"/>
                    </w:rPr>
                    <w:t>。其中</w:t>
                  </w:r>
                  <w:r>
                    <w:rPr>
                      <w:rFonts w:hint="default" w:ascii="Times New Roman" w:hAnsi="Times New Roman" w:eastAsia="宋体" w:cs="Times New Roman"/>
                      <w:color w:val="auto"/>
                      <w:sz w:val="21"/>
                      <w:szCs w:val="21"/>
                      <w:highlight w:val="none"/>
                      <w:lang w:eastAsia="zh-CN"/>
                    </w:rPr>
                    <w:t>骨料</w:t>
                  </w:r>
                  <w:r>
                    <w:rPr>
                      <w:rFonts w:hint="default" w:ascii="Times New Roman" w:hAnsi="Times New Roman" w:cs="Times New Roman"/>
                      <w:color w:val="auto"/>
                      <w:sz w:val="21"/>
                      <w:szCs w:val="21"/>
                      <w:highlight w:val="none"/>
                      <w:lang w:val="en-US" w:eastAsia="zh-CN"/>
                    </w:rPr>
                    <w:t>原料堆场位于骨料生产线北侧</w:t>
                  </w:r>
                  <w:r>
                    <w:rPr>
                      <w:rFonts w:hint="eastAsia" w:ascii="Times New Roman" w:hAnsi="Times New Roman" w:cs="Times New Roman"/>
                      <w:color w:val="auto"/>
                      <w:sz w:val="21"/>
                      <w:szCs w:val="21"/>
                      <w:highlight w:val="none"/>
                      <w:lang w:val="en-US" w:eastAsia="zh-CN"/>
                    </w:rPr>
                    <w:t>，占地面积约5000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cs="Times New Roman"/>
                      <w:color w:val="auto"/>
                      <w:kern w:val="2"/>
                      <w:sz w:val="21"/>
                      <w:highlight w:val="none"/>
                    </w:rPr>
                    <w:t>；</w:t>
                  </w:r>
                  <w:r>
                    <w:rPr>
                      <w:rFonts w:hint="default" w:ascii="Times New Roman" w:hAnsi="Times New Roman" w:eastAsia="宋体" w:cs="Times New Roman"/>
                      <w:color w:val="auto"/>
                      <w:sz w:val="21"/>
                      <w:szCs w:val="21"/>
                      <w:highlight w:val="none"/>
                      <w:lang w:eastAsia="zh-CN"/>
                    </w:rPr>
                    <w:t>骨料</w:t>
                  </w:r>
                  <w:r>
                    <w:rPr>
                      <w:rFonts w:hint="default" w:ascii="Times New Roman" w:hAnsi="Times New Roman" w:cs="Times New Roman"/>
                      <w:color w:val="auto"/>
                      <w:sz w:val="21"/>
                      <w:szCs w:val="21"/>
                      <w:highlight w:val="none"/>
                      <w:lang w:val="en-US" w:eastAsia="zh-CN"/>
                    </w:rPr>
                    <w:t>原料堆场</w:t>
                  </w:r>
                  <w:r>
                    <w:rPr>
                      <w:rFonts w:hint="default" w:ascii="Times New Roman" w:hAnsi="Times New Roman" w:cs="Times New Roman"/>
                      <w:color w:val="auto"/>
                      <w:kern w:val="2"/>
                      <w:sz w:val="21"/>
                      <w:highlight w:val="none"/>
                      <w:lang w:val="en-US" w:eastAsia="zh-CN"/>
                    </w:rPr>
                    <w:t>东侧由西至东分别为彩砂原料堆场</w:t>
                  </w:r>
                  <w:r>
                    <w:rPr>
                      <w:rFonts w:hint="eastAsia" w:ascii="Times New Roman" w:hAnsi="Times New Roman" w:cs="Times New Roman"/>
                      <w:color w:val="auto"/>
                      <w:kern w:val="2"/>
                      <w:sz w:val="21"/>
                      <w:highlight w:val="none"/>
                      <w:lang w:val="en-US" w:eastAsia="zh-CN"/>
                    </w:rPr>
                    <w:t>（</w:t>
                  </w:r>
                  <w:r>
                    <w:rPr>
                      <w:rFonts w:hint="eastAsia" w:ascii="Times New Roman" w:hAnsi="Times New Roman" w:cs="Times New Roman"/>
                      <w:color w:val="auto"/>
                      <w:sz w:val="21"/>
                      <w:szCs w:val="21"/>
                      <w:highlight w:val="none"/>
                      <w:lang w:val="en-US" w:eastAsia="zh-CN"/>
                    </w:rPr>
                    <w:t>4000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eastAsia" w:ascii="Times New Roman" w:hAnsi="Times New Roman" w:cs="Times New Roman"/>
                      <w:color w:val="auto"/>
                      <w:kern w:val="2"/>
                      <w:sz w:val="21"/>
                      <w:highlight w:val="none"/>
                      <w:lang w:val="en-US" w:eastAsia="zh-CN"/>
                    </w:rPr>
                    <w:t>）</w:t>
                  </w:r>
                  <w:r>
                    <w:rPr>
                      <w:rFonts w:hint="default" w:ascii="Times New Roman" w:hAnsi="Times New Roman" w:cs="Times New Roman"/>
                      <w:color w:val="auto"/>
                      <w:kern w:val="2"/>
                      <w:sz w:val="21"/>
                      <w:highlight w:val="none"/>
                      <w:lang w:val="en-US" w:eastAsia="zh-CN"/>
                    </w:rPr>
                    <w:t>，</w:t>
                  </w:r>
                  <w:r>
                    <w:rPr>
                      <w:rFonts w:hint="default" w:ascii="Times New Roman" w:hAnsi="Times New Roman" w:cs="Times New Roman"/>
                      <w:color w:val="auto"/>
                      <w:sz w:val="21"/>
                      <w:szCs w:val="21"/>
                      <w:highlight w:val="none"/>
                      <w:lang w:val="en-US" w:eastAsia="zh-CN"/>
                    </w:rPr>
                    <w:t>改性粉体</w:t>
                  </w:r>
                  <w:r>
                    <w:rPr>
                      <w:rFonts w:hint="default" w:ascii="Times New Roman" w:hAnsi="Times New Roman" w:cs="Times New Roman"/>
                      <w:color w:val="auto"/>
                      <w:kern w:val="2"/>
                      <w:sz w:val="21"/>
                      <w:highlight w:val="none"/>
                    </w:rPr>
                    <w:t>、</w:t>
                  </w:r>
                  <w:r>
                    <w:rPr>
                      <w:rFonts w:hint="default" w:ascii="Times New Roman" w:hAnsi="Times New Roman" w:cs="Times New Roman"/>
                      <w:color w:val="auto"/>
                      <w:kern w:val="2"/>
                      <w:sz w:val="21"/>
                      <w:highlight w:val="none"/>
                      <w:lang w:val="en-US" w:eastAsia="zh-CN"/>
                    </w:rPr>
                    <w:t>干混</w:t>
                  </w:r>
                  <w:r>
                    <w:rPr>
                      <w:rFonts w:hint="default" w:ascii="Times New Roman" w:hAnsi="Times New Roman" w:cs="Times New Roman"/>
                      <w:color w:val="auto"/>
                      <w:kern w:val="2"/>
                      <w:sz w:val="21"/>
                      <w:highlight w:val="none"/>
                    </w:rPr>
                    <w:t>砂浆</w:t>
                  </w:r>
                  <w:r>
                    <w:rPr>
                      <w:rFonts w:hint="default" w:ascii="Times New Roman" w:hAnsi="Times New Roman" w:cs="Times New Roman"/>
                      <w:color w:val="auto"/>
                      <w:kern w:val="2"/>
                      <w:sz w:val="21"/>
                      <w:highlight w:val="none"/>
                      <w:lang w:val="en-US" w:eastAsia="zh-CN"/>
                    </w:rPr>
                    <w:t>原料堆场</w:t>
                  </w:r>
                  <w:r>
                    <w:rPr>
                      <w:rFonts w:hint="eastAsia" w:ascii="Times New Roman" w:hAnsi="Times New Roman" w:cs="Times New Roman"/>
                      <w:color w:val="auto"/>
                      <w:kern w:val="2"/>
                      <w:sz w:val="21"/>
                      <w:highlight w:val="none"/>
                      <w:lang w:val="en-US" w:eastAsia="zh-CN"/>
                    </w:rPr>
                    <w:t>（</w:t>
                  </w:r>
                  <w:r>
                    <w:rPr>
                      <w:rFonts w:hint="eastAsia" w:ascii="Times New Roman" w:hAnsi="Times New Roman" w:cs="Times New Roman"/>
                      <w:color w:val="auto"/>
                      <w:sz w:val="21"/>
                      <w:szCs w:val="21"/>
                      <w:highlight w:val="none"/>
                      <w:lang w:val="en-US" w:eastAsia="zh-CN"/>
                    </w:rPr>
                    <w:t>9000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eastAsia" w:ascii="Times New Roman" w:hAnsi="Times New Roman" w:cs="Times New Roman"/>
                      <w:color w:val="auto"/>
                      <w:kern w:val="2"/>
                      <w:sz w:val="21"/>
                      <w:highlight w:val="none"/>
                      <w:lang w:val="en-US" w:eastAsia="zh-CN"/>
                    </w:rPr>
                    <w:t>）</w:t>
                  </w:r>
                </w:p>
              </w:tc>
              <w:tc>
                <w:tcPr>
                  <w:tcW w:w="1318" w:type="dxa"/>
                  <w:tcBorders>
                    <w:tl2br w:val="nil"/>
                    <w:tr2bl w:val="nil"/>
                  </w:tcBorders>
                  <w:vAlign w:val="center"/>
                </w:tcPr>
                <w:p w14:paraId="159763DC">
                  <w:pPr>
                    <w:pStyle w:val="103"/>
                    <w:snapToGrid w:val="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新建，</w:t>
                  </w:r>
                  <w:r>
                    <w:rPr>
                      <w:rFonts w:hint="default" w:ascii="Times New Roman" w:hAnsi="Times New Roman" w:cs="Times New Roman"/>
                      <w:color w:val="auto"/>
                      <w:sz w:val="21"/>
                      <w:highlight w:val="none"/>
                      <w:lang w:eastAsia="zh-CN"/>
                    </w:rPr>
                    <w:t>三面封闭</w:t>
                  </w:r>
                  <w:r>
                    <w:rPr>
                      <w:rFonts w:hint="default" w:ascii="Times New Roman" w:hAnsi="Times New Roman" w:cs="Times New Roman"/>
                      <w:color w:val="auto"/>
                      <w:sz w:val="21"/>
                      <w:highlight w:val="none"/>
                      <w:lang w:val="en-US" w:eastAsia="zh-CN"/>
                    </w:rPr>
                    <w:t>+围挡处置</w:t>
                  </w:r>
                </w:p>
              </w:tc>
            </w:tr>
            <w:tr w14:paraId="54C71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766" w:type="dxa"/>
                  <w:vMerge w:val="continue"/>
                  <w:tcBorders>
                    <w:tl2br w:val="nil"/>
                    <w:tr2bl w:val="nil"/>
                  </w:tcBorders>
                  <w:vAlign w:val="center"/>
                </w:tcPr>
                <w:p w14:paraId="4049E695">
                  <w:pPr>
                    <w:jc w:val="center"/>
                    <w:rPr>
                      <w:rFonts w:hint="default" w:ascii="Times New Roman" w:hAnsi="Times New Roman" w:cs="Times New Roman"/>
                      <w:color w:val="auto"/>
                      <w:szCs w:val="21"/>
                      <w:highlight w:val="none"/>
                    </w:rPr>
                  </w:pPr>
                </w:p>
              </w:tc>
              <w:tc>
                <w:tcPr>
                  <w:tcW w:w="983" w:type="dxa"/>
                  <w:tcBorders>
                    <w:tl2br w:val="nil"/>
                    <w:tr2bl w:val="nil"/>
                  </w:tcBorders>
                  <w:vAlign w:val="center"/>
                </w:tcPr>
                <w:p w14:paraId="540A1EE6">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成品</w:t>
                  </w:r>
                </w:p>
                <w:p w14:paraId="180A34B4">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堆场</w:t>
                  </w:r>
                </w:p>
              </w:tc>
              <w:tc>
                <w:tcPr>
                  <w:tcW w:w="5367" w:type="dxa"/>
                  <w:tcBorders>
                    <w:tl2br w:val="nil"/>
                    <w:tr2bl w:val="nil"/>
                  </w:tcBorders>
                  <w:vAlign w:val="center"/>
                </w:tcPr>
                <w:p w14:paraId="4E37714E">
                  <w:pPr>
                    <w:pStyle w:val="103"/>
                    <w:snapToGrid w:val="0"/>
                    <w:jc w:val="left"/>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lang w:val="en-US" w:eastAsia="zh-CN"/>
                    </w:rPr>
                    <w:t>位于厂区南侧，</w:t>
                  </w:r>
                  <w:r>
                    <w:rPr>
                      <w:rFonts w:hint="default" w:ascii="Times New Roman" w:hAnsi="Times New Roman" w:cs="Times New Roman"/>
                      <w:color w:val="auto"/>
                      <w:kern w:val="2"/>
                      <w:sz w:val="21"/>
                      <w:highlight w:val="none"/>
                    </w:rPr>
                    <w:t>现有成品堆场</w:t>
                  </w:r>
                  <w:r>
                    <w:rPr>
                      <w:rFonts w:hint="default" w:ascii="Times New Roman" w:hAnsi="Times New Roman" w:cs="Times New Roman"/>
                      <w:color w:val="auto"/>
                      <w:kern w:val="2"/>
                      <w:sz w:val="21"/>
                      <w:highlight w:val="none"/>
                      <w:lang w:val="en-US" w:eastAsia="zh-CN"/>
                    </w:rPr>
                    <w:t>由西至东分别</w:t>
                  </w:r>
                  <w:r>
                    <w:rPr>
                      <w:rFonts w:hint="default" w:ascii="Times New Roman" w:hAnsi="Times New Roman" w:cs="Times New Roman"/>
                      <w:color w:val="auto"/>
                      <w:kern w:val="2"/>
                      <w:sz w:val="21"/>
                      <w:highlight w:val="none"/>
                    </w:rPr>
                    <w:t>堆存</w:t>
                  </w:r>
                  <w:r>
                    <w:rPr>
                      <w:rFonts w:hint="default" w:ascii="Times New Roman" w:hAnsi="Times New Roman" w:cs="Times New Roman"/>
                      <w:color w:val="auto"/>
                      <w:kern w:val="2"/>
                      <w:sz w:val="21"/>
                      <w:highlight w:val="none"/>
                      <w:lang w:val="en-US" w:eastAsia="zh-CN"/>
                    </w:rPr>
                    <w:t>砂石成品</w:t>
                  </w:r>
                  <w:r>
                    <w:rPr>
                      <w:rFonts w:hint="eastAsia" w:ascii="Times New Roman" w:hAnsi="Times New Roman" w:cs="Times New Roman"/>
                      <w:color w:val="auto"/>
                      <w:kern w:val="2"/>
                      <w:sz w:val="21"/>
                      <w:highlight w:val="none"/>
                      <w:lang w:val="en-US" w:eastAsia="zh-CN"/>
                    </w:rPr>
                    <w:t>（</w:t>
                  </w:r>
                  <w:r>
                    <w:rPr>
                      <w:rFonts w:hint="eastAsia" w:ascii="Times New Roman" w:hAnsi="Times New Roman"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eastAsia" w:ascii="Times New Roman" w:hAnsi="Times New Roman" w:cs="Times New Roman"/>
                      <w:color w:val="auto"/>
                      <w:kern w:val="2"/>
                      <w:sz w:val="21"/>
                      <w:highlight w:val="none"/>
                      <w:lang w:val="en-US" w:eastAsia="zh-CN"/>
                    </w:rPr>
                    <w:t>）</w:t>
                  </w:r>
                  <w:r>
                    <w:rPr>
                      <w:rFonts w:hint="default" w:ascii="Times New Roman" w:hAnsi="Times New Roman" w:cs="Times New Roman"/>
                      <w:color w:val="auto"/>
                      <w:kern w:val="2"/>
                      <w:sz w:val="21"/>
                      <w:highlight w:val="none"/>
                      <w:lang w:val="en-US" w:eastAsia="zh-CN"/>
                    </w:rPr>
                    <w:t>、</w:t>
                  </w:r>
                  <w:r>
                    <w:rPr>
                      <w:rFonts w:hint="default" w:ascii="Times New Roman" w:hAnsi="Times New Roman" w:cs="Times New Roman"/>
                      <w:color w:val="auto"/>
                      <w:kern w:val="2"/>
                      <w:sz w:val="21"/>
                      <w:highlight w:val="none"/>
                    </w:rPr>
                    <w:t>彩砂</w:t>
                  </w:r>
                  <w:r>
                    <w:rPr>
                      <w:rFonts w:hint="default" w:ascii="Times New Roman" w:hAnsi="Times New Roman" w:cs="Times New Roman"/>
                      <w:color w:val="auto"/>
                      <w:kern w:val="2"/>
                      <w:sz w:val="21"/>
                      <w:highlight w:val="none"/>
                      <w:lang w:val="en-US" w:eastAsia="zh-CN"/>
                    </w:rPr>
                    <w:t>成品</w:t>
                  </w:r>
                  <w:r>
                    <w:rPr>
                      <w:rFonts w:hint="eastAsia" w:ascii="Times New Roman" w:hAnsi="Times New Roman" w:cs="Times New Roman"/>
                      <w:color w:val="auto"/>
                      <w:kern w:val="2"/>
                      <w:sz w:val="21"/>
                      <w:highlight w:val="none"/>
                      <w:lang w:val="en-US" w:eastAsia="zh-CN"/>
                    </w:rPr>
                    <w:t>（2000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eastAsia" w:ascii="Times New Roman" w:hAnsi="Times New Roman" w:cs="Times New Roman"/>
                      <w:color w:val="auto"/>
                      <w:kern w:val="2"/>
                      <w:sz w:val="21"/>
                      <w:highlight w:val="none"/>
                      <w:lang w:val="en-US" w:eastAsia="zh-CN"/>
                    </w:rPr>
                    <w:t>）</w:t>
                  </w:r>
                  <w:r>
                    <w:rPr>
                      <w:rFonts w:hint="default" w:ascii="Times New Roman" w:hAnsi="Times New Roman" w:cs="Times New Roman"/>
                      <w:color w:val="auto"/>
                      <w:kern w:val="2"/>
                      <w:sz w:val="21"/>
                      <w:highlight w:val="none"/>
                      <w:lang w:eastAsia="zh-CN"/>
                    </w:rPr>
                    <w:t>、</w:t>
                  </w:r>
                  <w:r>
                    <w:rPr>
                      <w:rFonts w:hint="default" w:ascii="Times New Roman" w:hAnsi="Times New Roman" w:cs="Times New Roman"/>
                      <w:color w:val="auto"/>
                      <w:kern w:val="2"/>
                      <w:sz w:val="21"/>
                      <w:highlight w:val="none"/>
                      <w:lang w:val="en-US" w:eastAsia="zh-CN"/>
                    </w:rPr>
                    <w:t>改性粉体成品</w:t>
                  </w:r>
                  <w:r>
                    <w:rPr>
                      <w:rFonts w:hint="eastAsia" w:ascii="Times New Roman" w:hAnsi="Times New Roman" w:cs="Times New Roman"/>
                      <w:color w:val="auto"/>
                      <w:kern w:val="2"/>
                      <w:sz w:val="21"/>
                      <w:highlight w:val="none"/>
                      <w:lang w:val="en-US" w:eastAsia="zh-CN"/>
                    </w:rPr>
                    <w:t>（2000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eastAsia" w:ascii="Times New Roman" w:hAnsi="Times New Roman" w:cs="Times New Roman"/>
                      <w:color w:val="auto"/>
                      <w:kern w:val="2"/>
                      <w:sz w:val="21"/>
                      <w:highlight w:val="none"/>
                      <w:lang w:val="en-US" w:eastAsia="zh-CN"/>
                    </w:rPr>
                    <w:t>）</w:t>
                  </w:r>
                  <w:r>
                    <w:rPr>
                      <w:rFonts w:hint="default" w:ascii="Times New Roman" w:hAnsi="Times New Roman" w:cs="Times New Roman"/>
                      <w:color w:val="auto"/>
                      <w:kern w:val="2"/>
                      <w:sz w:val="21"/>
                      <w:highlight w:val="none"/>
                    </w:rPr>
                    <w:t>，</w:t>
                  </w:r>
                  <w:r>
                    <w:rPr>
                      <w:rFonts w:hint="default" w:ascii="Times New Roman" w:hAnsi="Times New Roman" w:cs="Times New Roman"/>
                      <w:color w:val="auto"/>
                      <w:kern w:val="2"/>
                      <w:sz w:val="21"/>
                      <w:highlight w:val="none"/>
                      <w:lang w:val="en-US" w:eastAsia="zh-CN"/>
                    </w:rPr>
                    <w:t>干混砂浆成品仓</w:t>
                  </w:r>
                  <w:r>
                    <w:rPr>
                      <w:rFonts w:hint="eastAsia" w:ascii="Times New Roman" w:hAnsi="Times New Roman" w:cs="Times New Roman"/>
                      <w:color w:val="auto"/>
                      <w:kern w:val="2"/>
                      <w:sz w:val="21"/>
                      <w:highlight w:val="none"/>
                      <w:lang w:val="en-US" w:eastAsia="zh-CN"/>
                    </w:rPr>
                    <w:t>（1500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eastAsia="zh-CN"/>
                    </w:rPr>
                    <w:t>2</w:t>
                  </w:r>
                  <w:r>
                    <w:rPr>
                      <w:rFonts w:hint="eastAsia" w:ascii="Times New Roman" w:hAnsi="Times New Roman" w:cs="Times New Roman"/>
                      <w:color w:val="auto"/>
                      <w:kern w:val="2"/>
                      <w:sz w:val="21"/>
                      <w:highlight w:val="none"/>
                      <w:lang w:val="en-US" w:eastAsia="zh-CN"/>
                    </w:rPr>
                    <w:t>）</w:t>
                  </w:r>
                  <w:r>
                    <w:rPr>
                      <w:rFonts w:hint="default" w:ascii="Times New Roman" w:hAnsi="Times New Roman" w:cs="Times New Roman"/>
                      <w:color w:val="auto"/>
                      <w:kern w:val="2"/>
                      <w:sz w:val="21"/>
                      <w:highlight w:val="none"/>
                      <w:lang w:val="en-US" w:eastAsia="zh-CN"/>
                    </w:rPr>
                    <w:t>位于干混砂浆生产线东侧</w:t>
                  </w:r>
                  <w:r>
                    <w:rPr>
                      <w:rFonts w:hint="default" w:ascii="Times New Roman" w:hAnsi="Times New Roman" w:cs="Times New Roman"/>
                      <w:color w:val="auto"/>
                      <w:kern w:val="2"/>
                      <w:sz w:val="21"/>
                      <w:highlight w:val="none"/>
                    </w:rPr>
                    <w:t>。</w:t>
                  </w:r>
                  <w:r>
                    <w:rPr>
                      <w:rFonts w:hint="default" w:ascii="Times New Roman" w:hAnsi="Times New Roman" w:cs="Times New Roman"/>
                      <w:color w:val="auto"/>
                      <w:kern w:val="2"/>
                      <w:sz w:val="21"/>
                      <w:highlight w:val="none"/>
                      <w:lang w:eastAsia="zh-CN"/>
                    </w:rPr>
                    <w:t>堆场为</w:t>
                  </w:r>
                  <w:r>
                    <w:rPr>
                      <w:rFonts w:hint="default" w:ascii="Times New Roman" w:hAnsi="Times New Roman" w:cs="Times New Roman"/>
                      <w:color w:val="auto"/>
                      <w:kern w:val="2"/>
                      <w:sz w:val="21"/>
                      <w:highlight w:val="none"/>
                      <w:lang w:val="en-US" w:eastAsia="zh-CN"/>
                    </w:rPr>
                    <w:t>半</w:t>
                  </w:r>
                  <w:r>
                    <w:rPr>
                      <w:rFonts w:hint="default" w:ascii="Times New Roman" w:hAnsi="Times New Roman" w:cs="Times New Roman"/>
                      <w:color w:val="auto"/>
                      <w:kern w:val="2"/>
                      <w:sz w:val="21"/>
                      <w:highlight w:val="none"/>
                      <w:lang w:eastAsia="zh-CN"/>
                    </w:rPr>
                    <w:t>封闭</w:t>
                  </w:r>
                  <w:r>
                    <w:rPr>
                      <w:rFonts w:hint="eastAsia" w:ascii="Times New Roman" w:hAnsi="Times New Roman" w:cs="Times New Roman"/>
                      <w:color w:val="auto"/>
                      <w:kern w:val="2"/>
                      <w:sz w:val="21"/>
                      <w:highlight w:val="none"/>
                      <w:lang w:eastAsia="zh-CN"/>
                    </w:rPr>
                    <w:t>（</w:t>
                  </w:r>
                  <w:r>
                    <w:rPr>
                      <w:rFonts w:hint="eastAsia" w:ascii="Times New Roman" w:hAnsi="Times New Roman" w:cs="Times New Roman"/>
                      <w:color w:val="auto"/>
                      <w:kern w:val="2"/>
                      <w:sz w:val="21"/>
                      <w:highlight w:val="none"/>
                      <w:lang w:val="en-US" w:eastAsia="zh-CN"/>
                    </w:rPr>
                    <w:t>三面围挡+顶棚</w:t>
                  </w:r>
                  <w:r>
                    <w:rPr>
                      <w:rFonts w:hint="eastAsia" w:ascii="Times New Roman" w:hAnsi="Times New Roman" w:cs="Times New Roman"/>
                      <w:color w:val="auto"/>
                      <w:kern w:val="2"/>
                      <w:sz w:val="21"/>
                      <w:highlight w:val="none"/>
                      <w:lang w:eastAsia="zh-CN"/>
                    </w:rPr>
                    <w:t>）</w:t>
                  </w:r>
                  <w:r>
                    <w:rPr>
                      <w:rFonts w:hint="default" w:ascii="Times New Roman" w:hAnsi="Times New Roman" w:cs="Times New Roman"/>
                      <w:color w:val="auto"/>
                      <w:kern w:val="2"/>
                      <w:sz w:val="21"/>
                      <w:highlight w:val="none"/>
                      <w:lang w:eastAsia="zh-CN"/>
                    </w:rPr>
                    <w:t>状态，</w:t>
                  </w:r>
                  <w:r>
                    <w:rPr>
                      <w:rFonts w:hint="default" w:ascii="Times New Roman" w:hAnsi="Times New Roman" w:cs="Times New Roman"/>
                      <w:color w:val="auto"/>
                      <w:kern w:val="2"/>
                      <w:sz w:val="21"/>
                      <w:highlight w:val="none"/>
                    </w:rPr>
                    <w:t>运营期根据订单情况，及时</w:t>
                  </w:r>
                  <w:r>
                    <w:rPr>
                      <w:rFonts w:hint="default" w:ascii="Times New Roman" w:hAnsi="Times New Roman" w:cs="Times New Roman"/>
                      <w:color w:val="auto"/>
                      <w:kern w:val="2"/>
                      <w:sz w:val="21"/>
                      <w:highlight w:val="none"/>
                      <w:lang w:eastAsia="zh-CN"/>
                    </w:rPr>
                    <w:t>将产品</w:t>
                  </w:r>
                  <w:r>
                    <w:rPr>
                      <w:rFonts w:hint="default" w:ascii="Times New Roman" w:hAnsi="Times New Roman" w:cs="Times New Roman"/>
                      <w:color w:val="auto"/>
                      <w:kern w:val="2"/>
                      <w:sz w:val="21"/>
                      <w:highlight w:val="none"/>
                    </w:rPr>
                    <w:t>外售处置</w:t>
                  </w:r>
                </w:p>
              </w:tc>
              <w:tc>
                <w:tcPr>
                  <w:tcW w:w="1318" w:type="dxa"/>
                  <w:tcBorders>
                    <w:tl2br w:val="nil"/>
                    <w:tr2bl w:val="nil"/>
                  </w:tcBorders>
                  <w:vAlign w:val="center"/>
                </w:tcPr>
                <w:p w14:paraId="67EC0FBF">
                  <w:pPr>
                    <w:pStyle w:val="103"/>
                    <w:snapToGrid w:val="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现有</w:t>
                  </w:r>
                  <w:r>
                    <w:rPr>
                      <w:rFonts w:hint="eastAsia" w:ascii="Times New Roman" w:hAnsi="Times New Roman" w:cs="Times New Roman"/>
                      <w:color w:val="auto"/>
                      <w:sz w:val="21"/>
                      <w:highlight w:val="none"/>
                      <w:lang w:val="en-US" w:eastAsia="zh-CN"/>
                    </w:rPr>
                    <w:t>成品库</w:t>
                  </w:r>
                  <w:r>
                    <w:rPr>
                      <w:rFonts w:hint="default" w:ascii="Times New Roman" w:hAnsi="Times New Roman" w:cs="Times New Roman"/>
                      <w:color w:val="auto"/>
                      <w:sz w:val="21"/>
                      <w:highlight w:val="none"/>
                    </w:rPr>
                    <w:t>不变</w:t>
                  </w:r>
                </w:p>
              </w:tc>
            </w:tr>
            <w:tr w14:paraId="603525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766" w:type="dxa"/>
                  <w:vMerge w:val="continue"/>
                  <w:tcBorders>
                    <w:tl2br w:val="nil"/>
                    <w:tr2bl w:val="nil"/>
                  </w:tcBorders>
                  <w:vAlign w:val="center"/>
                </w:tcPr>
                <w:p w14:paraId="0B7D5100">
                  <w:pPr>
                    <w:jc w:val="center"/>
                    <w:rPr>
                      <w:rFonts w:hint="default" w:ascii="Times New Roman" w:hAnsi="Times New Roman" w:cs="Times New Roman"/>
                      <w:color w:val="auto"/>
                      <w:szCs w:val="21"/>
                      <w:highlight w:val="none"/>
                    </w:rPr>
                  </w:pPr>
                </w:p>
              </w:tc>
              <w:tc>
                <w:tcPr>
                  <w:tcW w:w="983" w:type="dxa"/>
                  <w:tcBorders>
                    <w:tl2br w:val="nil"/>
                    <w:tr2bl w:val="nil"/>
                  </w:tcBorders>
                  <w:vAlign w:val="center"/>
                </w:tcPr>
                <w:p w14:paraId="101167BA">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办公</w:t>
                  </w:r>
                  <w:r>
                    <w:rPr>
                      <w:rFonts w:hint="eastAsia" w:ascii="Times New Roman" w:hAnsi="Times New Roman" w:cs="Times New Roman"/>
                      <w:color w:val="auto"/>
                      <w:kern w:val="2"/>
                      <w:sz w:val="21"/>
                      <w:highlight w:val="none"/>
                      <w:lang w:val="en-US" w:eastAsia="zh-CN"/>
                    </w:rPr>
                    <w:t>区</w:t>
                  </w:r>
                </w:p>
              </w:tc>
              <w:tc>
                <w:tcPr>
                  <w:tcW w:w="5367" w:type="dxa"/>
                  <w:tcBorders>
                    <w:tl2br w:val="nil"/>
                    <w:tr2bl w:val="nil"/>
                  </w:tcBorders>
                  <w:vAlign w:val="center"/>
                </w:tcPr>
                <w:p w14:paraId="4936ADC7">
                  <w:pPr>
                    <w:pStyle w:val="103"/>
                    <w:snapToGrid w:val="0"/>
                    <w:jc w:val="left"/>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val="en-US" w:eastAsia="zh-CN"/>
                    </w:rPr>
                    <w:t>位于出入口北侧，</w:t>
                  </w:r>
                  <w:r>
                    <w:rPr>
                      <w:rFonts w:hint="default" w:ascii="Times New Roman" w:hAnsi="Times New Roman" w:cs="Times New Roman"/>
                      <w:color w:val="auto"/>
                      <w:sz w:val="21"/>
                      <w:highlight w:val="none"/>
                    </w:rPr>
                    <w:t>1F，活动板房结构</w:t>
                  </w:r>
                  <w:r>
                    <w:rPr>
                      <w:rFonts w:hint="eastAsia"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占地面积约</w:t>
                  </w:r>
                  <w:r>
                    <w:rPr>
                      <w:rFonts w:hint="eastAsia" w:ascii="Times New Roman" w:hAnsi="Times New Roman" w:cs="Times New Roman"/>
                      <w:color w:val="auto"/>
                      <w:sz w:val="21"/>
                      <w:highlight w:val="none"/>
                      <w:lang w:val="en-US" w:eastAsia="zh-CN"/>
                    </w:rPr>
                    <w:t>300</w:t>
                  </w:r>
                  <w:r>
                    <w:rPr>
                      <w:rFonts w:hint="default" w:ascii="Times New Roman" w:hAnsi="Times New Roman" w:cs="Times New Roman"/>
                      <w:color w:val="auto"/>
                      <w:sz w:val="21"/>
                      <w:highlight w:val="none"/>
                      <w:lang w:val="en-US" w:eastAsia="zh-CN"/>
                    </w:rPr>
                    <w:t xml:space="preserve"> </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2</w:t>
                  </w:r>
                  <w:r>
                    <w:rPr>
                      <w:rFonts w:hint="default" w:ascii="Times New Roman" w:hAnsi="Times New Roman" w:cs="Times New Roman"/>
                      <w:color w:val="auto"/>
                      <w:sz w:val="21"/>
                      <w:highlight w:val="none"/>
                    </w:rPr>
                    <w:t>，设有办公</w:t>
                  </w:r>
                  <w:r>
                    <w:rPr>
                      <w:rFonts w:hint="eastAsia" w:ascii="Times New Roman" w:hAnsi="Times New Roman" w:cs="Times New Roman"/>
                      <w:color w:val="auto"/>
                      <w:sz w:val="21"/>
                      <w:highlight w:val="none"/>
                      <w:lang w:val="en-US" w:eastAsia="zh-CN"/>
                    </w:rPr>
                    <w:t>室</w:t>
                  </w:r>
                  <w:r>
                    <w:rPr>
                      <w:rFonts w:hint="default" w:ascii="Times New Roman" w:hAnsi="Times New Roman" w:cs="Times New Roman"/>
                      <w:color w:val="auto"/>
                      <w:sz w:val="21"/>
                      <w:highlight w:val="none"/>
                    </w:rPr>
                    <w:t>及会议</w:t>
                  </w:r>
                  <w:r>
                    <w:rPr>
                      <w:rFonts w:hint="eastAsia" w:ascii="Times New Roman" w:hAnsi="Times New Roman" w:cs="Times New Roman"/>
                      <w:color w:val="auto"/>
                      <w:sz w:val="21"/>
                      <w:highlight w:val="none"/>
                      <w:lang w:val="en-US" w:eastAsia="zh-CN"/>
                    </w:rPr>
                    <w:t>室</w:t>
                  </w:r>
                </w:p>
              </w:tc>
              <w:tc>
                <w:tcPr>
                  <w:tcW w:w="1318" w:type="dxa"/>
                  <w:tcBorders>
                    <w:tl2br w:val="nil"/>
                    <w:tr2bl w:val="nil"/>
                  </w:tcBorders>
                  <w:vAlign w:val="center"/>
                </w:tcPr>
                <w:p w14:paraId="3E1E5DED">
                  <w:pPr>
                    <w:pStyle w:val="103"/>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依托原有</w:t>
                  </w:r>
                </w:p>
              </w:tc>
            </w:tr>
            <w:tr w14:paraId="181859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766" w:type="dxa"/>
                  <w:vMerge w:val="continue"/>
                  <w:tcBorders>
                    <w:tl2br w:val="nil"/>
                    <w:tr2bl w:val="nil"/>
                  </w:tcBorders>
                  <w:vAlign w:val="center"/>
                </w:tcPr>
                <w:p w14:paraId="4C5D5518">
                  <w:pPr>
                    <w:jc w:val="center"/>
                    <w:rPr>
                      <w:rFonts w:hint="default" w:ascii="Times New Roman" w:hAnsi="Times New Roman" w:cs="Times New Roman"/>
                      <w:color w:val="auto"/>
                      <w:szCs w:val="21"/>
                      <w:highlight w:val="none"/>
                    </w:rPr>
                  </w:pPr>
                </w:p>
              </w:tc>
              <w:tc>
                <w:tcPr>
                  <w:tcW w:w="983" w:type="dxa"/>
                  <w:tcBorders>
                    <w:tl2br w:val="nil"/>
                    <w:tr2bl w:val="nil"/>
                  </w:tcBorders>
                  <w:vAlign w:val="center"/>
                </w:tcPr>
                <w:p w14:paraId="275ED7FC">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生活区</w:t>
                  </w:r>
                </w:p>
              </w:tc>
              <w:tc>
                <w:tcPr>
                  <w:tcW w:w="5367" w:type="dxa"/>
                  <w:tcBorders>
                    <w:tl2br w:val="nil"/>
                    <w:tr2bl w:val="nil"/>
                  </w:tcBorders>
                  <w:vAlign w:val="center"/>
                </w:tcPr>
                <w:p w14:paraId="642049B2">
                  <w:pPr>
                    <w:pStyle w:val="103"/>
                    <w:snapToGrid w:val="0"/>
                    <w:jc w:val="left"/>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位于厂区</w:t>
                  </w:r>
                  <w:r>
                    <w:rPr>
                      <w:rFonts w:hint="default" w:ascii="Times New Roman" w:hAnsi="Times New Roman" w:cs="Times New Roman"/>
                      <w:color w:val="auto"/>
                      <w:sz w:val="21"/>
                      <w:highlight w:val="none"/>
                      <w:lang w:val="en-US" w:eastAsia="zh-CN"/>
                    </w:rPr>
                    <w:t>南</w:t>
                  </w:r>
                  <w:r>
                    <w:rPr>
                      <w:rFonts w:hint="default" w:ascii="Times New Roman" w:hAnsi="Times New Roman" w:cs="Times New Roman"/>
                      <w:color w:val="auto"/>
                      <w:sz w:val="21"/>
                      <w:highlight w:val="none"/>
                    </w:rPr>
                    <w:t>侧</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靠近出入口</w:t>
                  </w:r>
                  <w:r>
                    <w:rPr>
                      <w:rFonts w:hint="default" w:ascii="Times New Roman" w:hAnsi="Times New Roman" w:cs="Times New Roman"/>
                      <w:color w:val="auto"/>
                      <w:sz w:val="21"/>
                      <w:highlight w:val="none"/>
                    </w:rPr>
                    <w:t>，1F，活动板房结构。占地面积约</w:t>
                  </w:r>
                  <w:r>
                    <w:rPr>
                      <w:rFonts w:hint="eastAsia" w:ascii="Times New Roman" w:hAnsi="Times New Roman" w:cs="Times New Roman"/>
                      <w:color w:val="auto"/>
                      <w:sz w:val="21"/>
                      <w:highlight w:val="none"/>
                      <w:lang w:val="en-US" w:eastAsia="zh-CN"/>
                    </w:rPr>
                    <w:t>400</w:t>
                  </w:r>
                  <w:r>
                    <w:rPr>
                      <w:rFonts w:hint="default" w:ascii="Times New Roman" w:hAnsi="Times New Roman" w:cs="Times New Roman"/>
                      <w:color w:val="auto"/>
                      <w:sz w:val="21"/>
                      <w:highlight w:val="none"/>
                      <w:lang w:val="en-US" w:eastAsia="zh-CN"/>
                    </w:rPr>
                    <w:t xml:space="preserve"> </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2</w:t>
                  </w:r>
                  <w:r>
                    <w:rPr>
                      <w:rFonts w:hint="default" w:ascii="Times New Roman" w:hAnsi="Times New Roman" w:cs="Times New Roman"/>
                      <w:color w:val="auto"/>
                      <w:sz w:val="21"/>
                      <w:highlight w:val="none"/>
                    </w:rPr>
                    <w:t>，</w:t>
                  </w:r>
                  <w:r>
                    <w:rPr>
                      <w:rFonts w:hint="eastAsia" w:ascii="Times New Roman" w:hAnsi="Times New Roman" w:cs="Times New Roman"/>
                      <w:color w:val="auto"/>
                      <w:sz w:val="21"/>
                      <w:highlight w:val="none"/>
                      <w:lang w:val="en-US" w:eastAsia="zh-CN"/>
                    </w:rPr>
                    <w:t>设有宿舍</w:t>
                  </w:r>
                </w:p>
              </w:tc>
              <w:tc>
                <w:tcPr>
                  <w:tcW w:w="1318" w:type="dxa"/>
                  <w:tcBorders>
                    <w:tl2br w:val="nil"/>
                    <w:tr2bl w:val="nil"/>
                  </w:tcBorders>
                  <w:vAlign w:val="center"/>
                </w:tcPr>
                <w:p w14:paraId="436ADD21">
                  <w:pPr>
                    <w:pStyle w:val="103"/>
                    <w:snapToGrid w:val="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依托原有</w:t>
                  </w:r>
                </w:p>
              </w:tc>
            </w:tr>
            <w:tr w14:paraId="7CB786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766" w:type="dxa"/>
                  <w:vMerge w:val="restart"/>
                  <w:tcBorders>
                    <w:tl2br w:val="nil"/>
                    <w:tr2bl w:val="nil"/>
                  </w:tcBorders>
                  <w:vAlign w:val="center"/>
                </w:tcPr>
                <w:p w14:paraId="1616EA39">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公用</w:t>
                  </w:r>
                </w:p>
                <w:p w14:paraId="7FE7AB06">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工程</w:t>
                  </w:r>
                </w:p>
              </w:tc>
              <w:tc>
                <w:tcPr>
                  <w:tcW w:w="983" w:type="dxa"/>
                  <w:tcBorders>
                    <w:tl2br w:val="nil"/>
                    <w:tr2bl w:val="nil"/>
                  </w:tcBorders>
                  <w:vAlign w:val="center"/>
                </w:tcPr>
                <w:p w14:paraId="2D32393A">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供水</w:t>
                  </w:r>
                </w:p>
              </w:tc>
              <w:tc>
                <w:tcPr>
                  <w:tcW w:w="5367" w:type="dxa"/>
                  <w:tcBorders>
                    <w:tl2br w:val="nil"/>
                    <w:tr2bl w:val="nil"/>
                  </w:tcBorders>
                  <w:vAlign w:val="center"/>
                </w:tcPr>
                <w:p w14:paraId="529C094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生产生活用水</w:t>
                  </w:r>
                  <w:r>
                    <w:rPr>
                      <w:rFonts w:hint="default" w:ascii="Times New Roman" w:hAnsi="Times New Roman" w:cs="Times New Roman"/>
                      <w:szCs w:val="21"/>
                    </w:rPr>
                    <w:t>由自打机井提供</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井深50 m，</w:t>
                  </w:r>
                  <w:r>
                    <w:rPr>
                      <w:rFonts w:hint="default" w:ascii="Times New Roman" w:hAnsi="Times New Roman" w:cs="Times New Roman"/>
                      <w:szCs w:val="21"/>
                    </w:rPr>
                    <w:t>正在办理取水许可证</w:t>
                  </w:r>
                </w:p>
              </w:tc>
              <w:tc>
                <w:tcPr>
                  <w:tcW w:w="1318" w:type="dxa"/>
                  <w:tcBorders>
                    <w:tl2br w:val="nil"/>
                    <w:tr2bl w:val="nil"/>
                  </w:tcBorders>
                  <w:vAlign w:val="center"/>
                </w:tcPr>
                <w:p w14:paraId="11FEA00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highlight w:val="none"/>
                      <w:lang w:val="en-US" w:eastAsia="zh-CN"/>
                    </w:rPr>
                    <w:t>依托原有</w:t>
                  </w:r>
                </w:p>
              </w:tc>
            </w:tr>
            <w:tr w14:paraId="5C4CFF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2" w:hRule="atLeast"/>
                <w:jc w:val="center"/>
              </w:trPr>
              <w:tc>
                <w:tcPr>
                  <w:tcW w:w="766" w:type="dxa"/>
                  <w:vMerge w:val="continue"/>
                  <w:tcBorders>
                    <w:tl2br w:val="nil"/>
                    <w:tr2bl w:val="nil"/>
                  </w:tcBorders>
                  <w:vAlign w:val="center"/>
                </w:tcPr>
                <w:p w14:paraId="5D8E5A1C">
                  <w:pPr>
                    <w:rPr>
                      <w:rFonts w:hint="default" w:ascii="Times New Roman" w:hAnsi="Times New Roman" w:cs="Times New Roman"/>
                      <w:color w:val="auto"/>
                      <w:szCs w:val="21"/>
                      <w:highlight w:val="none"/>
                    </w:rPr>
                  </w:pPr>
                </w:p>
              </w:tc>
              <w:tc>
                <w:tcPr>
                  <w:tcW w:w="983" w:type="dxa"/>
                  <w:tcBorders>
                    <w:tl2br w:val="nil"/>
                    <w:tr2bl w:val="nil"/>
                  </w:tcBorders>
                  <w:vAlign w:val="center"/>
                </w:tcPr>
                <w:p w14:paraId="4E689D8F">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供电</w:t>
                  </w:r>
                </w:p>
              </w:tc>
              <w:tc>
                <w:tcPr>
                  <w:tcW w:w="5367" w:type="dxa"/>
                  <w:tcBorders>
                    <w:tl2br w:val="nil"/>
                    <w:tr2bl w:val="nil"/>
                  </w:tcBorders>
                  <w:vAlign w:val="center"/>
                </w:tcPr>
                <w:p w14:paraId="35E5DC38">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由园区供电系统提供，厂区内设配电室，供给生产用电</w:t>
                  </w:r>
                </w:p>
              </w:tc>
              <w:tc>
                <w:tcPr>
                  <w:tcW w:w="1318" w:type="dxa"/>
                  <w:tcBorders>
                    <w:tl2br w:val="nil"/>
                    <w:tr2bl w:val="nil"/>
                  </w:tcBorders>
                  <w:vAlign w:val="center"/>
                </w:tcPr>
                <w:p w14:paraId="200928C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highlight w:val="none"/>
                      <w:lang w:val="en-US" w:eastAsia="zh-CN"/>
                    </w:rPr>
                    <w:t>依托原有</w:t>
                  </w:r>
                </w:p>
              </w:tc>
            </w:tr>
            <w:tr w14:paraId="6A8315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766" w:type="dxa"/>
                  <w:vMerge w:val="continue"/>
                  <w:tcBorders>
                    <w:tl2br w:val="nil"/>
                    <w:tr2bl w:val="nil"/>
                  </w:tcBorders>
                  <w:vAlign w:val="center"/>
                </w:tcPr>
                <w:p w14:paraId="19B0D251">
                  <w:pPr>
                    <w:rPr>
                      <w:rFonts w:hint="default" w:ascii="Times New Roman" w:hAnsi="Times New Roman" w:cs="Times New Roman"/>
                      <w:color w:val="auto"/>
                      <w:szCs w:val="21"/>
                      <w:highlight w:val="none"/>
                    </w:rPr>
                  </w:pPr>
                </w:p>
              </w:tc>
              <w:tc>
                <w:tcPr>
                  <w:tcW w:w="983" w:type="dxa"/>
                  <w:vMerge w:val="restart"/>
                  <w:tcBorders>
                    <w:tl2br w:val="nil"/>
                    <w:tr2bl w:val="nil"/>
                  </w:tcBorders>
                  <w:vAlign w:val="center"/>
                </w:tcPr>
                <w:p w14:paraId="618788AA">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排水</w:t>
                  </w:r>
                </w:p>
              </w:tc>
              <w:tc>
                <w:tcPr>
                  <w:tcW w:w="5367" w:type="dxa"/>
                  <w:tcBorders>
                    <w:tl2br w:val="nil"/>
                    <w:tr2bl w:val="nil"/>
                  </w:tcBorders>
                  <w:vAlign w:val="center"/>
                </w:tcPr>
                <w:p w14:paraId="3BD611C5">
                  <w:pP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厂区实行雨污分流措施</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雨水经雨水渠外排</w:t>
                  </w:r>
                </w:p>
              </w:tc>
              <w:tc>
                <w:tcPr>
                  <w:tcW w:w="1318" w:type="dxa"/>
                  <w:tcBorders>
                    <w:tl2br w:val="nil"/>
                    <w:tr2bl w:val="nil"/>
                  </w:tcBorders>
                  <w:vAlign w:val="center"/>
                </w:tcPr>
                <w:p w14:paraId="1334E216">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依托原有</w:t>
                  </w:r>
                </w:p>
              </w:tc>
            </w:tr>
            <w:tr w14:paraId="570DF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766" w:type="dxa"/>
                  <w:vMerge w:val="continue"/>
                  <w:tcBorders>
                    <w:tl2br w:val="nil"/>
                    <w:tr2bl w:val="nil"/>
                  </w:tcBorders>
                  <w:vAlign w:val="center"/>
                </w:tcPr>
                <w:p w14:paraId="7936593B">
                  <w:pPr>
                    <w:jc w:val="center"/>
                  </w:pPr>
                </w:p>
              </w:tc>
              <w:tc>
                <w:tcPr>
                  <w:tcW w:w="983" w:type="dxa"/>
                  <w:vMerge w:val="continue"/>
                  <w:tcBorders>
                    <w:tl2br w:val="nil"/>
                    <w:tr2bl w:val="nil"/>
                  </w:tcBorders>
                  <w:vAlign w:val="center"/>
                </w:tcPr>
                <w:p w14:paraId="503005DC">
                  <w:pPr>
                    <w:jc w:val="center"/>
                  </w:pPr>
                </w:p>
              </w:tc>
              <w:tc>
                <w:tcPr>
                  <w:tcW w:w="5367" w:type="dxa"/>
                  <w:tcBorders>
                    <w:tl2br w:val="nil"/>
                    <w:tr2bl w:val="nil"/>
                  </w:tcBorders>
                  <w:vAlign w:val="center"/>
                </w:tcPr>
                <w:p w14:paraId="143A434B">
                  <w:r>
                    <w:rPr>
                      <w:rFonts w:hint="default" w:ascii="Times New Roman" w:hAnsi="Times New Roman" w:cs="Times New Roman"/>
                      <w:color w:val="auto"/>
                      <w:szCs w:val="21"/>
                      <w:highlight w:val="none"/>
                    </w:rPr>
                    <w:t>生活污水</w:t>
                  </w:r>
                  <w:r>
                    <w:rPr>
                      <w:rFonts w:hint="default" w:ascii="Times New Roman" w:hAnsi="Times New Roman" w:cs="Times New Roman"/>
                      <w:color w:val="auto"/>
                      <w:szCs w:val="21"/>
                      <w:highlight w:val="none"/>
                      <w:lang w:val="en-US" w:eastAsia="zh-CN"/>
                    </w:rPr>
                    <w:t>经</w:t>
                  </w:r>
                  <w:r>
                    <w:rPr>
                      <w:rFonts w:hint="default" w:ascii="Times New Roman" w:hAnsi="Times New Roman" w:cs="Times New Roman"/>
                      <w:color w:val="auto"/>
                      <w:szCs w:val="21"/>
                      <w:highlight w:val="none"/>
                    </w:rPr>
                    <w:t>厂区化粪池</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20m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处理后</w:t>
                  </w:r>
                  <w:r>
                    <w:rPr>
                      <w:rFonts w:hint="default" w:ascii="Times New Roman" w:hAnsi="Times New Roman" w:cs="Times New Roman"/>
                      <w:color w:val="auto"/>
                      <w:szCs w:val="21"/>
                      <w:highlight w:val="none"/>
                      <w:lang w:val="en-US" w:eastAsia="zh-CN"/>
                    </w:rPr>
                    <w:t>排入用于周边农田施肥</w:t>
                  </w:r>
                </w:p>
              </w:tc>
              <w:tc>
                <w:tcPr>
                  <w:tcW w:w="1318" w:type="dxa"/>
                  <w:tcBorders>
                    <w:tl2br w:val="nil"/>
                    <w:tr2bl w:val="nil"/>
                  </w:tcBorders>
                  <w:vAlign w:val="center"/>
                </w:tcPr>
                <w:p w14:paraId="6A5865F9">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依托原有</w:t>
                  </w:r>
                </w:p>
              </w:tc>
            </w:tr>
            <w:tr w14:paraId="1AF9A0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766" w:type="dxa"/>
                  <w:vMerge w:val="continue"/>
                  <w:tcBorders>
                    <w:tl2br w:val="nil"/>
                    <w:tr2bl w:val="nil"/>
                  </w:tcBorders>
                  <w:vAlign w:val="center"/>
                </w:tcPr>
                <w:p w14:paraId="39351393">
                  <w:pPr>
                    <w:jc w:val="center"/>
                    <w:rPr>
                      <w:rFonts w:hint="eastAsia" w:cs="Times New Roman"/>
                      <w:color w:val="auto"/>
                      <w:szCs w:val="21"/>
                      <w:highlight w:val="none"/>
                      <w:lang w:val="en-US" w:eastAsia="zh-CN"/>
                    </w:rPr>
                  </w:pPr>
                </w:p>
              </w:tc>
              <w:tc>
                <w:tcPr>
                  <w:tcW w:w="983" w:type="dxa"/>
                  <w:vMerge w:val="continue"/>
                  <w:tcBorders>
                    <w:tl2br w:val="nil"/>
                    <w:tr2bl w:val="nil"/>
                  </w:tcBorders>
                  <w:vAlign w:val="center"/>
                </w:tcPr>
                <w:p w14:paraId="25065330">
                  <w:pPr>
                    <w:jc w:val="center"/>
                    <w:rPr>
                      <w:rFonts w:hint="eastAsia" w:cs="Times New Roman"/>
                      <w:color w:val="auto"/>
                      <w:szCs w:val="21"/>
                      <w:highlight w:val="none"/>
                      <w:lang w:val="en-US" w:eastAsia="zh-CN"/>
                    </w:rPr>
                  </w:pPr>
                </w:p>
              </w:tc>
              <w:tc>
                <w:tcPr>
                  <w:tcW w:w="5367" w:type="dxa"/>
                  <w:tcBorders>
                    <w:tl2br w:val="nil"/>
                    <w:tr2bl w:val="nil"/>
                  </w:tcBorders>
                  <w:vAlign w:val="center"/>
                </w:tcPr>
                <w:p w14:paraId="11B8D3AC">
                  <w:pPr>
                    <w:rPr>
                      <w:rFonts w:hint="eastAsia"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洗砂废水</w:t>
                  </w:r>
                  <w:r>
                    <w:rPr>
                      <w:rFonts w:hint="default" w:ascii="Times New Roman" w:hAnsi="Times New Roman" w:cs="Times New Roman"/>
                      <w:highlight w:val="none"/>
                      <w:lang w:val="en-US" w:eastAsia="zh-CN" w:bidi="ar"/>
                    </w:rPr>
                    <w:t>经混凝沉淀</w:t>
                  </w:r>
                  <w:r>
                    <w:rPr>
                      <w:lang w:bidi="ar"/>
                    </w:rPr>
                    <w:t>（</w:t>
                  </w:r>
                  <w:r>
                    <w:rPr>
                      <w:rFonts w:hint="eastAsia"/>
                      <w:szCs w:val="21"/>
                      <w:lang w:val="en-US" w:eastAsia="zh-CN"/>
                    </w:rPr>
                    <w:t>沉淀</w:t>
                  </w:r>
                  <w:r>
                    <w:rPr>
                      <w:szCs w:val="21"/>
                    </w:rPr>
                    <w:t>池</w:t>
                  </w:r>
                  <w:r>
                    <w:rPr>
                      <w:rFonts w:hint="eastAsia"/>
                      <w:szCs w:val="21"/>
                      <w:lang w:val="en-US" w:eastAsia="zh-CN"/>
                    </w:rPr>
                    <w:t>2</w:t>
                  </w:r>
                  <w:r>
                    <w:rPr>
                      <w:szCs w:val="21"/>
                    </w:rPr>
                    <w:t>00</w:t>
                  </w:r>
                  <w:r>
                    <w:rPr>
                      <w:rFonts w:hint="eastAsia"/>
                      <w:szCs w:val="21"/>
                    </w:rPr>
                    <w:t xml:space="preserve"> </w:t>
                  </w:r>
                  <w:r>
                    <w:rPr>
                      <w:szCs w:val="21"/>
                    </w:rPr>
                    <w:t>m</w:t>
                  </w:r>
                  <w:r>
                    <w:rPr>
                      <w:szCs w:val="21"/>
                      <w:vertAlign w:val="superscript"/>
                    </w:rPr>
                    <w:t>3</w:t>
                  </w:r>
                  <w:r>
                    <w:rPr>
                      <w:szCs w:val="21"/>
                    </w:rPr>
                    <w:t>+混凝罐</w:t>
                  </w:r>
                  <w:r>
                    <w:rPr>
                      <w:rFonts w:hint="eastAsia"/>
                      <w:szCs w:val="21"/>
                      <w:lang w:val="en-US" w:eastAsia="zh-CN"/>
                    </w:rPr>
                    <w:t>1</w:t>
                  </w:r>
                  <w:r>
                    <w:rPr>
                      <w:rFonts w:hint="eastAsia"/>
                      <w:szCs w:val="21"/>
                    </w:rPr>
                    <w:t>0</w:t>
                  </w:r>
                  <w:r>
                    <w:rPr>
                      <w:szCs w:val="21"/>
                    </w:rPr>
                    <w:t>0 m</w:t>
                  </w:r>
                  <w:r>
                    <w:rPr>
                      <w:szCs w:val="21"/>
                      <w:vertAlign w:val="superscript"/>
                    </w:rPr>
                    <w:t>3</w:t>
                  </w:r>
                  <w:r>
                    <w:t>）处理</w:t>
                  </w:r>
                  <w:r>
                    <w:rPr>
                      <w:lang w:bidi="ar"/>
                    </w:rPr>
                    <w:t>后</w:t>
                  </w:r>
                  <w:r>
                    <w:rPr>
                      <w:szCs w:val="21"/>
                    </w:rPr>
                    <w:t>循环利用</w:t>
                  </w:r>
                </w:p>
              </w:tc>
              <w:tc>
                <w:tcPr>
                  <w:tcW w:w="1318" w:type="dxa"/>
                  <w:vMerge w:val="restart"/>
                  <w:tcBorders>
                    <w:tl2br w:val="nil"/>
                    <w:tr2bl w:val="nil"/>
                  </w:tcBorders>
                  <w:vAlign w:val="center"/>
                </w:tcPr>
                <w:p w14:paraId="5DABAD43">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14:paraId="50744A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766" w:type="dxa"/>
                  <w:vMerge w:val="continue"/>
                  <w:tcBorders>
                    <w:tl2br w:val="nil"/>
                    <w:tr2bl w:val="nil"/>
                  </w:tcBorders>
                  <w:vAlign w:val="center"/>
                </w:tcPr>
                <w:p w14:paraId="041E5CE7">
                  <w:pPr>
                    <w:jc w:val="center"/>
                    <w:rPr>
                      <w:rFonts w:hint="eastAsia" w:cs="Times New Roman"/>
                      <w:color w:val="auto"/>
                      <w:szCs w:val="21"/>
                      <w:highlight w:val="none"/>
                      <w:lang w:val="en-US" w:eastAsia="zh-CN"/>
                    </w:rPr>
                  </w:pPr>
                </w:p>
              </w:tc>
              <w:tc>
                <w:tcPr>
                  <w:tcW w:w="983" w:type="dxa"/>
                  <w:vMerge w:val="continue"/>
                  <w:tcBorders>
                    <w:tl2br w:val="nil"/>
                    <w:tr2bl w:val="nil"/>
                  </w:tcBorders>
                  <w:vAlign w:val="center"/>
                </w:tcPr>
                <w:p w14:paraId="0B8A6604">
                  <w:pPr>
                    <w:jc w:val="center"/>
                    <w:rPr>
                      <w:rFonts w:hint="eastAsia" w:cs="Times New Roman"/>
                      <w:color w:val="auto"/>
                      <w:szCs w:val="21"/>
                      <w:highlight w:val="none"/>
                      <w:lang w:val="en-US" w:eastAsia="zh-CN"/>
                    </w:rPr>
                  </w:pPr>
                </w:p>
              </w:tc>
              <w:tc>
                <w:tcPr>
                  <w:tcW w:w="5367" w:type="dxa"/>
                  <w:tcBorders>
                    <w:tl2br w:val="nil"/>
                    <w:tr2bl w:val="nil"/>
                  </w:tcBorders>
                  <w:vAlign w:val="center"/>
                </w:tcPr>
                <w:p w14:paraId="6CF7AAE7">
                  <w:pP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彩砂清洗</w:t>
                  </w:r>
                  <w:r>
                    <w:rPr>
                      <w:rFonts w:hint="default" w:ascii="Times New Roman" w:hAnsi="Times New Roman" w:cs="Times New Roman"/>
                      <w:color w:val="auto"/>
                      <w:szCs w:val="21"/>
                      <w:highlight w:val="none"/>
                      <w:lang w:val="en-US" w:eastAsia="zh-CN"/>
                    </w:rPr>
                    <w:t>废水</w:t>
                  </w:r>
                  <w:r>
                    <w:rPr>
                      <w:rFonts w:hint="default" w:ascii="Times New Roman" w:hAnsi="Times New Roman" w:cs="Times New Roman"/>
                      <w:highlight w:val="none"/>
                      <w:lang w:val="en-US" w:eastAsia="zh-CN" w:bidi="ar"/>
                    </w:rPr>
                    <w:t>经混凝沉淀</w:t>
                  </w:r>
                  <w:r>
                    <w:rPr>
                      <w:lang w:bidi="ar"/>
                    </w:rPr>
                    <w:t>（</w:t>
                  </w:r>
                  <w:r>
                    <w:rPr>
                      <w:rFonts w:hint="eastAsia"/>
                      <w:szCs w:val="21"/>
                      <w:lang w:val="en-US" w:eastAsia="zh-CN"/>
                    </w:rPr>
                    <w:t>沉淀</w:t>
                  </w:r>
                  <w:r>
                    <w:rPr>
                      <w:szCs w:val="21"/>
                    </w:rPr>
                    <w:t>池</w:t>
                  </w:r>
                  <w:r>
                    <w:rPr>
                      <w:rFonts w:hint="eastAsia"/>
                      <w:szCs w:val="21"/>
                      <w:lang w:val="en-US" w:eastAsia="zh-CN"/>
                    </w:rPr>
                    <w:t>3</w:t>
                  </w:r>
                  <w:r>
                    <w:rPr>
                      <w:szCs w:val="21"/>
                    </w:rPr>
                    <w:t>00</w:t>
                  </w:r>
                  <w:r>
                    <w:rPr>
                      <w:rFonts w:hint="eastAsia"/>
                      <w:szCs w:val="21"/>
                    </w:rPr>
                    <w:t xml:space="preserve"> </w:t>
                  </w:r>
                  <w:r>
                    <w:rPr>
                      <w:szCs w:val="21"/>
                    </w:rPr>
                    <w:t>m</w:t>
                  </w:r>
                  <w:r>
                    <w:rPr>
                      <w:szCs w:val="21"/>
                      <w:vertAlign w:val="superscript"/>
                    </w:rPr>
                    <w:t>3</w:t>
                  </w:r>
                  <w:r>
                    <w:rPr>
                      <w:szCs w:val="21"/>
                    </w:rPr>
                    <w:t>+混凝罐</w:t>
                  </w:r>
                  <w:r>
                    <w:rPr>
                      <w:rFonts w:hint="eastAsia"/>
                      <w:szCs w:val="21"/>
                      <w:lang w:val="en-US" w:eastAsia="zh-CN"/>
                    </w:rPr>
                    <w:t>1</w:t>
                  </w:r>
                  <w:r>
                    <w:rPr>
                      <w:rFonts w:hint="eastAsia"/>
                      <w:szCs w:val="21"/>
                    </w:rPr>
                    <w:t>0</w:t>
                  </w:r>
                  <w:r>
                    <w:rPr>
                      <w:szCs w:val="21"/>
                    </w:rPr>
                    <w:t>0 m</w:t>
                  </w:r>
                  <w:r>
                    <w:rPr>
                      <w:szCs w:val="21"/>
                      <w:vertAlign w:val="superscript"/>
                    </w:rPr>
                    <w:t>3</w:t>
                  </w:r>
                  <w:r>
                    <w:t>）</w:t>
                  </w:r>
                  <w:r>
                    <w:rPr>
                      <w:rFonts w:hint="default" w:ascii="Times New Roman" w:hAnsi="Times New Roman" w:eastAsia="宋体" w:cs="Times New Roman"/>
                      <w:color w:val="auto"/>
                      <w:kern w:val="2"/>
                      <w:sz w:val="21"/>
                      <w:szCs w:val="24"/>
                      <w:highlight w:val="none"/>
                      <w:lang w:val="en-US" w:eastAsia="zh-CN" w:bidi="ar-SA"/>
                    </w:rPr>
                    <w:t>处理</w:t>
                  </w:r>
                  <w:r>
                    <w:rPr>
                      <w:rFonts w:hint="default" w:ascii="Times New Roman" w:hAnsi="Times New Roman" w:cs="Times New Roman"/>
                      <w:highlight w:val="none"/>
                      <w:lang w:val="en-US" w:eastAsia="zh-CN" w:bidi="ar"/>
                    </w:rPr>
                    <w:t>后</w:t>
                  </w:r>
                  <w:r>
                    <w:rPr>
                      <w:rFonts w:hint="default" w:ascii="Times New Roman" w:hAnsi="Times New Roman" w:cs="Times New Roman"/>
                      <w:szCs w:val="21"/>
                      <w:highlight w:val="none"/>
                      <w:lang w:val="en-US" w:eastAsia="zh-CN"/>
                    </w:rPr>
                    <w:t>循环利用</w:t>
                  </w:r>
                </w:p>
              </w:tc>
              <w:tc>
                <w:tcPr>
                  <w:tcW w:w="1318" w:type="dxa"/>
                  <w:vMerge w:val="continue"/>
                  <w:tcBorders>
                    <w:tl2br w:val="nil"/>
                    <w:tr2bl w:val="nil"/>
                  </w:tcBorders>
                  <w:vAlign w:val="center"/>
                </w:tcPr>
                <w:p w14:paraId="4BB2158F">
                  <w:pPr>
                    <w:jc w:val="center"/>
                    <w:rPr>
                      <w:rFonts w:hint="eastAsia" w:ascii="Times New Roman" w:hAnsi="Times New Roman" w:eastAsia="宋体" w:cs="Times New Roman"/>
                      <w:color w:val="auto"/>
                      <w:szCs w:val="21"/>
                      <w:highlight w:val="none"/>
                      <w:lang w:val="en-US" w:eastAsia="zh-CN"/>
                    </w:rPr>
                  </w:pPr>
                </w:p>
              </w:tc>
            </w:tr>
            <w:tr w14:paraId="1A0625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766" w:type="dxa"/>
                  <w:vMerge w:val="continue"/>
                  <w:tcBorders>
                    <w:tl2br w:val="nil"/>
                    <w:tr2bl w:val="nil"/>
                  </w:tcBorders>
                  <w:vAlign w:val="center"/>
                </w:tcPr>
                <w:p w14:paraId="54DFFEBF">
                  <w:pPr>
                    <w:jc w:val="center"/>
                  </w:pPr>
                </w:p>
              </w:tc>
              <w:tc>
                <w:tcPr>
                  <w:tcW w:w="983" w:type="dxa"/>
                  <w:vMerge w:val="continue"/>
                  <w:tcBorders>
                    <w:tl2br w:val="nil"/>
                    <w:tr2bl w:val="nil"/>
                  </w:tcBorders>
                  <w:vAlign w:val="center"/>
                </w:tcPr>
                <w:p w14:paraId="0456FC24">
                  <w:pPr>
                    <w:jc w:val="center"/>
                  </w:pPr>
                </w:p>
              </w:tc>
              <w:tc>
                <w:tcPr>
                  <w:tcW w:w="5367" w:type="dxa"/>
                  <w:tcBorders>
                    <w:tl2br w:val="nil"/>
                    <w:tr2bl w:val="nil"/>
                  </w:tcBorders>
                  <w:vAlign w:val="center"/>
                </w:tcPr>
                <w:p w14:paraId="71DC10C4">
                  <w:pPr>
                    <w:jc w:val="both"/>
                    <w:rPr>
                      <w:rFonts w:hint="eastAsia" w:cs="Times New Roman"/>
                      <w:color w:val="auto"/>
                      <w:szCs w:val="21"/>
                      <w:highlight w:val="none"/>
                      <w:lang w:val="en-US" w:eastAsia="zh-CN"/>
                    </w:rPr>
                  </w:pPr>
                  <w:r>
                    <w:rPr>
                      <w:rFonts w:hint="default" w:ascii="Times New Roman" w:hAnsi="Times New Roman" w:cs="Times New Roman"/>
                      <w:color w:val="auto"/>
                      <w:szCs w:val="21"/>
                      <w:highlight w:val="none"/>
                    </w:rPr>
                    <w:t>洗车废水经配套沉淀池</w:t>
                  </w:r>
                  <w:r>
                    <w:rPr>
                      <w:rFonts w:hint="default" w:ascii="Times New Roman" w:hAnsi="Times New Roman" w:cs="Times New Roman"/>
                      <w:color w:val="auto"/>
                      <w:szCs w:val="21"/>
                      <w:highlight w:val="none"/>
                      <w:lang w:eastAsia="zh-CN"/>
                    </w:rPr>
                    <w:t>（</w:t>
                  </w:r>
                  <w:r>
                    <w:rPr>
                      <w:rFonts w:hint="eastAsia" w:cs="Times New Roman"/>
                      <w:color w:val="auto"/>
                      <w:szCs w:val="21"/>
                      <w:highlight w:val="none"/>
                      <w:lang w:val="en-US" w:eastAsia="zh-CN"/>
                    </w:rPr>
                    <w:t>25</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处理后回用，不外排</w:t>
                  </w:r>
                </w:p>
              </w:tc>
              <w:tc>
                <w:tcPr>
                  <w:tcW w:w="1318" w:type="dxa"/>
                  <w:vMerge w:val="continue"/>
                  <w:tcBorders>
                    <w:tl2br w:val="nil"/>
                    <w:tr2bl w:val="nil"/>
                  </w:tcBorders>
                  <w:vAlign w:val="center"/>
                </w:tcPr>
                <w:p w14:paraId="2CF03D29">
                  <w:pPr>
                    <w:jc w:val="center"/>
                    <w:rPr>
                      <w:rFonts w:hint="eastAsia" w:ascii="Times New Roman" w:hAnsi="Times New Roman" w:eastAsia="宋体" w:cs="Times New Roman"/>
                      <w:color w:val="auto"/>
                      <w:szCs w:val="21"/>
                      <w:highlight w:val="none"/>
                      <w:lang w:val="en-US" w:eastAsia="zh-CN"/>
                    </w:rPr>
                  </w:pPr>
                </w:p>
              </w:tc>
            </w:tr>
            <w:tr w14:paraId="6B5225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66" w:type="dxa"/>
                  <w:vMerge w:val="restart"/>
                  <w:tcBorders>
                    <w:tl2br w:val="nil"/>
                    <w:tr2bl w:val="nil"/>
                  </w:tcBorders>
                  <w:vAlign w:val="center"/>
                </w:tcPr>
                <w:p w14:paraId="3A7BB906">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环保</w:t>
                  </w:r>
                </w:p>
                <w:p w14:paraId="0ACAFC97">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工程</w:t>
                  </w:r>
                </w:p>
              </w:tc>
              <w:tc>
                <w:tcPr>
                  <w:tcW w:w="983" w:type="dxa"/>
                  <w:vMerge w:val="restart"/>
                  <w:tcBorders>
                    <w:tl2br w:val="nil"/>
                    <w:tr2bl w:val="nil"/>
                  </w:tcBorders>
                  <w:vAlign w:val="center"/>
                </w:tcPr>
                <w:p w14:paraId="645480D7">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废水</w:t>
                  </w:r>
                </w:p>
                <w:p w14:paraId="4B64FAE7">
                  <w:pPr>
                    <w:pStyle w:val="103"/>
                    <w:snapToGrid w:val="0"/>
                    <w:rPr>
                      <w:rFonts w:hint="default" w:ascii="Times New Roman" w:hAnsi="Times New Roman" w:cs="Times New Roman"/>
                      <w:color w:val="auto"/>
                      <w:kern w:val="2"/>
                      <w:sz w:val="21"/>
                      <w:highlight w:val="none"/>
                    </w:rPr>
                  </w:pPr>
                  <w:r>
                    <w:rPr>
                      <w:rFonts w:hint="default" w:ascii="Times New Roman" w:hAnsi="Times New Roman" w:cs="Times New Roman"/>
                      <w:color w:val="auto"/>
                      <w:kern w:val="2"/>
                      <w:sz w:val="21"/>
                      <w:highlight w:val="none"/>
                    </w:rPr>
                    <w:t>治理</w:t>
                  </w:r>
                </w:p>
              </w:tc>
              <w:tc>
                <w:tcPr>
                  <w:tcW w:w="5367" w:type="dxa"/>
                  <w:tcBorders>
                    <w:tl2br w:val="nil"/>
                    <w:tr2bl w:val="nil"/>
                  </w:tcBorders>
                  <w:vAlign w:val="center"/>
                </w:tcPr>
                <w:p w14:paraId="4C4610F1">
                  <w:pPr>
                    <w:pStyle w:val="8"/>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highlight w:val="none"/>
                    </w:rPr>
                    <w:t>厂区化粪</w:t>
                  </w:r>
                  <w:r>
                    <w:rPr>
                      <w:rFonts w:hint="default" w:ascii="Times New Roman" w:hAnsi="Times New Roman" w:eastAsia="宋体" w:cs="Times New Roman"/>
                      <w:bCs w:val="0"/>
                      <w:color w:val="auto"/>
                      <w:kern w:val="2"/>
                      <w:sz w:val="21"/>
                      <w:szCs w:val="21"/>
                      <w:highlight w:val="none"/>
                      <w:lang w:val="en-US" w:eastAsia="zh-CN" w:bidi="ar-SA"/>
                    </w:rPr>
                    <w:t>池处理后</w:t>
                  </w:r>
                  <w:r>
                    <w:rPr>
                      <w:rFonts w:hint="eastAsia" w:cs="Times New Roman"/>
                      <w:bCs w:val="0"/>
                      <w:color w:val="auto"/>
                      <w:kern w:val="2"/>
                      <w:sz w:val="21"/>
                      <w:szCs w:val="21"/>
                      <w:highlight w:val="none"/>
                      <w:lang w:val="en-US" w:eastAsia="zh-CN" w:bidi="ar-SA"/>
                    </w:rPr>
                    <w:t>用于周边农田施肥</w:t>
                  </w:r>
                  <w:r>
                    <w:rPr>
                      <w:rFonts w:hint="default" w:ascii="Times New Roman" w:hAnsi="Times New Roman" w:eastAsia="宋体" w:cs="Times New Roman"/>
                      <w:bCs w:val="0"/>
                      <w:color w:val="auto"/>
                      <w:kern w:val="2"/>
                      <w:sz w:val="21"/>
                      <w:szCs w:val="21"/>
                      <w:highlight w:val="none"/>
                      <w:lang w:val="en-US" w:eastAsia="zh-CN" w:bidi="ar-SA"/>
                    </w:rPr>
                    <w:t>；</w:t>
                  </w:r>
                </w:p>
              </w:tc>
              <w:tc>
                <w:tcPr>
                  <w:tcW w:w="1318" w:type="dxa"/>
                  <w:tcBorders>
                    <w:tl2br w:val="nil"/>
                    <w:tr2bl w:val="nil"/>
                  </w:tcBorders>
                  <w:vAlign w:val="center"/>
                </w:tcPr>
                <w:p w14:paraId="1756343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依托原有</w:t>
                  </w:r>
                </w:p>
              </w:tc>
            </w:tr>
            <w:tr w14:paraId="35FD28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66" w:type="dxa"/>
                  <w:vMerge w:val="continue"/>
                  <w:tcBorders>
                    <w:tl2br w:val="nil"/>
                    <w:tr2bl w:val="nil"/>
                  </w:tcBorders>
                  <w:vAlign w:val="center"/>
                </w:tcPr>
                <w:p w14:paraId="731E1F35">
                  <w:pPr>
                    <w:pStyle w:val="8"/>
                    <w:ind w:firstLine="0"/>
                  </w:pPr>
                </w:p>
              </w:tc>
              <w:tc>
                <w:tcPr>
                  <w:tcW w:w="983" w:type="dxa"/>
                  <w:vMerge w:val="continue"/>
                  <w:tcBorders>
                    <w:tl2br w:val="nil"/>
                    <w:tr2bl w:val="nil"/>
                  </w:tcBorders>
                  <w:vAlign w:val="center"/>
                </w:tcPr>
                <w:p w14:paraId="1F05FBF7">
                  <w:pPr>
                    <w:pStyle w:val="8"/>
                    <w:ind w:firstLine="0"/>
                  </w:pPr>
                </w:p>
              </w:tc>
              <w:tc>
                <w:tcPr>
                  <w:tcW w:w="5367" w:type="dxa"/>
                  <w:tcBorders>
                    <w:tl2br w:val="nil"/>
                    <w:tr2bl w:val="nil"/>
                  </w:tcBorders>
                  <w:vAlign w:val="center"/>
                </w:tcPr>
                <w:p w14:paraId="38D5CD18">
                  <w:pP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洗砂废水</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彩砂清洗</w:t>
                  </w:r>
                  <w:r>
                    <w:rPr>
                      <w:rFonts w:hint="default" w:ascii="Times New Roman" w:hAnsi="Times New Roman" w:cs="Times New Roman"/>
                      <w:color w:val="auto"/>
                      <w:szCs w:val="21"/>
                      <w:highlight w:val="none"/>
                      <w:lang w:val="en-US" w:eastAsia="zh-CN"/>
                    </w:rPr>
                    <w:t>废水经沉淀处理后循环利用不外排；</w:t>
                  </w:r>
                </w:p>
                <w:p w14:paraId="7E58ABF6">
                  <w:pPr>
                    <w:pStyle w:val="8"/>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洗车废水经配套沉淀池处理后回用，不外排</w:t>
                  </w:r>
                </w:p>
              </w:tc>
              <w:tc>
                <w:tcPr>
                  <w:tcW w:w="1318" w:type="dxa"/>
                  <w:tcBorders>
                    <w:tl2br w:val="nil"/>
                    <w:tr2bl w:val="nil"/>
                  </w:tcBorders>
                  <w:vAlign w:val="center"/>
                </w:tcPr>
                <w:p w14:paraId="0FC7711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14:paraId="62FD1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vAlign w:val="center"/>
                </w:tcPr>
                <w:p w14:paraId="6A8B49F5">
                  <w:pPr>
                    <w:rPr>
                      <w:rFonts w:hint="default" w:ascii="Times New Roman" w:hAnsi="Times New Roman" w:cs="Times New Roman"/>
                      <w:color w:val="auto"/>
                      <w:szCs w:val="21"/>
                      <w:highlight w:val="none"/>
                    </w:rPr>
                  </w:pPr>
                </w:p>
              </w:tc>
              <w:tc>
                <w:tcPr>
                  <w:tcW w:w="983" w:type="dxa"/>
                  <w:tcBorders>
                    <w:tl2br w:val="nil"/>
                    <w:tr2bl w:val="nil"/>
                  </w:tcBorders>
                  <w:vAlign w:val="center"/>
                </w:tcPr>
                <w:p w14:paraId="3E8A07A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p w14:paraId="735EAC4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w:t>
                  </w:r>
                </w:p>
              </w:tc>
              <w:tc>
                <w:tcPr>
                  <w:tcW w:w="5367" w:type="dxa"/>
                  <w:tcBorders>
                    <w:tl2br w:val="nil"/>
                    <w:tr2bl w:val="nil"/>
                  </w:tcBorders>
                  <w:vAlign w:val="center"/>
                </w:tcPr>
                <w:p w14:paraId="75F53E32">
                  <w:pPr>
                    <w:rPr>
                      <w:rFonts w:hint="default" w:ascii="Times New Roman" w:hAnsi="Times New Roman" w:cs="Times New Roman"/>
                      <w:bCs/>
                      <w:szCs w:val="21"/>
                      <w:highlight w:val="none"/>
                    </w:rPr>
                  </w:pPr>
                  <w:r>
                    <w:rPr>
                      <w:rFonts w:hint="default" w:ascii="Times New Roman" w:hAnsi="Times New Roman" w:cs="Times New Roman"/>
                      <w:bCs/>
                      <w:szCs w:val="21"/>
                      <w:highlight w:val="none"/>
                    </w:rPr>
                    <w:t>建设封闭式生产厂房，地面硬化；</w:t>
                  </w:r>
                </w:p>
                <w:p w14:paraId="79D7A1B6">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砂石骨料生产线</w:t>
                  </w:r>
                  <w:r>
                    <w:rPr>
                      <w:rFonts w:hint="default" w:ascii="Times New Roman" w:hAnsi="Times New Roman" w:cs="Times New Roman"/>
                      <w:color w:val="auto"/>
                      <w:szCs w:val="21"/>
                      <w:highlight w:val="none"/>
                    </w:rPr>
                    <w:t>各产尘点均布置有集气设施，统一收集后经车间中央布袋除尘器处理后通过1根</w:t>
                  </w:r>
                  <w:r>
                    <w:rPr>
                      <w:rFonts w:hint="default" w:ascii="Times New Roman" w:hAnsi="Times New Roman" w:cs="Times New Roman"/>
                      <w:color w:val="auto"/>
                      <w:szCs w:val="21"/>
                      <w:highlight w:val="none"/>
                      <w:lang w:val="en-US" w:eastAsia="zh-CN"/>
                    </w:rPr>
                    <w:t>不低于</w:t>
                  </w: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m排气筒（编号DA</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rPr>
                    <w:t>001）排放；</w:t>
                  </w:r>
                </w:p>
                <w:p w14:paraId="0614DE17">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彩砂生产线</w:t>
                  </w:r>
                  <w:r>
                    <w:rPr>
                      <w:rFonts w:hint="default" w:ascii="Times New Roman" w:hAnsi="Times New Roman" w:cs="Times New Roman"/>
                      <w:color w:val="auto"/>
                      <w:szCs w:val="21"/>
                      <w:highlight w:val="none"/>
                    </w:rPr>
                    <w:t>各产尘点均布置有集气设施，统一收集后经车间中央布袋除尘器处理后通过1根</w:t>
                  </w:r>
                  <w:r>
                    <w:rPr>
                      <w:rFonts w:hint="default" w:ascii="Times New Roman" w:hAnsi="Times New Roman" w:cs="Times New Roman"/>
                      <w:color w:val="auto"/>
                      <w:szCs w:val="21"/>
                      <w:highlight w:val="none"/>
                      <w:lang w:val="en-US" w:eastAsia="zh-CN"/>
                    </w:rPr>
                    <w:t>不低于</w:t>
                  </w: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m排气筒（编号DA</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rPr>
                    <w:t>00</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）排放；</w:t>
                  </w:r>
                </w:p>
                <w:p w14:paraId="440495E2">
                  <w:pP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改性粉体</w:t>
                  </w:r>
                  <w:r>
                    <w:rPr>
                      <w:rFonts w:hint="default" w:ascii="Times New Roman" w:hAnsi="Times New Roman" w:cs="Times New Roman"/>
                      <w:color w:val="auto"/>
                      <w:kern w:val="2"/>
                      <w:sz w:val="21"/>
                      <w:highlight w:val="none"/>
                      <w:lang w:val="en-US" w:eastAsia="zh-CN"/>
                    </w:rPr>
                    <w:t>及干混</w:t>
                  </w:r>
                  <w:r>
                    <w:rPr>
                      <w:rFonts w:hint="default" w:ascii="Times New Roman" w:hAnsi="Times New Roman" w:cs="Times New Roman"/>
                      <w:color w:val="auto"/>
                      <w:kern w:val="2"/>
                      <w:sz w:val="21"/>
                      <w:highlight w:val="none"/>
                    </w:rPr>
                    <w:t>砂浆</w:t>
                  </w:r>
                  <w:r>
                    <w:rPr>
                      <w:rFonts w:hint="default" w:ascii="Times New Roman" w:hAnsi="Times New Roman" w:cs="Times New Roman"/>
                      <w:color w:val="auto"/>
                      <w:sz w:val="21"/>
                      <w:szCs w:val="21"/>
                      <w:highlight w:val="none"/>
                    </w:rPr>
                    <w:t>生产线各产尘点均布置有集气设施，统一通过中央布袋除尘器处理后经1根1</w:t>
                  </w:r>
                  <w:r>
                    <w:rPr>
                      <w:rFonts w:hint="eastAsia" w:cs="Times New Roman"/>
                      <w:color w:val="auto"/>
                      <w:sz w:val="21"/>
                      <w:szCs w:val="21"/>
                      <w:highlight w:val="none"/>
                      <w:lang w:val="en-US" w:eastAsia="zh-CN"/>
                    </w:rPr>
                    <w:t xml:space="preserve">5 </w:t>
                  </w:r>
                  <w:r>
                    <w:rPr>
                      <w:rFonts w:hint="default" w:ascii="Times New Roman" w:hAnsi="Times New Roman" w:cs="Times New Roman"/>
                      <w:color w:val="auto"/>
                      <w:sz w:val="21"/>
                      <w:szCs w:val="21"/>
                      <w:highlight w:val="none"/>
                    </w:rPr>
                    <w:t>m排气筒（</w:t>
                  </w:r>
                  <w:r>
                    <w:rPr>
                      <w:rFonts w:hint="eastAsia" w:cs="Times New Roman"/>
                      <w:color w:val="auto"/>
                      <w:sz w:val="21"/>
                      <w:szCs w:val="21"/>
                      <w:highlight w:val="none"/>
                      <w:lang w:val="en-US" w:eastAsia="zh-CN"/>
                    </w:rPr>
                    <w:t>编号</w:t>
                  </w:r>
                  <w:r>
                    <w:rPr>
                      <w:rFonts w:hint="default" w:ascii="Times New Roman" w:hAnsi="Times New Roman" w:cs="Times New Roman"/>
                      <w:color w:val="auto"/>
                      <w:sz w:val="21"/>
                      <w:szCs w:val="21"/>
                      <w:highlight w:val="none"/>
                    </w:rPr>
                    <w:t>DA</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）排放</w:t>
                  </w:r>
                  <w:r>
                    <w:rPr>
                      <w:rFonts w:hint="default" w:ascii="Times New Roman" w:hAnsi="Times New Roman" w:cs="Times New Roman"/>
                      <w:color w:val="auto"/>
                      <w:sz w:val="21"/>
                      <w:szCs w:val="21"/>
                      <w:highlight w:val="none"/>
                      <w:lang w:eastAsia="zh-CN"/>
                    </w:rPr>
                    <w:t>；</w:t>
                  </w:r>
                </w:p>
                <w:p w14:paraId="7C6B79D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原料</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成品</w:t>
                  </w:r>
                  <w:r>
                    <w:rPr>
                      <w:rFonts w:hint="default" w:ascii="Times New Roman" w:hAnsi="Times New Roman" w:cs="Times New Roman"/>
                      <w:color w:val="auto"/>
                      <w:szCs w:val="21"/>
                      <w:highlight w:val="none"/>
                    </w:rPr>
                    <w:t>堆场需进行三面围挡+顶棚处置；</w:t>
                  </w:r>
                </w:p>
                <w:p w14:paraId="6BC93B78">
                  <w:pPr>
                    <w:pStyle w:val="41"/>
                    <w:rPr>
                      <w:rFonts w:hint="default" w:ascii="Times New Roman" w:hAnsi="Times New Roman" w:cs="Times New Roman"/>
                    </w:rPr>
                  </w:pPr>
                  <w:r>
                    <w:rPr>
                      <w:rFonts w:hint="default" w:ascii="Times New Roman" w:hAnsi="Times New Roman" w:eastAsia="宋体" w:cs="Times New Roman"/>
                      <w:color w:val="auto"/>
                      <w:kern w:val="2"/>
                      <w:sz w:val="21"/>
                      <w:szCs w:val="21"/>
                      <w:highlight w:val="none"/>
                      <w:lang w:val="en-US" w:eastAsia="zh-CN" w:bidi="ar-SA"/>
                    </w:rPr>
                    <w:t>硬化厂区运输道路，定期洒水；设置洗车平台；运输车辆加盖篷布遮挡、加强车辆管理</w:t>
                  </w:r>
                </w:p>
              </w:tc>
              <w:tc>
                <w:tcPr>
                  <w:tcW w:w="1318" w:type="dxa"/>
                  <w:tcBorders>
                    <w:tl2br w:val="nil"/>
                    <w:tr2bl w:val="nil"/>
                  </w:tcBorders>
                  <w:vAlign w:val="center"/>
                </w:tcPr>
                <w:p w14:paraId="78FCA40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新建</w:t>
                  </w:r>
                </w:p>
              </w:tc>
            </w:tr>
            <w:tr w14:paraId="44D43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vAlign w:val="center"/>
                </w:tcPr>
                <w:p w14:paraId="67DEDC71">
                  <w:pPr>
                    <w:rPr>
                      <w:rFonts w:hint="default" w:ascii="Times New Roman" w:hAnsi="Times New Roman" w:cs="Times New Roman"/>
                      <w:color w:val="auto"/>
                      <w:szCs w:val="21"/>
                      <w:highlight w:val="none"/>
                    </w:rPr>
                  </w:pPr>
                </w:p>
              </w:tc>
              <w:tc>
                <w:tcPr>
                  <w:tcW w:w="983" w:type="dxa"/>
                  <w:tcBorders>
                    <w:tl2br w:val="nil"/>
                    <w:tr2bl w:val="nil"/>
                  </w:tcBorders>
                  <w:vAlign w:val="center"/>
                </w:tcPr>
                <w:p w14:paraId="2248B66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p w14:paraId="0A45EA3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控制</w:t>
                  </w:r>
                </w:p>
              </w:tc>
              <w:tc>
                <w:tcPr>
                  <w:tcW w:w="5367" w:type="dxa"/>
                  <w:tcBorders>
                    <w:tl2br w:val="nil"/>
                    <w:tr2bl w:val="nil"/>
                  </w:tcBorders>
                  <w:vAlign w:val="center"/>
                </w:tcPr>
                <w:p w14:paraId="1D8FCAEF">
                  <w:pPr>
                    <w:pStyle w:val="8"/>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选用低噪声设备，运营期内合理安排运行时间，并采取针对性减振措施等</w:t>
                  </w:r>
                </w:p>
              </w:tc>
              <w:tc>
                <w:tcPr>
                  <w:tcW w:w="1318" w:type="dxa"/>
                  <w:tcBorders>
                    <w:tl2br w:val="nil"/>
                    <w:tr2bl w:val="nil"/>
                  </w:tcBorders>
                  <w:vAlign w:val="center"/>
                </w:tcPr>
                <w:p w14:paraId="10A01694">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新建</w:t>
                  </w:r>
                </w:p>
              </w:tc>
            </w:tr>
            <w:tr w14:paraId="09EE23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vAlign w:val="center"/>
                </w:tcPr>
                <w:p w14:paraId="00D0E388">
                  <w:pPr>
                    <w:rPr>
                      <w:rFonts w:hint="default" w:ascii="Times New Roman" w:hAnsi="Times New Roman" w:cs="Times New Roman"/>
                      <w:color w:val="auto"/>
                      <w:szCs w:val="21"/>
                      <w:highlight w:val="none"/>
                    </w:rPr>
                  </w:pPr>
                </w:p>
              </w:tc>
              <w:tc>
                <w:tcPr>
                  <w:tcW w:w="983" w:type="dxa"/>
                  <w:tcBorders>
                    <w:tl2br w:val="nil"/>
                    <w:tr2bl w:val="nil"/>
                  </w:tcBorders>
                  <w:vAlign w:val="center"/>
                </w:tcPr>
                <w:p w14:paraId="771F15B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p w14:paraId="5F2622A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处置</w:t>
                  </w:r>
                </w:p>
              </w:tc>
              <w:tc>
                <w:tcPr>
                  <w:tcW w:w="5367" w:type="dxa"/>
                  <w:tcBorders>
                    <w:tl2br w:val="nil"/>
                    <w:tr2bl w:val="nil"/>
                  </w:tcBorders>
                  <w:vAlign w:val="center"/>
                </w:tcPr>
                <w:p w14:paraId="6714837F">
                  <w:pPr>
                    <w:pStyle w:val="103"/>
                    <w:snapToGrid w:val="0"/>
                    <w:spacing w:beforeLines="5" w:afterLines="5"/>
                    <w:jc w:val="lef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①生活垃圾经垃圾桶收集后交由环卫部门处置；</w:t>
                  </w:r>
                </w:p>
                <w:p w14:paraId="096B814F">
                  <w:pPr>
                    <w:pStyle w:val="103"/>
                    <w:snapToGrid w:val="0"/>
                    <w:spacing w:beforeLines="5" w:afterLines="5"/>
                    <w:jc w:val="lef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②收集尘统一收集后作为生产原料再利用；</w:t>
                  </w:r>
                </w:p>
                <w:p w14:paraId="7E856DF3">
                  <w:pPr>
                    <w:pStyle w:val="103"/>
                    <w:snapToGrid w:val="0"/>
                    <w:spacing w:beforeLines="5" w:afterLines="5"/>
                    <w:jc w:val="left"/>
                    <w:rPr>
                      <w:rFonts w:hint="default" w:ascii="Times New Roman" w:hAnsi="Times New Roman" w:eastAsia="宋体" w:cs="Times New Roman"/>
                      <w:bCs/>
                      <w:color w:val="auto"/>
                      <w:sz w:val="21"/>
                      <w:highlight w:val="none"/>
                      <w:lang w:eastAsia="zh-CN"/>
                    </w:rPr>
                  </w:pPr>
                  <w:r>
                    <w:rPr>
                      <w:rFonts w:hint="default" w:ascii="Times New Roman" w:hAnsi="Times New Roman" w:cs="Times New Roman"/>
                      <w:bCs/>
                      <w:color w:val="auto"/>
                      <w:sz w:val="21"/>
                      <w:highlight w:val="none"/>
                    </w:rPr>
                    <w:t>③</w:t>
                  </w:r>
                  <w:r>
                    <w:rPr>
                      <w:rFonts w:hint="default" w:ascii="Times New Roman" w:hAnsi="Times New Roman" w:eastAsia="宋体" w:cs="Times New Roman"/>
                      <w:bCs/>
                      <w:color w:val="auto"/>
                      <w:sz w:val="21"/>
                      <w:highlight w:val="none"/>
                    </w:rPr>
                    <w:t>沉淀池底泥经压滤处理后</w:t>
                  </w:r>
                  <w:r>
                    <w:rPr>
                      <w:rFonts w:hint="default" w:ascii="Times New Roman" w:hAnsi="Times New Roman" w:eastAsia="宋体" w:cs="Times New Roman"/>
                      <w:bCs/>
                      <w:color w:val="auto"/>
                      <w:sz w:val="21"/>
                      <w:highlight w:val="none"/>
                      <w:lang w:val="en-US" w:eastAsia="zh-CN"/>
                    </w:rPr>
                    <w:t>在厂内一般固废暂存间暂存后</w:t>
                  </w:r>
                  <w:r>
                    <w:rPr>
                      <w:rFonts w:hint="default" w:ascii="Times New Roman" w:hAnsi="Times New Roman" w:eastAsia="宋体" w:cs="Times New Roman"/>
                      <w:bCs/>
                      <w:color w:val="auto"/>
                      <w:sz w:val="21"/>
                      <w:highlight w:val="none"/>
                    </w:rPr>
                    <w:t>定期外</w:t>
                  </w:r>
                  <w:r>
                    <w:rPr>
                      <w:rFonts w:hint="eastAsia" w:ascii="Times New Roman" w:hAnsi="Times New Roman" w:cs="Times New Roman"/>
                      <w:bCs/>
                      <w:color w:val="auto"/>
                      <w:sz w:val="21"/>
                      <w:highlight w:val="none"/>
                      <w:lang w:val="en-US" w:eastAsia="zh-CN"/>
                    </w:rPr>
                    <w:t>运综合利用</w:t>
                  </w:r>
                  <w:r>
                    <w:rPr>
                      <w:rFonts w:hint="default" w:ascii="Times New Roman" w:hAnsi="Times New Roman" w:eastAsia="宋体" w:cs="Times New Roman"/>
                      <w:bCs/>
                      <w:color w:val="auto"/>
                      <w:sz w:val="21"/>
                      <w:highlight w:val="none"/>
                      <w:lang w:eastAsia="zh-CN"/>
                    </w:rPr>
                    <w:t>；</w:t>
                  </w:r>
                </w:p>
                <w:p w14:paraId="6EC7464A">
                  <w:pPr>
                    <w:pStyle w:val="103"/>
                    <w:snapToGrid w:val="0"/>
                    <w:spacing w:beforeLines="5" w:afterLines="5"/>
                    <w:jc w:val="left"/>
                    <w:rPr>
                      <w:rFonts w:hint="default" w:ascii="Times New Roman" w:hAnsi="Times New Roman" w:eastAsia="宋体" w:cs="Times New Roman"/>
                      <w:bCs/>
                      <w:color w:val="auto"/>
                      <w:sz w:val="21"/>
                      <w:highlight w:val="none"/>
                      <w:lang w:eastAsia="zh-CN"/>
                    </w:rPr>
                  </w:pPr>
                  <w:r>
                    <w:rPr>
                      <w:rFonts w:hint="default" w:ascii="Times New Roman" w:hAnsi="Times New Roman" w:cs="Times New Roman"/>
                      <w:bCs/>
                      <w:color w:val="auto"/>
                      <w:sz w:val="21"/>
                      <w:highlight w:val="none"/>
                      <w:lang w:val="en-US" w:eastAsia="zh-CN"/>
                    </w:rPr>
                    <w:t>④</w:t>
                  </w:r>
                  <w:r>
                    <w:rPr>
                      <w:rFonts w:hint="default" w:ascii="Times New Roman" w:hAnsi="Times New Roman" w:cs="Times New Roman"/>
                      <w:bCs/>
                      <w:color w:val="auto"/>
                      <w:sz w:val="21"/>
                      <w:highlight w:val="none"/>
                    </w:rPr>
                    <w:t>废编织袋交由当地废品回收站处置</w:t>
                  </w:r>
                  <w:r>
                    <w:rPr>
                      <w:rFonts w:hint="default" w:ascii="Times New Roman" w:hAnsi="Times New Roman" w:cs="Times New Roman"/>
                      <w:bCs/>
                      <w:color w:val="auto"/>
                      <w:sz w:val="21"/>
                      <w:highlight w:val="none"/>
                      <w:lang w:eastAsia="zh-CN"/>
                    </w:rPr>
                    <w:t>；</w:t>
                  </w:r>
                </w:p>
                <w:p w14:paraId="3DD310DE">
                  <w:pPr>
                    <w:pStyle w:val="103"/>
                    <w:snapToGrid w:val="0"/>
                    <w:spacing w:beforeLines="5" w:afterLines="5"/>
                    <w:jc w:val="left"/>
                    <w:rPr>
                      <w:rFonts w:hint="default" w:ascii="Times New Roman" w:hAnsi="Times New Roman" w:cs="Times New Roman"/>
                      <w:color w:val="auto"/>
                      <w:sz w:val="21"/>
                      <w:highlight w:val="none"/>
                    </w:rPr>
                  </w:pPr>
                  <w:r>
                    <w:rPr>
                      <w:rFonts w:hint="default" w:ascii="Times New Roman" w:hAnsi="Times New Roman" w:cs="Times New Roman"/>
                      <w:bCs/>
                      <w:color w:val="auto"/>
                      <w:sz w:val="21"/>
                      <w:highlight w:val="none"/>
                      <w:lang w:val="en-US" w:eastAsia="zh-CN"/>
                    </w:rPr>
                    <w:t>⑤</w:t>
                  </w:r>
                  <w:r>
                    <w:rPr>
                      <w:rFonts w:hint="default" w:ascii="Times New Roman" w:hAnsi="Times New Roman" w:cs="Times New Roman"/>
                      <w:bCs/>
                      <w:color w:val="auto"/>
                      <w:sz w:val="21"/>
                      <w:highlight w:val="none"/>
                    </w:rPr>
                    <w:t>废润滑油、废油桶、含油手套等经专用容器收集后</w:t>
                  </w:r>
                  <w:r>
                    <w:rPr>
                      <w:rFonts w:hint="default" w:ascii="Times New Roman" w:hAnsi="Times New Roman" w:cs="Times New Roman"/>
                      <w:bCs/>
                      <w:color w:val="auto"/>
                      <w:sz w:val="21"/>
                      <w:highlight w:val="none"/>
                      <w:lang w:val="en-US" w:eastAsia="zh-CN"/>
                    </w:rPr>
                    <w:t>暂存于危废贮存库</w:t>
                  </w:r>
                  <w:r>
                    <w:rPr>
                      <w:rFonts w:hint="default" w:ascii="Times New Roman" w:hAnsi="Times New Roman" w:cs="Times New Roman"/>
                      <w:bCs/>
                      <w:color w:val="auto"/>
                      <w:sz w:val="21"/>
                      <w:highlight w:val="none"/>
                    </w:rPr>
                    <w:t>，定期交由有</w:t>
                  </w:r>
                  <w:r>
                    <w:rPr>
                      <w:rFonts w:hint="default" w:ascii="Times New Roman" w:hAnsi="Times New Roman" w:cs="Times New Roman"/>
                      <w:bCs/>
                      <w:color w:val="auto"/>
                      <w:sz w:val="21"/>
                      <w:highlight w:val="none"/>
                      <w:lang w:val="en-US" w:eastAsia="zh-CN"/>
                    </w:rPr>
                    <w:t>危废</w:t>
                  </w:r>
                  <w:r>
                    <w:rPr>
                      <w:rFonts w:hint="eastAsia" w:ascii="Times New Roman" w:hAnsi="Times New Roman" w:cs="Times New Roman"/>
                      <w:bCs/>
                      <w:color w:val="auto"/>
                      <w:sz w:val="21"/>
                      <w:highlight w:val="none"/>
                      <w:lang w:val="en-US" w:eastAsia="zh-CN"/>
                    </w:rPr>
                    <w:t>处理</w:t>
                  </w:r>
                  <w:r>
                    <w:rPr>
                      <w:rFonts w:hint="default" w:ascii="Times New Roman" w:hAnsi="Times New Roman" w:cs="Times New Roman"/>
                      <w:bCs/>
                      <w:color w:val="auto"/>
                      <w:sz w:val="21"/>
                      <w:highlight w:val="none"/>
                    </w:rPr>
                    <w:t>资质单位处理</w:t>
                  </w:r>
                </w:p>
              </w:tc>
              <w:tc>
                <w:tcPr>
                  <w:tcW w:w="1318" w:type="dxa"/>
                  <w:tcBorders>
                    <w:tl2br w:val="nil"/>
                    <w:tr2bl w:val="nil"/>
                  </w:tcBorders>
                  <w:vAlign w:val="center"/>
                </w:tcPr>
                <w:p w14:paraId="1CDEE7E0">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新建</w:t>
                  </w:r>
                  <w:r>
                    <w:rPr>
                      <w:rFonts w:hint="default" w:ascii="Times New Roman" w:hAnsi="Times New Roman" w:cs="Times New Roman"/>
                      <w:color w:val="auto"/>
                      <w:szCs w:val="21"/>
                      <w:highlight w:val="none"/>
                    </w:rPr>
                    <w:t>危废贮存库</w:t>
                  </w:r>
                </w:p>
              </w:tc>
            </w:tr>
            <w:tr w14:paraId="34650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8434" w:type="dxa"/>
                  <w:gridSpan w:val="4"/>
                  <w:tcBorders>
                    <w:tl2br w:val="nil"/>
                    <w:tr2bl w:val="nil"/>
                  </w:tcBorders>
                  <w:vAlign w:val="center"/>
                </w:tcPr>
                <w:p w14:paraId="7E3DEAEF">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注：经现场调查，</w:t>
                  </w:r>
                  <w:r>
                    <w:rPr>
                      <w:rFonts w:hint="eastAsia" w:cs="Times New Roman"/>
                      <w:color w:val="auto"/>
                      <w:szCs w:val="21"/>
                      <w:highlight w:val="none"/>
                      <w:lang w:val="en-US" w:eastAsia="zh-CN"/>
                    </w:rPr>
                    <w:t>厂区</w:t>
                  </w:r>
                  <w:r>
                    <w:rPr>
                      <w:rFonts w:hint="default" w:ascii="Times New Roman" w:hAnsi="Times New Roman" w:cs="Times New Roman"/>
                      <w:color w:val="auto"/>
                      <w:szCs w:val="21"/>
                      <w:highlight w:val="none"/>
                    </w:rPr>
                    <w:t>原有环保设施中化粪池建成至今未出现渗漏、破损等现象，功能未发生变化。</w:t>
                  </w:r>
                </w:p>
              </w:tc>
            </w:tr>
          </w:tbl>
          <w:p w14:paraId="6BDAFEBA">
            <w:pPr>
              <w:numPr>
                <w:ilvl w:val="255"/>
                <w:numId w:val="0"/>
              </w:numPr>
              <w:spacing w:line="360" w:lineRule="auto"/>
              <w:ind w:firstLine="482" w:firstLineChars="200"/>
              <w:rPr>
                <w:rFonts w:hint="default" w:ascii="Times New Roman" w:hAnsi="Times New Roman" w:cs="Times New Roman"/>
                <w:b/>
                <w:bCs/>
                <w:color w:val="auto"/>
                <w:sz w:val="24"/>
                <w:szCs w:val="32"/>
                <w:highlight w:val="none"/>
              </w:rPr>
            </w:pPr>
            <w:r>
              <w:rPr>
                <w:rFonts w:hint="eastAsia" w:cs="Times New Roman"/>
                <w:b/>
                <w:bCs/>
                <w:color w:val="auto"/>
                <w:sz w:val="24"/>
                <w:szCs w:val="32"/>
                <w:highlight w:val="none"/>
                <w:lang w:val="en-US" w:eastAsia="zh-CN"/>
              </w:rPr>
              <w:t>4</w:t>
            </w:r>
            <w:r>
              <w:rPr>
                <w:rFonts w:hint="default" w:ascii="Times New Roman" w:hAnsi="Times New Roman" w:cs="Times New Roman"/>
                <w:b/>
                <w:bCs/>
                <w:color w:val="auto"/>
                <w:sz w:val="24"/>
                <w:szCs w:val="32"/>
                <w:highlight w:val="none"/>
              </w:rPr>
              <w:t>、产品方案</w:t>
            </w:r>
          </w:p>
          <w:p w14:paraId="63F75E64">
            <w:pPr>
              <w:pStyle w:val="46"/>
              <w:numPr>
                <w:ilvl w:val="255"/>
                <w:numId w:val="0"/>
              </w:numPr>
              <w:spacing w:line="360" w:lineRule="auto"/>
              <w:ind w:firstLine="480" w:firstLineChars="200"/>
              <w:rPr>
                <w:rFonts w:hint="default" w:ascii="Times New Roman" w:hAnsi="Times New Roman" w:eastAsia="宋体" w:cs="Times New Roman"/>
                <w:color w:val="auto"/>
                <w:szCs w:val="32"/>
                <w:highlight w:val="none"/>
                <w:lang w:eastAsia="zh-CN"/>
              </w:rPr>
            </w:pPr>
            <w:r>
              <w:rPr>
                <w:rFonts w:hint="default" w:ascii="Times New Roman" w:hAnsi="Times New Roman" w:cs="Times New Roman"/>
                <w:color w:val="auto"/>
                <w:szCs w:val="32"/>
                <w:highlight w:val="none"/>
                <w:lang w:val="en-US" w:eastAsia="zh-CN"/>
              </w:rPr>
              <w:t>本项目</w:t>
            </w:r>
            <w:r>
              <w:rPr>
                <w:rFonts w:hint="default" w:ascii="Times New Roman" w:hAnsi="Times New Roman" w:cs="Times New Roman"/>
                <w:color w:val="auto"/>
                <w:szCs w:val="32"/>
                <w:highlight w:val="none"/>
              </w:rPr>
              <w:t>具体产品方案见下表</w:t>
            </w:r>
            <w:r>
              <w:rPr>
                <w:rFonts w:hint="default" w:ascii="Times New Roman" w:hAnsi="Times New Roman" w:cs="Times New Roman"/>
                <w:color w:val="auto"/>
                <w:szCs w:val="32"/>
                <w:highlight w:val="none"/>
                <w:lang w:eastAsia="zh-CN"/>
              </w:rPr>
              <w:t>。</w:t>
            </w:r>
          </w:p>
          <w:p w14:paraId="23867B81">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本项目</w:t>
            </w:r>
            <w:r>
              <w:rPr>
                <w:rFonts w:hint="default" w:ascii="Times New Roman" w:hAnsi="Times New Roman" w:cs="Times New Roman"/>
                <w:b/>
                <w:bCs/>
                <w:color w:val="auto"/>
                <w:highlight w:val="none"/>
              </w:rPr>
              <w:t>产品方案一览表</w:t>
            </w:r>
          </w:p>
          <w:tbl>
            <w:tblPr>
              <w:tblStyle w:val="32"/>
              <w:tblW w:w="83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787"/>
              <w:gridCol w:w="803"/>
              <w:gridCol w:w="1960"/>
              <w:gridCol w:w="1590"/>
              <w:gridCol w:w="3257"/>
            </w:tblGrid>
            <w:tr w14:paraId="23377A3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68" w:hRule="atLeast"/>
                <w:tblHeader/>
                <w:jc w:val="center"/>
              </w:trPr>
              <w:tc>
                <w:tcPr>
                  <w:tcW w:w="787" w:type="dxa"/>
                  <w:tcBorders>
                    <w:tl2br w:val="nil"/>
                    <w:tr2bl w:val="nil"/>
                  </w:tcBorders>
                  <w:vAlign w:val="center"/>
                </w:tcPr>
                <w:p w14:paraId="45BB83DB">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763" w:type="dxa"/>
                  <w:gridSpan w:val="2"/>
                  <w:tcBorders>
                    <w:tl2br w:val="nil"/>
                    <w:tr2bl w:val="nil"/>
                  </w:tcBorders>
                  <w:vAlign w:val="center"/>
                </w:tcPr>
                <w:p w14:paraId="3EB6C67F">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产品类型</w:t>
                  </w:r>
                </w:p>
              </w:tc>
              <w:tc>
                <w:tcPr>
                  <w:tcW w:w="1590" w:type="dxa"/>
                  <w:tcBorders>
                    <w:tl2br w:val="nil"/>
                    <w:tr2bl w:val="nil"/>
                  </w:tcBorders>
                  <w:vAlign w:val="center"/>
                </w:tcPr>
                <w:p w14:paraId="1615BC5B">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年产量</w:t>
                  </w:r>
                </w:p>
              </w:tc>
              <w:tc>
                <w:tcPr>
                  <w:tcW w:w="3257" w:type="dxa"/>
                  <w:tcBorders>
                    <w:tl2br w:val="nil"/>
                    <w:tr2bl w:val="nil"/>
                  </w:tcBorders>
                  <w:vAlign w:val="center"/>
                </w:tcPr>
                <w:p w14:paraId="19484054">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备注</w:t>
                  </w:r>
                </w:p>
              </w:tc>
            </w:tr>
            <w:tr w14:paraId="2884A89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74" w:hRule="atLeast"/>
                <w:tblHeader/>
                <w:jc w:val="center"/>
              </w:trPr>
              <w:tc>
                <w:tcPr>
                  <w:tcW w:w="787" w:type="dxa"/>
                  <w:tcBorders>
                    <w:tl2br w:val="nil"/>
                    <w:tr2bl w:val="nil"/>
                  </w:tcBorders>
                  <w:shd w:val="clear" w:color="auto" w:fill="auto"/>
                  <w:vAlign w:val="center"/>
                </w:tcPr>
                <w:p w14:paraId="3FA79DF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p>
              </w:tc>
              <w:tc>
                <w:tcPr>
                  <w:tcW w:w="803" w:type="dxa"/>
                  <w:vMerge w:val="restart"/>
                  <w:tcBorders>
                    <w:tl2br w:val="nil"/>
                    <w:tr2bl w:val="nil"/>
                  </w:tcBorders>
                  <w:vAlign w:val="center"/>
                </w:tcPr>
                <w:p w14:paraId="725B5D4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砂石</w:t>
                  </w:r>
                </w:p>
              </w:tc>
              <w:tc>
                <w:tcPr>
                  <w:tcW w:w="1960" w:type="dxa"/>
                  <w:tcBorders>
                    <w:tl2br w:val="nil"/>
                    <w:tr2bl w:val="nil"/>
                  </w:tcBorders>
                  <w:vAlign w:val="center"/>
                </w:tcPr>
                <w:p w14:paraId="14851DAF">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10~30 mm石子</w:t>
                  </w:r>
                </w:p>
              </w:tc>
              <w:tc>
                <w:tcPr>
                  <w:tcW w:w="1590" w:type="dxa"/>
                  <w:tcBorders>
                    <w:tl2br w:val="nil"/>
                    <w:tr2bl w:val="nil"/>
                  </w:tcBorders>
                  <w:vAlign w:val="center"/>
                </w:tcPr>
                <w:p w14:paraId="57BDB5DC">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40万t/a</w:t>
                  </w:r>
                </w:p>
              </w:tc>
              <w:tc>
                <w:tcPr>
                  <w:tcW w:w="3257" w:type="dxa"/>
                  <w:tcBorders>
                    <w:tl2br w:val="nil"/>
                    <w:tr2bl w:val="nil"/>
                  </w:tcBorders>
                  <w:vAlign w:val="center"/>
                </w:tcPr>
                <w:p w14:paraId="52AD0B4B">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外售</w:t>
                  </w:r>
                </w:p>
              </w:tc>
            </w:tr>
            <w:tr w14:paraId="01DDDE8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74" w:hRule="atLeast"/>
                <w:tblHeader/>
                <w:jc w:val="center"/>
              </w:trPr>
              <w:tc>
                <w:tcPr>
                  <w:tcW w:w="787" w:type="dxa"/>
                  <w:tcBorders>
                    <w:tl2br w:val="nil"/>
                    <w:tr2bl w:val="nil"/>
                  </w:tcBorders>
                  <w:shd w:val="clear" w:color="auto" w:fill="auto"/>
                  <w:vAlign w:val="center"/>
                </w:tcPr>
                <w:p w14:paraId="09E3ED5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803" w:type="dxa"/>
                  <w:vMerge w:val="continue"/>
                  <w:tcBorders>
                    <w:tl2br w:val="nil"/>
                    <w:tr2bl w:val="nil"/>
                  </w:tcBorders>
                  <w:vAlign w:val="center"/>
                </w:tcPr>
                <w:p w14:paraId="2AF83B3A">
                  <w:pPr>
                    <w:snapToGrid w:val="0"/>
                    <w:jc w:val="center"/>
                    <w:rPr>
                      <w:rFonts w:hint="default" w:ascii="Times New Roman" w:hAnsi="Times New Roman" w:cs="Times New Roman"/>
                      <w:color w:val="auto"/>
                      <w:szCs w:val="21"/>
                      <w:highlight w:val="none"/>
                      <w:lang w:val="en-US" w:eastAsia="zh-CN"/>
                    </w:rPr>
                  </w:pPr>
                </w:p>
              </w:tc>
              <w:tc>
                <w:tcPr>
                  <w:tcW w:w="1960" w:type="dxa"/>
                  <w:tcBorders>
                    <w:tl2br w:val="nil"/>
                    <w:tr2bl w:val="nil"/>
                  </w:tcBorders>
                  <w:vAlign w:val="center"/>
                </w:tcPr>
                <w:p w14:paraId="182B47E7">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5~10 mm石子</w:t>
                  </w:r>
                </w:p>
              </w:tc>
              <w:tc>
                <w:tcPr>
                  <w:tcW w:w="1590" w:type="dxa"/>
                  <w:tcBorders>
                    <w:tl2br w:val="nil"/>
                    <w:tr2bl w:val="nil"/>
                  </w:tcBorders>
                  <w:vAlign w:val="center"/>
                </w:tcPr>
                <w:p w14:paraId="1A8C487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40万t/a</w:t>
                  </w:r>
                </w:p>
              </w:tc>
              <w:tc>
                <w:tcPr>
                  <w:tcW w:w="3257" w:type="dxa"/>
                  <w:tcBorders>
                    <w:tl2br w:val="nil"/>
                    <w:tr2bl w:val="nil"/>
                  </w:tcBorders>
                  <w:vAlign w:val="center"/>
                </w:tcPr>
                <w:p w14:paraId="3284B761">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外售</w:t>
                  </w:r>
                </w:p>
              </w:tc>
            </w:tr>
            <w:tr w14:paraId="30F1D00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74" w:hRule="atLeast"/>
                <w:tblHeader/>
                <w:jc w:val="center"/>
              </w:trPr>
              <w:tc>
                <w:tcPr>
                  <w:tcW w:w="787" w:type="dxa"/>
                  <w:tcBorders>
                    <w:tl2br w:val="nil"/>
                    <w:tr2bl w:val="nil"/>
                  </w:tcBorders>
                  <w:shd w:val="clear" w:color="auto" w:fill="auto"/>
                  <w:vAlign w:val="center"/>
                </w:tcPr>
                <w:p w14:paraId="16CEC56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803" w:type="dxa"/>
                  <w:vMerge w:val="continue"/>
                  <w:tcBorders>
                    <w:tl2br w:val="nil"/>
                    <w:tr2bl w:val="nil"/>
                  </w:tcBorders>
                  <w:vAlign w:val="center"/>
                </w:tcPr>
                <w:p w14:paraId="049C6D38">
                  <w:pPr>
                    <w:snapToGrid w:val="0"/>
                    <w:jc w:val="center"/>
                    <w:rPr>
                      <w:rFonts w:hint="default" w:ascii="Times New Roman" w:hAnsi="Times New Roman" w:cs="Times New Roman"/>
                      <w:color w:val="auto"/>
                      <w:szCs w:val="21"/>
                      <w:highlight w:val="none"/>
                      <w:lang w:val="en-US" w:eastAsia="zh-CN"/>
                    </w:rPr>
                  </w:pPr>
                </w:p>
              </w:tc>
              <w:tc>
                <w:tcPr>
                  <w:tcW w:w="1960" w:type="dxa"/>
                  <w:tcBorders>
                    <w:tl2br w:val="nil"/>
                    <w:tr2bl w:val="nil"/>
                  </w:tcBorders>
                  <w:vAlign w:val="center"/>
                </w:tcPr>
                <w:p w14:paraId="4487E2E8">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 mm机制砂</w:t>
                  </w:r>
                </w:p>
              </w:tc>
              <w:tc>
                <w:tcPr>
                  <w:tcW w:w="1590" w:type="dxa"/>
                  <w:tcBorders>
                    <w:tl2br w:val="nil"/>
                    <w:tr2bl w:val="nil"/>
                  </w:tcBorders>
                  <w:vAlign w:val="center"/>
                </w:tcPr>
                <w:p w14:paraId="146E7C00">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20万t/a</w:t>
                  </w:r>
                </w:p>
              </w:tc>
              <w:tc>
                <w:tcPr>
                  <w:tcW w:w="3257" w:type="dxa"/>
                  <w:tcBorders>
                    <w:tl2br w:val="nil"/>
                    <w:tr2bl w:val="nil"/>
                  </w:tcBorders>
                  <w:vAlign w:val="center"/>
                </w:tcPr>
                <w:p w14:paraId="104062C8">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外售</w:t>
                  </w:r>
                </w:p>
              </w:tc>
            </w:tr>
            <w:tr w14:paraId="6245E04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551" w:hRule="atLeast"/>
                <w:tblHeader/>
                <w:jc w:val="center"/>
              </w:trPr>
              <w:tc>
                <w:tcPr>
                  <w:tcW w:w="787" w:type="dxa"/>
                  <w:tcBorders>
                    <w:tl2br w:val="nil"/>
                    <w:tr2bl w:val="nil"/>
                  </w:tcBorders>
                  <w:shd w:val="clear" w:color="auto" w:fill="auto"/>
                  <w:vAlign w:val="center"/>
                </w:tcPr>
                <w:p w14:paraId="7FB4DCD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c>
                <w:tcPr>
                  <w:tcW w:w="2763" w:type="dxa"/>
                  <w:gridSpan w:val="2"/>
                  <w:tcBorders>
                    <w:tl2br w:val="nil"/>
                    <w:tr2bl w:val="nil"/>
                  </w:tcBorders>
                  <w:vAlign w:val="center"/>
                </w:tcPr>
                <w:p w14:paraId="79E35AE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彩砂</w:t>
                  </w:r>
                </w:p>
              </w:tc>
              <w:tc>
                <w:tcPr>
                  <w:tcW w:w="1590" w:type="dxa"/>
                  <w:tcBorders>
                    <w:tl2br w:val="nil"/>
                    <w:tr2bl w:val="nil"/>
                  </w:tcBorders>
                  <w:vAlign w:val="center"/>
                </w:tcPr>
                <w:p w14:paraId="1F19074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30万t/a</w:t>
                  </w:r>
                </w:p>
              </w:tc>
              <w:tc>
                <w:tcPr>
                  <w:tcW w:w="3257" w:type="dxa"/>
                  <w:tcBorders>
                    <w:tl2br w:val="nil"/>
                    <w:tr2bl w:val="nil"/>
                  </w:tcBorders>
                  <w:vAlign w:val="center"/>
                </w:tcPr>
                <w:p w14:paraId="59E69A33">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改性粉体及干混砂浆生产线</w:t>
                  </w:r>
                  <w:r>
                    <w:rPr>
                      <w:rFonts w:hint="default" w:ascii="Times New Roman" w:hAnsi="Times New Roman" w:cs="Times New Roman"/>
                      <w:color w:val="auto"/>
                      <w:szCs w:val="21"/>
                      <w:highlight w:val="none"/>
                      <w:lang w:val="en-US" w:eastAsia="zh-CN"/>
                    </w:rPr>
                    <w:t>建成后先自用，剩余部分外售</w:t>
                  </w:r>
                </w:p>
              </w:tc>
            </w:tr>
            <w:tr w14:paraId="79D316A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37" w:hRule="atLeast"/>
                <w:tblHeader/>
                <w:jc w:val="center"/>
              </w:trPr>
              <w:tc>
                <w:tcPr>
                  <w:tcW w:w="787" w:type="dxa"/>
                  <w:tcBorders>
                    <w:tl2br w:val="nil"/>
                    <w:tr2bl w:val="nil"/>
                  </w:tcBorders>
                  <w:shd w:val="clear" w:color="auto" w:fill="auto"/>
                  <w:vAlign w:val="center"/>
                </w:tcPr>
                <w:p w14:paraId="70450031">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w:t>
                  </w:r>
                </w:p>
              </w:tc>
              <w:tc>
                <w:tcPr>
                  <w:tcW w:w="2763" w:type="dxa"/>
                  <w:gridSpan w:val="2"/>
                  <w:tcBorders>
                    <w:tl2br w:val="nil"/>
                    <w:tr2bl w:val="nil"/>
                  </w:tcBorders>
                  <w:vAlign w:val="center"/>
                </w:tcPr>
                <w:p w14:paraId="72CCB4B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改性粉体</w:t>
                  </w:r>
                </w:p>
              </w:tc>
              <w:tc>
                <w:tcPr>
                  <w:tcW w:w="1590" w:type="dxa"/>
                  <w:tcBorders>
                    <w:tl2br w:val="nil"/>
                    <w:tr2bl w:val="nil"/>
                  </w:tcBorders>
                  <w:vAlign w:val="center"/>
                </w:tcPr>
                <w:p w14:paraId="24DF16F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50万t/a</w:t>
                  </w:r>
                </w:p>
              </w:tc>
              <w:tc>
                <w:tcPr>
                  <w:tcW w:w="3257" w:type="dxa"/>
                  <w:tcBorders>
                    <w:tl2br w:val="nil"/>
                    <w:tr2bl w:val="nil"/>
                  </w:tcBorders>
                  <w:vAlign w:val="center"/>
                </w:tcPr>
                <w:p w14:paraId="5682A0B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外售，包括腻子粉、石膏粉等</w:t>
                  </w:r>
                </w:p>
              </w:tc>
            </w:tr>
            <w:tr w14:paraId="6E8582D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51" w:hRule="atLeast"/>
                <w:tblHeader/>
                <w:jc w:val="center"/>
              </w:trPr>
              <w:tc>
                <w:tcPr>
                  <w:tcW w:w="787" w:type="dxa"/>
                  <w:tcBorders>
                    <w:tl2br w:val="nil"/>
                    <w:tr2bl w:val="nil"/>
                  </w:tcBorders>
                  <w:vAlign w:val="center"/>
                </w:tcPr>
                <w:p w14:paraId="3E7BAAB9">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2763" w:type="dxa"/>
                  <w:gridSpan w:val="2"/>
                  <w:tcBorders>
                    <w:tl2br w:val="nil"/>
                    <w:tr2bl w:val="nil"/>
                  </w:tcBorders>
                  <w:vAlign w:val="center"/>
                </w:tcPr>
                <w:p w14:paraId="438815F1">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干混</w:t>
                  </w:r>
                  <w:r>
                    <w:rPr>
                      <w:rFonts w:hint="default" w:ascii="Times New Roman" w:hAnsi="Times New Roman" w:cs="Times New Roman"/>
                      <w:color w:val="auto"/>
                      <w:szCs w:val="21"/>
                      <w:highlight w:val="none"/>
                    </w:rPr>
                    <w:t>砂浆</w:t>
                  </w:r>
                </w:p>
              </w:tc>
              <w:tc>
                <w:tcPr>
                  <w:tcW w:w="1590" w:type="dxa"/>
                  <w:tcBorders>
                    <w:tl2br w:val="nil"/>
                    <w:tr2bl w:val="nil"/>
                  </w:tcBorders>
                  <w:vAlign w:val="center"/>
                </w:tcPr>
                <w:p w14:paraId="6E45BF4C">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20万t/a</w:t>
                  </w:r>
                </w:p>
              </w:tc>
              <w:tc>
                <w:tcPr>
                  <w:tcW w:w="3257" w:type="dxa"/>
                  <w:tcBorders>
                    <w:tl2br w:val="nil"/>
                    <w:tr2bl w:val="nil"/>
                  </w:tcBorders>
                  <w:vAlign w:val="center"/>
                </w:tcPr>
                <w:p w14:paraId="505B050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外售</w:t>
                  </w:r>
                </w:p>
              </w:tc>
            </w:tr>
          </w:tbl>
          <w:p w14:paraId="0B98F81E">
            <w:pPr>
              <w:adjustRightInd w:val="0"/>
              <w:snapToGrid w:val="0"/>
              <w:spacing w:line="360" w:lineRule="auto"/>
              <w:ind w:firstLine="482" w:firstLineChars="200"/>
              <w:rPr>
                <w:rFonts w:hint="default" w:ascii="Times New Roman" w:hAnsi="Times New Roman" w:cs="Times New Roman"/>
                <w:b/>
                <w:bCs/>
                <w:color w:val="auto"/>
                <w:sz w:val="24"/>
                <w:szCs w:val="32"/>
                <w:highlight w:val="none"/>
              </w:rPr>
            </w:pPr>
            <w:r>
              <w:rPr>
                <w:rFonts w:hint="eastAsia" w:cs="Times New Roman"/>
                <w:b/>
                <w:bCs/>
                <w:color w:val="auto"/>
                <w:sz w:val="24"/>
                <w:szCs w:val="32"/>
                <w:highlight w:val="none"/>
                <w:lang w:val="en-US" w:eastAsia="zh-CN"/>
              </w:rPr>
              <w:t>5</w:t>
            </w:r>
            <w:r>
              <w:rPr>
                <w:rFonts w:hint="default" w:ascii="Times New Roman" w:hAnsi="Times New Roman" w:cs="Times New Roman"/>
                <w:b/>
                <w:bCs/>
                <w:color w:val="auto"/>
                <w:sz w:val="24"/>
                <w:szCs w:val="32"/>
                <w:highlight w:val="none"/>
              </w:rPr>
              <w:t>、主要设备</w:t>
            </w:r>
          </w:p>
          <w:p w14:paraId="32B41ECB">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cs="Times New Roman"/>
                <w:color w:val="auto"/>
                <w:sz w:val="24"/>
                <w:szCs w:val="32"/>
                <w:highlight w:val="none"/>
                <w:lang w:val="en-US" w:eastAsia="zh-CN"/>
              </w:rPr>
              <w:t>本项目</w:t>
            </w:r>
            <w:r>
              <w:rPr>
                <w:rFonts w:hint="default" w:ascii="Times New Roman" w:hAnsi="Times New Roman" w:cs="Times New Roman"/>
                <w:color w:val="auto"/>
                <w:sz w:val="24"/>
                <w:szCs w:val="32"/>
                <w:highlight w:val="none"/>
              </w:rPr>
              <w:t>主要设备情况见下表</w:t>
            </w:r>
            <w:r>
              <w:rPr>
                <w:rFonts w:hint="default" w:ascii="Times New Roman" w:hAnsi="Times New Roman" w:cs="Times New Roman"/>
                <w:color w:val="auto"/>
                <w:sz w:val="24"/>
                <w:szCs w:val="32"/>
                <w:highlight w:val="none"/>
                <w:lang w:eastAsia="zh-CN"/>
              </w:rPr>
              <w:t>。</w:t>
            </w:r>
          </w:p>
          <w:p w14:paraId="3A262B5E">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w:t>
            </w:r>
            <w:r>
              <w:rPr>
                <w:rFonts w:hint="eastAsia" w:cs="Times New Roman"/>
                <w:b/>
                <w:bCs/>
                <w:color w:val="auto"/>
                <w:highlight w:val="none"/>
                <w:lang w:val="en-US" w:eastAsia="zh-CN"/>
              </w:rPr>
              <w:t>4</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本项目</w:t>
            </w:r>
            <w:r>
              <w:rPr>
                <w:rFonts w:hint="default" w:ascii="Times New Roman" w:hAnsi="Times New Roman" w:cs="Times New Roman"/>
                <w:b/>
                <w:bCs/>
                <w:color w:val="auto"/>
                <w:highlight w:val="none"/>
              </w:rPr>
              <w:t>主要设备（设施）一览表</w:t>
            </w:r>
          </w:p>
          <w:tbl>
            <w:tblPr>
              <w:tblStyle w:val="32"/>
              <w:tblW w:w="833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06"/>
              <w:gridCol w:w="1702"/>
              <w:gridCol w:w="3461"/>
              <w:gridCol w:w="2269"/>
            </w:tblGrid>
            <w:tr w14:paraId="3F9529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43BBCBC3">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02" w:type="dxa"/>
                  <w:tcBorders>
                    <w:tl2br w:val="nil"/>
                    <w:tr2bl w:val="nil"/>
                  </w:tcBorders>
                  <w:vAlign w:val="center"/>
                </w:tcPr>
                <w:p w14:paraId="52F137F1">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生产线</w:t>
                  </w:r>
                </w:p>
              </w:tc>
              <w:tc>
                <w:tcPr>
                  <w:tcW w:w="3461" w:type="dxa"/>
                  <w:tcBorders>
                    <w:tl2br w:val="nil"/>
                    <w:tr2bl w:val="nil"/>
                  </w:tcBorders>
                  <w:vAlign w:val="center"/>
                </w:tcPr>
                <w:p w14:paraId="63B6A29A">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设备名称</w:t>
                  </w:r>
                </w:p>
              </w:tc>
              <w:tc>
                <w:tcPr>
                  <w:tcW w:w="2269" w:type="dxa"/>
                  <w:tcBorders>
                    <w:tl2br w:val="nil"/>
                    <w:tr2bl w:val="nil"/>
                  </w:tcBorders>
                  <w:vAlign w:val="center"/>
                </w:tcPr>
                <w:p w14:paraId="69C03888">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数量（台/套）</w:t>
                  </w:r>
                </w:p>
              </w:tc>
            </w:tr>
            <w:tr w14:paraId="71D1EF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0AE84D37">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02" w:type="dxa"/>
                  <w:vMerge w:val="restart"/>
                  <w:tcBorders>
                    <w:tl2br w:val="nil"/>
                    <w:tr2bl w:val="nil"/>
                  </w:tcBorders>
                  <w:vAlign w:val="center"/>
                </w:tcPr>
                <w:p w14:paraId="4154A10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砂石骨料生产线</w:t>
                  </w:r>
                </w:p>
              </w:tc>
              <w:tc>
                <w:tcPr>
                  <w:tcW w:w="3461" w:type="dxa"/>
                  <w:tcBorders>
                    <w:tl2br w:val="nil"/>
                    <w:tr2bl w:val="nil"/>
                  </w:tcBorders>
                  <w:vAlign w:val="center"/>
                </w:tcPr>
                <w:p w14:paraId="344BB14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振动给料机</w:t>
                  </w:r>
                </w:p>
              </w:tc>
              <w:tc>
                <w:tcPr>
                  <w:tcW w:w="2269" w:type="dxa"/>
                  <w:tcBorders>
                    <w:tl2br w:val="nil"/>
                    <w:tr2bl w:val="nil"/>
                  </w:tcBorders>
                  <w:vAlign w:val="center"/>
                </w:tcPr>
                <w:p w14:paraId="0B03A616">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r w14:paraId="4A6648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7AB285C4">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702" w:type="dxa"/>
                  <w:vMerge w:val="continue"/>
                  <w:tcBorders>
                    <w:tl2br w:val="nil"/>
                    <w:tr2bl w:val="nil"/>
                  </w:tcBorders>
                  <w:vAlign w:val="center"/>
                </w:tcPr>
                <w:p w14:paraId="5E030836">
                  <w:pPr>
                    <w:snapToGrid w:val="0"/>
                    <w:jc w:val="center"/>
                    <w:rPr>
                      <w:rFonts w:hint="default" w:ascii="Times New Roman" w:hAnsi="Times New Roman" w:cs="Times New Roman"/>
                      <w:color w:val="auto"/>
                      <w:szCs w:val="21"/>
                      <w:highlight w:val="none"/>
                    </w:rPr>
                  </w:pPr>
                </w:p>
              </w:tc>
              <w:tc>
                <w:tcPr>
                  <w:tcW w:w="3461" w:type="dxa"/>
                  <w:tcBorders>
                    <w:tl2br w:val="nil"/>
                    <w:tr2bl w:val="nil"/>
                  </w:tcBorders>
                  <w:vAlign w:val="center"/>
                </w:tcPr>
                <w:p w14:paraId="4FBC150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颚式破碎机</w:t>
                  </w:r>
                </w:p>
              </w:tc>
              <w:tc>
                <w:tcPr>
                  <w:tcW w:w="2269" w:type="dxa"/>
                  <w:tcBorders>
                    <w:tl2br w:val="nil"/>
                    <w:tr2bl w:val="nil"/>
                  </w:tcBorders>
                  <w:vAlign w:val="center"/>
                </w:tcPr>
                <w:p w14:paraId="5E9389BA">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r w14:paraId="0A16F5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6BC1603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1702" w:type="dxa"/>
                  <w:vMerge w:val="continue"/>
                  <w:tcBorders>
                    <w:tl2br w:val="nil"/>
                    <w:tr2bl w:val="nil"/>
                  </w:tcBorders>
                  <w:vAlign w:val="center"/>
                </w:tcPr>
                <w:p w14:paraId="3CCF28FB">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51110B7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圆振动筛</w:t>
                  </w:r>
                </w:p>
              </w:tc>
              <w:tc>
                <w:tcPr>
                  <w:tcW w:w="2269" w:type="dxa"/>
                  <w:tcBorders>
                    <w:tl2br w:val="nil"/>
                    <w:tr2bl w:val="nil"/>
                  </w:tcBorders>
                  <w:vAlign w:val="center"/>
                </w:tcPr>
                <w:p w14:paraId="1B532BD8">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1195FD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78D7C4D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702" w:type="dxa"/>
                  <w:vMerge w:val="continue"/>
                  <w:tcBorders>
                    <w:tl2br w:val="nil"/>
                    <w:tr2bl w:val="nil"/>
                  </w:tcBorders>
                  <w:vAlign w:val="center"/>
                </w:tcPr>
                <w:p w14:paraId="28F3D53C">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3881103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圆锥破碎机</w:t>
                  </w:r>
                </w:p>
              </w:tc>
              <w:tc>
                <w:tcPr>
                  <w:tcW w:w="2269" w:type="dxa"/>
                  <w:tcBorders>
                    <w:tl2br w:val="nil"/>
                    <w:tr2bl w:val="nil"/>
                  </w:tcBorders>
                  <w:vAlign w:val="center"/>
                </w:tcPr>
                <w:p w14:paraId="4951FA5B">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2DB9CC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05D94A48">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1702" w:type="dxa"/>
                  <w:vMerge w:val="continue"/>
                  <w:tcBorders>
                    <w:tl2br w:val="nil"/>
                    <w:tr2bl w:val="nil"/>
                  </w:tcBorders>
                  <w:vAlign w:val="center"/>
                </w:tcPr>
                <w:p w14:paraId="589CA72F">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2B22038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冲击式制砂机</w:t>
                  </w:r>
                </w:p>
              </w:tc>
              <w:tc>
                <w:tcPr>
                  <w:tcW w:w="2269" w:type="dxa"/>
                  <w:tcBorders>
                    <w:tl2br w:val="nil"/>
                    <w:tr2bl w:val="nil"/>
                  </w:tcBorders>
                  <w:vAlign w:val="center"/>
                </w:tcPr>
                <w:p w14:paraId="25847A3F">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1307C0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71E49C6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1702" w:type="dxa"/>
                  <w:vMerge w:val="continue"/>
                  <w:tcBorders>
                    <w:tl2br w:val="nil"/>
                    <w:tr2bl w:val="nil"/>
                  </w:tcBorders>
                  <w:vAlign w:val="center"/>
                </w:tcPr>
                <w:p w14:paraId="51006781">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11FFDBD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圆振动筛</w:t>
                  </w:r>
                </w:p>
              </w:tc>
              <w:tc>
                <w:tcPr>
                  <w:tcW w:w="2269" w:type="dxa"/>
                  <w:tcBorders>
                    <w:tl2br w:val="nil"/>
                    <w:tr2bl w:val="nil"/>
                  </w:tcBorders>
                  <w:vAlign w:val="center"/>
                </w:tcPr>
                <w:p w14:paraId="5071BC86">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78BE44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682E3093">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w:t>
                  </w:r>
                </w:p>
              </w:tc>
              <w:tc>
                <w:tcPr>
                  <w:tcW w:w="1702" w:type="dxa"/>
                  <w:vMerge w:val="continue"/>
                  <w:tcBorders>
                    <w:tl2br w:val="nil"/>
                    <w:tr2bl w:val="nil"/>
                  </w:tcBorders>
                  <w:vAlign w:val="center"/>
                </w:tcPr>
                <w:p w14:paraId="1D8C04D1">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5C0EA98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洗砂机</w:t>
                  </w:r>
                </w:p>
              </w:tc>
              <w:tc>
                <w:tcPr>
                  <w:tcW w:w="2269" w:type="dxa"/>
                  <w:tcBorders>
                    <w:tl2br w:val="nil"/>
                    <w:tr2bl w:val="nil"/>
                  </w:tcBorders>
                  <w:vAlign w:val="center"/>
                </w:tcPr>
                <w:p w14:paraId="6013B7AE">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3EF55C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42F8156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w:t>
                  </w:r>
                </w:p>
              </w:tc>
              <w:tc>
                <w:tcPr>
                  <w:tcW w:w="1702" w:type="dxa"/>
                  <w:vMerge w:val="continue"/>
                  <w:tcBorders>
                    <w:tl2br w:val="nil"/>
                    <w:tr2bl w:val="nil"/>
                  </w:tcBorders>
                  <w:vAlign w:val="center"/>
                </w:tcPr>
                <w:p w14:paraId="5818EF12">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1A35707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细砂回收装置</w:t>
                  </w:r>
                </w:p>
              </w:tc>
              <w:tc>
                <w:tcPr>
                  <w:tcW w:w="2269" w:type="dxa"/>
                  <w:tcBorders>
                    <w:tl2br w:val="nil"/>
                    <w:tr2bl w:val="nil"/>
                  </w:tcBorders>
                  <w:vAlign w:val="center"/>
                </w:tcPr>
                <w:p w14:paraId="71B809E0">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794027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39E1D97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w:t>
                  </w:r>
                </w:p>
              </w:tc>
              <w:tc>
                <w:tcPr>
                  <w:tcW w:w="1702" w:type="dxa"/>
                  <w:vMerge w:val="continue"/>
                  <w:tcBorders>
                    <w:tl2br w:val="nil"/>
                    <w:tr2bl w:val="nil"/>
                  </w:tcBorders>
                  <w:vAlign w:val="center"/>
                </w:tcPr>
                <w:p w14:paraId="084548C9">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263B9D1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带式输送机</w:t>
                  </w:r>
                </w:p>
              </w:tc>
              <w:tc>
                <w:tcPr>
                  <w:tcW w:w="2269" w:type="dxa"/>
                  <w:tcBorders>
                    <w:tl2br w:val="nil"/>
                    <w:tr2bl w:val="nil"/>
                  </w:tcBorders>
                  <w:vAlign w:val="center"/>
                </w:tcPr>
                <w:p w14:paraId="52985600">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r>
            <w:tr w14:paraId="2494D5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27C3F401">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1702" w:type="dxa"/>
                  <w:vMerge w:val="continue"/>
                  <w:tcBorders>
                    <w:tl2br w:val="nil"/>
                    <w:tr2bl w:val="nil"/>
                  </w:tcBorders>
                  <w:vAlign w:val="center"/>
                </w:tcPr>
                <w:p w14:paraId="4E56B39F">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7DFB8A4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压滤机</w:t>
                  </w:r>
                </w:p>
              </w:tc>
              <w:tc>
                <w:tcPr>
                  <w:tcW w:w="2269" w:type="dxa"/>
                  <w:tcBorders>
                    <w:tl2br w:val="nil"/>
                    <w:tr2bl w:val="nil"/>
                  </w:tcBorders>
                  <w:vAlign w:val="center"/>
                </w:tcPr>
                <w:p w14:paraId="30AF9200">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049583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42359432">
                  <w:pPr>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11</w:t>
                  </w:r>
                </w:p>
              </w:tc>
              <w:tc>
                <w:tcPr>
                  <w:tcW w:w="1702" w:type="dxa"/>
                  <w:vMerge w:val="continue"/>
                  <w:tcBorders>
                    <w:tl2br w:val="nil"/>
                    <w:tr2bl w:val="nil"/>
                  </w:tcBorders>
                  <w:vAlign w:val="center"/>
                </w:tcPr>
                <w:p w14:paraId="58F86EB0">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54908FF4">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混凝罐</w:t>
                  </w:r>
                </w:p>
              </w:tc>
              <w:tc>
                <w:tcPr>
                  <w:tcW w:w="2269" w:type="dxa"/>
                  <w:tcBorders>
                    <w:tl2br w:val="nil"/>
                    <w:tr2bl w:val="nil"/>
                  </w:tcBorders>
                  <w:vAlign w:val="center"/>
                </w:tcPr>
                <w:p w14:paraId="4ED81E18">
                  <w:pPr>
                    <w:widowControl/>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w:t>
                  </w:r>
                </w:p>
              </w:tc>
            </w:tr>
            <w:tr w14:paraId="457651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1E0AA37A">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12</w:t>
                  </w:r>
                </w:p>
              </w:tc>
              <w:tc>
                <w:tcPr>
                  <w:tcW w:w="1702" w:type="dxa"/>
                  <w:vMerge w:val="continue"/>
                  <w:tcBorders>
                    <w:tl2br w:val="nil"/>
                    <w:tr2bl w:val="nil"/>
                  </w:tcBorders>
                  <w:vAlign w:val="center"/>
                </w:tcPr>
                <w:p w14:paraId="70526401">
                  <w:pPr>
                    <w:snapToGrid w:val="0"/>
                    <w:jc w:val="center"/>
                    <w:rPr>
                      <w:rFonts w:hint="default" w:ascii="Times New Roman" w:hAnsi="Times New Roman" w:cs="Times New Roman"/>
                      <w:color w:val="auto"/>
                      <w:szCs w:val="21"/>
                      <w:highlight w:val="none"/>
                      <w:lang w:val="en-US"/>
                    </w:rPr>
                  </w:pPr>
                </w:p>
              </w:tc>
              <w:tc>
                <w:tcPr>
                  <w:tcW w:w="3461" w:type="dxa"/>
                  <w:tcBorders>
                    <w:tl2br w:val="nil"/>
                    <w:tr2bl w:val="nil"/>
                  </w:tcBorders>
                  <w:vAlign w:val="center"/>
                </w:tcPr>
                <w:p w14:paraId="279C17BD">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袋式除尘器</w:t>
                  </w:r>
                </w:p>
              </w:tc>
              <w:tc>
                <w:tcPr>
                  <w:tcW w:w="2269" w:type="dxa"/>
                  <w:tcBorders>
                    <w:tl2br w:val="nil"/>
                    <w:tr2bl w:val="nil"/>
                  </w:tcBorders>
                  <w:vAlign w:val="center"/>
                </w:tcPr>
                <w:p w14:paraId="72599A08">
                  <w:pPr>
                    <w:widowControl/>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r>
            <w:tr w14:paraId="61596E5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02DE5AF1">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13</w:t>
                  </w:r>
                </w:p>
              </w:tc>
              <w:tc>
                <w:tcPr>
                  <w:tcW w:w="1702" w:type="dxa"/>
                  <w:vMerge w:val="restart"/>
                  <w:tcBorders>
                    <w:tl2br w:val="nil"/>
                    <w:tr2bl w:val="nil"/>
                  </w:tcBorders>
                  <w:vAlign w:val="center"/>
                </w:tcPr>
                <w:p w14:paraId="2B3D8757">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彩砂生产线</w:t>
                  </w:r>
                </w:p>
              </w:tc>
              <w:tc>
                <w:tcPr>
                  <w:tcW w:w="3461" w:type="dxa"/>
                  <w:tcBorders>
                    <w:tl2br w:val="nil"/>
                    <w:tr2bl w:val="nil"/>
                  </w:tcBorders>
                  <w:shd w:val="clear" w:color="auto" w:fill="auto"/>
                  <w:vAlign w:val="center"/>
                </w:tcPr>
                <w:p w14:paraId="3DD9CBE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给料机</w:t>
                  </w:r>
                </w:p>
              </w:tc>
              <w:tc>
                <w:tcPr>
                  <w:tcW w:w="2269" w:type="dxa"/>
                  <w:tcBorders>
                    <w:tl2br w:val="nil"/>
                    <w:tr2bl w:val="nil"/>
                  </w:tcBorders>
                  <w:vAlign w:val="center"/>
                </w:tcPr>
                <w:p w14:paraId="02205546">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5336CB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41D54D2E">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14</w:t>
                  </w:r>
                </w:p>
              </w:tc>
              <w:tc>
                <w:tcPr>
                  <w:tcW w:w="1702" w:type="dxa"/>
                  <w:vMerge w:val="continue"/>
                  <w:tcBorders>
                    <w:tl2br w:val="nil"/>
                    <w:tr2bl w:val="nil"/>
                  </w:tcBorders>
                  <w:vAlign w:val="center"/>
                </w:tcPr>
                <w:p w14:paraId="0A4CAC82">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45F4ACB1">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颚破机</w:t>
                  </w:r>
                </w:p>
              </w:tc>
              <w:tc>
                <w:tcPr>
                  <w:tcW w:w="2269" w:type="dxa"/>
                  <w:tcBorders>
                    <w:tl2br w:val="nil"/>
                    <w:tr2bl w:val="nil"/>
                  </w:tcBorders>
                  <w:vAlign w:val="center"/>
                </w:tcPr>
                <w:p w14:paraId="2DBADBE5">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5F83E7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5DD1E54E">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15</w:t>
                  </w:r>
                </w:p>
              </w:tc>
              <w:tc>
                <w:tcPr>
                  <w:tcW w:w="1702" w:type="dxa"/>
                  <w:vMerge w:val="continue"/>
                  <w:tcBorders>
                    <w:tl2br w:val="nil"/>
                    <w:tr2bl w:val="nil"/>
                  </w:tcBorders>
                  <w:vAlign w:val="center"/>
                </w:tcPr>
                <w:p w14:paraId="5E5FB44B">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751B59F8">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圆锥破碎机</w:t>
                  </w:r>
                </w:p>
              </w:tc>
              <w:tc>
                <w:tcPr>
                  <w:tcW w:w="2269" w:type="dxa"/>
                  <w:tcBorders>
                    <w:tl2br w:val="nil"/>
                    <w:tr2bl w:val="nil"/>
                  </w:tcBorders>
                  <w:vAlign w:val="center"/>
                </w:tcPr>
                <w:p w14:paraId="072469F1">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471DBA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3BAE3481">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16</w:t>
                  </w:r>
                </w:p>
              </w:tc>
              <w:tc>
                <w:tcPr>
                  <w:tcW w:w="1702" w:type="dxa"/>
                  <w:vMerge w:val="continue"/>
                  <w:tcBorders>
                    <w:tl2br w:val="nil"/>
                    <w:tr2bl w:val="nil"/>
                  </w:tcBorders>
                  <w:vAlign w:val="center"/>
                </w:tcPr>
                <w:p w14:paraId="1937CC07">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6DE40414">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制砂机</w:t>
                  </w:r>
                </w:p>
              </w:tc>
              <w:tc>
                <w:tcPr>
                  <w:tcW w:w="2269" w:type="dxa"/>
                  <w:tcBorders>
                    <w:tl2br w:val="nil"/>
                    <w:tr2bl w:val="nil"/>
                  </w:tcBorders>
                  <w:vAlign w:val="center"/>
                </w:tcPr>
                <w:p w14:paraId="1F385C15">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058E5E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41A9B823">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w:t>
                  </w:r>
                </w:p>
              </w:tc>
              <w:tc>
                <w:tcPr>
                  <w:tcW w:w="1702" w:type="dxa"/>
                  <w:vMerge w:val="continue"/>
                  <w:tcBorders>
                    <w:tl2br w:val="nil"/>
                    <w:tr2bl w:val="nil"/>
                  </w:tcBorders>
                  <w:vAlign w:val="center"/>
                </w:tcPr>
                <w:p w14:paraId="5272A717">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1EFD8F94">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洗砂机</w:t>
                  </w:r>
                </w:p>
              </w:tc>
              <w:tc>
                <w:tcPr>
                  <w:tcW w:w="2269" w:type="dxa"/>
                  <w:tcBorders>
                    <w:tl2br w:val="nil"/>
                    <w:tr2bl w:val="nil"/>
                  </w:tcBorders>
                  <w:vAlign w:val="center"/>
                </w:tcPr>
                <w:p w14:paraId="480C50F7">
                  <w:pPr>
                    <w:widowControl/>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w:t>
                  </w:r>
                </w:p>
              </w:tc>
            </w:tr>
            <w:tr w14:paraId="5AFE0F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6A33806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18</w:t>
                  </w:r>
                </w:p>
              </w:tc>
              <w:tc>
                <w:tcPr>
                  <w:tcW w:w="1702" w:type="dxa"/>
                  <w:vMerge w:val="continue"/>
                  <w:tcBorders>
                    <w:tl2br w:val="nil"/>
                    <w:tr2bl w:val="nil"/>
                  </w:tcBorders>
                  <w:vAlign w:val="center"/>
                </w:tcPr>
                <w:p w14:paraId="530CE926">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2E1F4AAD">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筛砂机</w:t>
                  </w:r>
                </w:p>
              </w:tc>
              <w:tc>
                <w:tcPr>
                  <w:tcW w:w="2269" w:type="dxa"/>
                  <w:tcBorders>
                    <w:tl2br w:val="nil"/>
                    <w:tr2bl w:val="nil"/>
                  </w:tcBorders>
                  <w:vAlign w:val="center"/>
                </w:tcPr>
                <w:p w14:paraId="1B0ACB00">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1</w:t>
                  </w:r>
                </w:p>
              </w:tc>
            </w:tr>
            <w:tr w14:paraId="3A04C3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4A8FF392">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19</w:t>
                  </w:r>
                </w:p>
              </w:tc>
              <w:tc>
                <w:tcPr>
                  <w:tcW w:w="1702" w:type="dxa"/>
                  <w:vMerge w:val="continue"/>
                  <w:tcBorders>
                    <w:tl2br w:val="nil"/>
                    <w:tr2bl w:val="nil"/>
                  </w:tcBorders>
                  <w:vAlign w:val="center"/>
                </w:tcPr>
                <w:p w14:paraId="5F868747">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18794ADB">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烘干机（电能）</w:t>
                  </w:r>
                </w:p>
              </w:tc>
              <w:tc>
                <w:tcPr>
                  <w:tcW w:w="2269" w:type="dxa"/>
                  <w:tcBorders>
                    <w:tl2br w:val="nil"/>
                    <w:tr2bl w:val="nil"/>
                  </w:tcBorders>
                  <w:vAlign w:val="center"/>
                </w:tcPr>
                <w:p w14:paraId="011E0C0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2EC071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07F1FF8A">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1702" w:type="dxa"/>
                  <w:vMerge w:val="continue"/>
                  <w:tcBorders>
                    <w:tl2br w:val="nil"/>
                    <w:tr2bl w:val="nil"/>
                  </w:tcBorders>
                  <w:vAlign w:val="center"/>
                </w:tcPr>
                <w:p w14:paraId="331A1AA5">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378CDA15">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混凝罐</w:t>
                  </w:r>
                </w:p>
              </w:tc>
              <w:tc>
                <w:tcPr>
                  <w:tcW w:w="2269" w:type="dxa"/>
                  <w:tcBorders>
                    <w:tl2br w:val="nil"/>
                    <w:tr2bl w:val="nil"/>
                  </w:tcBorders>
                  <w:vAlign w:val="center"/>
                </w:tcPr>
                <w:p w14:paraId="4CCE489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6F0B41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76CB8C22">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1702" w:type="dxa"/>
                  <w:vMerge w:val="continue"/>
                  <w:tcBorders>
                    <w:tl2br w:val="nil"/>
                    <w:tr2bl w:val="nil"/>
                  </w:tcBorders>
                  <w:vAlign w:val="center"/>
                </w:tcPr>
                <w:p w14:paraId="09AAD4E3">
                  <w:pPr>
                    <w:snapToGrid w:val="0"/>
                    <w:jc w:val="center"/>
                    <w:rPr>
                      <w:rFonts w:hint="default" w:ascii="Times New Roman" w:hAnsi="Times New Roman" w:cs="Times New Roman"/>
                      <w:color w:val="auto"/>
                      <w:szCs w:val="21"/>
                      <w:highlight w:val="none"/>
                      <w:lang w:val="en-US" w:eastAsia="zh-CN"/>
                    </w:rPr>
                  </w:pPr>
                </w:p>
              </w:tc>
              <w:tc>
                <w:tcPr>
                  <w:tcW w:w="3461" w:type="dxa"/>
                  <w:tcBorders>
                    <w:tl2br w:val="nil"/>
                    <w:tr2bl w:val="nil"/>
                  </w:tcBorders>
                  <w:shd w:val="clear" w:color="auto" w:fill="auto"/>
                  <w:vAlign w:val="center"/>
                </w:tcPr>
                <w:p w14:paraId="0EA40AD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雷蒙磨</w:t>
                  </w:r>
                </w:p>
              </w:tc>
              <w:tc>
                <w:tcPr>
                  <w:tcW w:w="2269" w:type="dxa"/>
                  <w:tcBorders>
                    <w:tl2br w:val="nil"/>
                    <w:tr2bl w:val="nil"/>
                  </w:tcBorders>
                  <w:vAlign w:val="center"/>
                </w:tcPr>
                <w:p w14:paraId="2B4809FC">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r>
            <w:tr w14:paraId="7F2474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3983C399">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22</w:t>
                  </w:r>
                </w:p>
              </w:tc>
              <w:tc>
                <w:tcPr>
                  <w:tcW w:w="1702" w:type="dxa"/>
                  <w:vMerge w:val="continue"/>
                  <w:tcBorders>
                    <w:tl2br w:val="nil"/>
                    <w:tr2bl w:val="nil"/>
                  </w:tcBorders>
                  <w:vAlign w:val="center"/>
                </w:tcPr>
                <w:p w14:paraId="2649DCE0">
                  <w:pPr>
                    <w:snapToGrid w:val="0"/>
                    <w:jc w:val="center"/>
                    <w:rPr>
                      <w:rFonts w:hint="default" w:ascii="Times New Roman" w:hAnsi="Times New Roman" w:eastAsia="宋体" w:cs="Times New Roman"/>
                      <w:color w:val="auto"/>
                      <w:szCs w:val="21"/>
                      <w:highlight w:val="none"/>
                      <w:lang w:val="en-US" w:eastAsia="zh-CN"/>
                    </w:rPr>
                  </w:pPr>
                </w:p>
              </w:tc>
              <w:tc>
                <w:tcPr>
                  <w:tcW w:w="3461" w:type="dxa"/>
                  <w:tcBorders>
                    <w:tl2br w:val="nil"/>
                    <w:tr2bl w:val="nil"/>
                  </w:tcBorders>
                  <w:shd w:val="clear" w:color="auto" w:fill="auto"/>
                  <w:vAlign w:val="center"/>
                </w:tcPr>
                <w:p w14:paraId="621B9EA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布袋除尘器</w:t>
                  </w:r>
                </w:p>
              </w:tc>
              <w:tc>
                <w:tcPr>
                  <w:tcW w:w="2269" w:type="dxa"/>
                  <w:tcBorders>
                    <w:tl2br w:val="nil"/>
                    <w:tr2bl w:val="nil"/>
                  </w:tcBorders>
                  <w:vAlign w:val="center"/>
                </w:tcPr>
                <w:p w14:paraId="46B9CD2A">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r w14:paraId="58A9C8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22AEF069">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23</w:t>
                  </w:r>
                </w:p>
              </w:tc>
              <w:tc>
                <w:tcPr>
                  <w:tcW w:w="1702" w:type="dxa"/>
                  <w:vMerge w:val="continue"/>
                  <w:tcBorders>
                    <w:tl2br w:val="nil"/>
                    <w:tr2bl w:val="nil"/>
                  </w:tcBorders>
                  <w:vAlign w:val="center"/>
                </w:tcPr>
                <w:p w14:paraId="1CF6DB71">
                  <w:pPr>
                    <w:snapToGrid w:val="0"/>
                    <w:jc w:val="center"/>
                    <w:rPr>
                      <w:rFonts w:hint="default" w:ascii="Times New Roman" w:hAnsi="Times New Roman" w:cs="Times New Roman"/>
                      <w:color w:val="auto"/>
                      <w:szCs w:val="21"/>
                      <w:highlight w:val="none"/>
                    </w:rPr>
                  </w:pPr>
                </w:p>
              </w:tc>
              <w:tc>
                <w:tcPr>
                  <w:tcW w:w="3461" w:type="dxa"/>
                  <w:tcBorders>
                    <w:tl2br w:val="nil"/>
                    <w:tr2bl w:val="nil"/>
                  </w:tcBorders>
                  <w:shd w:val="clear" w:color="auto" w:fill="auto"/>
                  <w:vAlign w:val="center"/>
                </w:tcPr>
                <w:p w14:paraId="27453D0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包装机</w:t>
                  </w:r>
                </w:p>
              </w:tc>
              <w:tc>
                <w:tcPr>
                  <w:tcW w:w="2269" w:type="dxa"/>
                  <w:tcBorders>
                    <w:tl2br w:val="nil"/>
                    <w:tr2bl w:val="nil"/>
                  </w:tcBorders>
                  <w:vAlign w:val="center"/>
                </w:tcPr>
                <w:p w14:paraId="131DCB90">
                  <w:pPr>
                    <w:widowControl/>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1</w:t>
                  </w:r>
                </w:p>
              </w:tc>
            </w:tr>
            <w:tr w14:paraId="755AFE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30C5438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w:t>
                  </w:r>
                </w:p>
              </w:tc>
              <w:tc>
                <w:tcPr>
                  <w:tcW w:w="1702" w:type="dxa"/>
                  <w:vMerge w:val="restart"/>
                  <w:tcBorders>
                    <w:tl2br w:val="nil"/>
                    <w:tr2bl w:val="nil"/>
                  </w:tcBorders>
                  <w:vAlign w:val="center"/>
                </w:tcPr>
                <w:p w14:paraId="332814C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改性粉体、干混砂浆生产线</w:t>
                  </w:r>
                </w:p>
              </w:tc>
              <w:tc>
                <w:tcPr>
                  <w:tcW w:w="3461" w:type="dxa"/>
                  <w:tcBorders>
                    <w:tl2br w:val="nil"/>
                    <w:tr2bl w:val="nil"/>
                  </w:tcBorders>
                  <w:shd w:val="clear" w:color="auto" w:fill="auto"/>
                  <w:vAlign w:val="center"/>
                </w:tcPr>
                <w:p w14:paraId="03659DEB">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搅拌机</w:t>
                  </w:r>
                </w:p>
              </w:tc>
              <w:tc>
                <w:tcPr>
                  <w:tcW w:w="2269" w:type="dxa"/>
                  <w:tcBorders>
                    <w:tl2br w:val="nil"/>
                    <w:tr2bl w:val="nil"/>
                  </w:tcBorders>
                  <w:vAlign w:val="center"/>
                </w:tcPr>
                <w:p w14:paraId="37F5BB54">
                  <w:pPr>
                    <w:widowControl/>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r>
            <w:tr w14:paraId="3383C4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4EADFEDF">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25</w:t>
                  </w:r>
                </w:p>
              </w:tc>
              <w:tc>
                <w:tcPr>
                  <w:tcW w:w="1702" w:type="dxa"/>
                  <w:vMerge w:val="continue"/>
                  <w:tcBorders>
                    <w:tl2br w:val="nil"/>
                    <w:tr2bl w:val="nil"/>
                  </w:tcBorders>
                  <w:vAlign w:val="center"/>
                </w:tcPr>
                <w:p w14:paraId="0B05B73A">
                  <w:pPr>
                    <w:snapToGrid w:val="0"/>
                    <w:jc w:val="center"/>
                    <w:rPr>
                      <w:rFonts w:hint="default" w:ascii="Times New Roman" w:hAnsi="Times New Roman" w:eastAsia="宋体" w:cs="Times New Roman"/>
                      <w:color w:val="auto"/>
                      <w:szCs w:val="21"/>
                      <w:highlight w:val="none"/>
                      <w:lang w:val="en-US" w:eastAsia="zh-CN"/>
                    </w:rPr>
                  </w:pPr>
                </w:p>
              </w:tc>
              <w:tc>
                <w:tcPr>
                  <w:tcW w:w="3461" w:type="dxa"/>
                  <w:tcBorders>
                    <w:tl2br w:val="nil"/>
                    <w:tr2bl w:val="nil"/>
                  </w:tcBorders>
                  <w:shd w:val="clear" w:color="auto" w:fill="auto"/>
                  <w:vAlign w:val="center"/>
                </w:tcPr>
                <w:p w14:paraId="100D79F6">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提升机</w:t>
                  </w:r>
                </w:p>
              </w:tc>
              <w:tc>
                <w:tcPr>
                  <w:tcW w:w="2269" w:type="dxa"/>
                  <w:tcBorders>
                    <w:tl2br w:val="nil"/>
                    <w:tr2bl w:val="nil"/>
                  </w:tcBorders>
                  <w:vAlign w:val="center"/>
                </w:tcPr>
                <w:p w14:paraId="0B67E8D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p>
              </w:tc>
            </w:tr>
            <w:tr w14:paraId="13ABC33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40C1D9D5">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26</w:t>
                  </w:r>
                </w:p>
              </w:tc>
              <w:tc>
                <w:tcPr>
                  <w:tcW w:w="1702" w:type="dxa"/>
                  <w:vMerge w:val="continue"/>
                  <w:tcBorders>
                    <w:tl2br w:val="nil"/>
                    <w:tr2bl w:val="nil"/>
                  </w:tcBorders>
                  <w:vAlign w:val="center"/>
                </w:tcPr>
                <w:p w14:paraId="2ACAF876">
                  <w:pPr>
                    <w:snapToGrid w:val="0"/>
                    <w:jc w:val="center"/>
                    <w:rPr>
                      <w:rFonts w:hint="default" w:ascii="Times New Roman" w:hAnsi="Times New Roman" w:cs="Times New Roman"/>
                      <w:color w:val="auto"/>
                      <w:szCs w:val="21"/>
                      <w:highlight w:val="none"/>
                    </w:rPr>
                  </w:pPr>
                </w:p>
              </w:tc>
              <w:tc>
                <w:tcPr>
                  <w:tcW w:w="3461" w:type="dxa"/>
                  <w:tcBorders>
                    <w:tl2br w:val="nil"/>
                    <w:tr2bl w:val="nil"/>
                  </w:tcBorders>
                  <w:vAlign w:val="center"/>
                </w:tcPr>
                <w:p w14:paraId="05C5C82F">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自动包装机</w:t>
                  </w:r>
                </w:p>
              </w:tc>
              <w:tc>
                <w:tcPr>
                  <w:tcW w:w="2269" w:type="dxa"/>
                  <w:tcBorders>
                    <w:tl2br w:val="nil"/>
                    <w:tr2bl w:val="nil"/>
                  </w:tcBorders>
                  <w:vAlign w:val="center"/>
                </w:tcPr>
                <w:p w14:paraId="7B632E7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p>
              </w:tc>
            </w:tr>
            <w:tr w14:paraId="6FD471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shd w:val="clear" w:color="auto" w:fill="auto"/>
                  <w:vAlign w:val="center"/>
                </w:tcPr>
                <w:p w14:paraId="44445591">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27</w:t>
                  </w:r>
                </w:p>
              </w:tc>
              <w:tc>
                <w:tcPr>
                  <w:tcW w:w="1702" w:type="dxa"/>
                  <w:vMerge w:val="continue"/>
                  <w:tcBorders>
                    <w:tl2br w:val="nil"/>
                    <w:tr2bl w:val="nil"/>
                  </w:tcBorders>
                  <w:vAlign w:val="center"/>
                </w:tcPr>
                <w:p w14:paraId="71C6B347">
                  <w:pPr>
                    <w:snapToGrid w:val="0"/>
                    <w:jc w:val="center"/>
                    <w:rPr>
                      <w:rFonts w:hint="default" w:ascii="Times New Roman" w:hAnsi="Times New Roman" w:cs="Times New Roman"/>
                      <w:color w:val="auto"/>
                      <w:szCs w:val="21"/>
                      <w:highlight w:val="none"/>
                    </w:rPr>
                  </w:pPr>
                </w:p>
              </w:tc>
              <w:tc>
                <w:tcPr>
                  <w:tcW w:w="3461" w:type="dxa"/>
                  <w:tcBorders>
                    <w:tl2br w:val="nil"/>
                    <w:tr2bl w:val="nil"/>
                  </w:tcBorders>
                  <w:vAlign w:val="center"/>
                </w:tcPr>
                <w:p w14:paraId="0986F37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布袋除尘器</w:t>
                  </w:r>
                </w:p>
              </w:tc>
              <w:tc>
                <w:tcPr>
                  <w:tcW w:w="2269" w:type="dxa"/>
                  <w:tcBorders>
                    <w:tl2br w:val="nil"/>
                    <w:tr2bl w:val="nil"/>
                  </w:tcBorders>
                  <w:vAlign w:val="center"/>
                </w:tcPr>
                <w:p w14:paraId="739246F2">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1</w:t>
                  </w:r>
                </w:p>
              </w:tc>
            </w:tr>
            <w:tr w14:paraId="0D612A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906" w:type="dxa"/>
                  <w:tcBorders>
                    <w:tl2br w:val="nil"/>
                    <w:tr2bl w:val="nil"/>
                  </w:tcBorders>
                  <w:vAlign w:val="center"/>
                </w:tcPr>
                <w:p w14:paraId="7722FC47">
                  <w:pPr>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28</w:t>
                  </w:r>
                </w:p>
              </w:tc>
              <w:tc>
                <w:tcPr>
                  <w:tcW w:w="1702" w:type="dxa"/>
                  <w:vMerge w:val="continue"/>
                  <w:tcBorders>
                    <w:tl2br w:val="nil"/>
                    <w:tr2bl w:val="nil"/>
                  </w:tcBorders>
                  <w:vAlign w:val="center"/>
                </w:tcPr>
                <w:p w14:paraId="54207C9D">
                  <w:pPr>
                    <w:snapToGrid w:val="0"/>
                    <w:jc w:val="center"/>
                    <w:rPr>
                      <w:rFonts w:hint="default" w:ascii="Times New Roman" w:hAnsi="Times New Roman" w:cs="Times New Roman"/>
                      <w:color w:val="auto"/>
                      <w:szCs w:val="21"/>
                      <w:highlight w:val="none"/>
                    </w:rPr>
                  </w:pPr>
                </w:p>
              </w:tc>
              <w:tc>
                <w:tcPr>
                  <w:tcW w:w="3461" w:type="dxa"/>
                  <w:tcBorders>
                    <w:tl2br w:val="nil"/>
                    <w:tr2bl w:val="nil"/>
                  </w:tcBorders>
                  <w:vAlign w:val="center"/>
                </w:tcPr>
                <w:p w14:paraId="78BC3816">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水泥储罐</w:t>
                  </w:r>
                </w:p>
              </w:tc>
              <w:tc>
                <w:tcPr>
                  <w:tcW w:w="2269" w:type="dxa"/>
                  <w:tcBorders>
                    <w:tl2br w:val="nil"/>
                    <w:tr2bl w:val="nil"/>
                  </w:tcBorders>
                  <w:vAlign w:val="center"/>
                </w:tcPr>
                <w:p w14:paraId="341EE9B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bl>
          <w:p w14:paraId="25CCEBD9">
            <w:pPr>
              <w:spacing w:line="360" w:lineRule="auto"/>
              <w:ind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6、原辅材料消耗</w:t>
            </w:r>
          </w:p>
          <w:p w14:paraId="46BBFD08">
            <w:pPr>
              <w:spacing w:line="360" w:lineRule="auto"/>
              <w:ind w:firstLine="480" w:firstLineChars="200"/>
              <w:rPr>
                <w:rFonts w:hint="default" w:ascii="Times New Roman" w:hAnsi="Times New Roman" w:eastAsia="宋体" w:cs="Times New Roman"/>
                <w:b/>
                <w:bCs/>
                <w:color w:val="auto"/>
                <w:highlight w:val="none"/>
                <w:lang w:eastAsia="zh-CN"/>
              </w:rPr>
            </w:pP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原辅料消耗情况</w:t>
            </w:r>
            <w:r>
              <w:rPr>
                <w:rFonts w:hint="default" w:ascii="Times New Roman" w:hAnsi="Times New Roman" w:cs="Times New Roman"/>
                <w:color w:val="auto"/>
                <w:sz w:val="24"/>
                <w:highlight w:val="none"/>
                <w:lang w:val="en-US" w:eastAsia="zh-CN"/>
              </w:rPr>
              <w:t>详</w:t>
            </w:r>
            <w:r>
              <w:rPr>
                <w:rFonts w:hint="default" w:ascii="Times New Roman" w:hAnsi="Times New Roman" w:cs="Times New Roman"/>
                <w:color w:val="auto"/>
                <w:sz w:val="24"/>
                <w:highlight w:val="none"/>
              </w:rPr>
              <w:t>见下表</w:t>
            </w:r>
            <w:r>
              <w:rPr>
                <w:rFonts w:hint="default" w:ascii="Times New Roman" w:hAnsi="Times New Roman" w:cs="Times New Roman"/>
                <w:color w:val="auto"/>
                <w:sz w:val="24"/>
                <w:szCs w:val="32"/>
                <w:highlight w:val="none"/>
                <w:lang w:eastAsia="zh-CN"/>
              </w:rPr>
              <w:t>。</w:t>
            </w:r>
          </w:p>
          <w:p w14:paraId="08D3CE1A">
            <w:pPr>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表2-</w:t>
            </w: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本项目</w:t>
            </w:r>
            <w:r>
              <w:rPr>
                <w:rFonts w:hint="default" w:ascii="Times New Roman" w:hAnsi="Times New Roman" w:cs="Times New Roman"/>
                <w:b/>
                <w:bCs/>
                <w:color w:val="auto"/>
                <w:highlight w:val="none"/>
              </w:rPr>
              <w:t>原辅材料消耗情况一览表    单位t/a</w:t>
            </w:r>
          </w:p>
          <w:tbl>
            <w:tblPr>
              <w:tblStyle w:val="33"/>
              <w:tblW w:w="8432" w:type="dxa"/>
              <w:tblInd w:w="-1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1"/>
              <w:gridCol w:w="654"/>
              <w:gridCol w:w="934"/>
              <w:gridCol w:w="1390"/>
              <w:gridCol w:w="1297"/>
              <w:gridCol w:w="3326"/>
            </w:tblGrid>
            <w:tr w14:paraId="68DA2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vMerge w:val="restart"/>
                  <w:tcBorders>
                    <w:tl2br w:val="nil"/>
                    <w:tr2bl w:val="nil"/>
                  </w:tcBorders>
                  <w:vAlign w:val="center"/>
                </w:tcPr>
                <w:p w14:paraId="57D8A3E8">
                  <w:pPr>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序号</w:t>
                  </w:r>
                </w:p>
              </w:tc>
              <w:tc>
                <w:tcPr>
                  <w:tcW w:w="2978" w:type="dxa"/>
                  <w:gridSpan w:val="3"/>
                  <w:vMerge w:val="restart"/>
                  <w:tcBorders>
                    <w:tl2br w:val="nil"/>
                    <w:tr2bl w:val="nil"/>
                  </w:tcBorders>
                  <w:vAlign w:val="center"/>
                </w:tcPr>
                <w:p w14:paraId="2D4BABAD">
                  <w:pPr>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原料</w:t>
                  </w:r>
                  <w:r>
                    <w:rPr>
                      <w:rFonts w:hint="default" w:ascii="Times New Roman" w:hAnsi="Times New Roman" w:cs="Times New Roman"/>
                      <w:color w:val="auto"/>
                      <w:szCs w:val="21"/>
                      <w:highlight w:val="none"/>
                    </w:rPr>
                    <w:t>名称</w:t>
                  </w:r>
                </w:p>
              </w:tc>
              <w:tc>
                <w:tcPr>
                  <w:tcW w:w="4623" w:type="dxa"/>
                  <w:gridSpan w:val="2"/>
                  <w:tcBorders>
                    <w:tl2br w:val="nil"/>
                    <w:tr2bl w:val="nil"/>
                  </w:tcBorders>
                  <w:vAlign w:val="center"/>
                </w:tcPr>
                <w:p w14:paraId="104F848F">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本项目</w:t>
                  </w:r>
                </w:p>
              </w:tc>
            </w:tr>
            <w:tr w14:paraId="2A3E1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vMerge w:val="continue"/>
                  <w:tcBorders>
                    <w:tl2br w:val="nil"/>
                    <w:tr2bl w:val="nil"/>
                  </w:tcBorders>
                  <w:vAlign w:val="center"/>
                </w:tcPr>
                <w:p w14:paraId="68DB7B6A">
                  <w:pPr>
                    <w:snapToGrid w:val="0"/>
                    <w:jc w:val="center"/>
                    <w:rPr>
                      <w:rFonts w:hint="default" w:ascii="Times New Roman" w:hAnsi="Times New Roman" w:cs="Times New Roman"/>
                      <w:color w:val="auto"/>
                      <w:szCs w:val="21"/>
                      <w:highlight w:val="none"/>
                    </w:rPr>
                  </w:pPr>
                </w:p>
              </w:tc>
              <w:tc>
                <w:tcPr>
                  <w:tcW w:w="2978" w:type="dxa"/>
                  <w:gridSpan w:val="3"/>
                  <w:vMerge w:val="continue"/>
                  <w:tcBorders>
                    <w:tl2br w:val="nil"/>
                    <w:tr2bl w:val="nil"/>
                  </w:tcBorders>
                  <w:vAlign w:val="center"/>
                </w:tcPr>
                <w:p w14:paraId="52E7679B">
                  <w:pPr>
                    <w:snapToGrid w:val="0"/>
                    <w:jc w:val="center"/>
                    <w:rPr>
                      <w:rFonts w:hint="default" w:ascii="Times New Roman" w:hAnsi="Times New Roman" w:cs="Times New Roman"/>
                      <w:color w:val="auto"/>
                      <w:szCs w:val="21"/>
                      <w:highlight w:val="none"/>
                    </w:rPr>
                  </w:pPr>
                </w:p>
              </w:tc>
              <w:tc>
                <w:tcPr>
                  <w:tcW w:w="1297" w:type="dxa"/>
                  <w:tcBorders>
                    <w:tl2br w:val="nil"/>
                    <w:tr2bl w:val="nil"/>
                  </w:tcBorders>
                  <w:vAlign w:val="center"/>
                </w:tcPr>
                <w:p w14:paraId="30B7E5E1">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消耗量</w:t>
                  </w:r>
                </w:p>
              </w:tc>
              <w:tc>
                <w:tcPr>
                  <w:tcW w:w="3326" w:type="dxa"/>
                  <w:tcBorders>
                    <w:tl2br w:val="nil"/>
                    <w:tr2bl w:val="nil"/>
                  </w:tcBorders>
                  <w:vAlign w:val="center"/>
                </w:tcPr>
                <w:p w14:paraId="106E378C">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5C316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0AE02E5A">
                  <w:pPr>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c>
                <w:tcPr>
                  <w:tcW w:w="1588" w:type="dxa"/>
                  <w:gridSpan w:val="2"/>
                  <w:tcBorders>
                    <w:tl2br w:val="nil"/>
                    <w:tr2bl w:val="nil"/>
                  </w:tcBorders>
                  <w:vAlign w:val="center"/>
                </w:tcPr>
                <w:p w14:paraId="2A4B4381">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砂石骨料生产线</w:t>
                  </w:r>
                </w:p>
              </w:tc>
              <w:tc>
                <w:tcPr>
                  <w:tcW w:w="1390" w:type="dxa"/>
                  <w:tcBorders>
                    <w:tl2br w:val="nil"/>
                    <w:tr2bl w:val="nil"/>
                  </w:tcBorders>
                  <w:vAlign w:val="center"/>
                </w:tcPr>
                <w:p w14:paraId="73000D68">
                  <w:pPr>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大理石</w:t>
                  </w:r>
                  <w:r>
                    <w:rPr>
                      <w:rFonts w:hint="default" w:ascii="Times New Roman" w:hAnsi="Times New Roman" w:cs="Times New Roman"/>
                      <w:color w:val="auto"/>
                      <w:szCs w:val="21"/>
                      <w:highlight w:val="none"/>
                      <w:lang w:val="en-US" w:eastAsia="zh-CN"/>
                    </w:rPr>
                    <w:t>矿</w:t>
                  </w:r>
                  <w:r>
                    <w:rPr>
                      <w:rFonts w:hint="eastAsia" w:cs="Times New Roman"/>
                      <w:color w:val="auto"/>
                      <w:szCs w:val="21"/>
                      <w:highlight w:val="none"/>
                      <w:lang w:val="en-US" w:eastAsia="zh-CN"/>
                    </w:rPr>
                    <w:t>山</w:t>
                  </w:r>
                </w:p>
              </w:tc>
              <w:tc>
                <w:tcPr>
                  <w:tcW w:w="1297" w:type="dxa"/>
                  <w:tcBorders>
                    <w:tl2br w:val="nil"/>
                    <w:tr2bl w:val="nil"/>
                  </w:tcBorders>
                  <w:vAlign w:val="center"/>
                </w:tcPr>
                <w:p w14:paraId="0CD12B5D">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102万</w:t>
                  </w:r>
                </w:p>
              </w:tc>
              <w:tc>
                <w:tcPr>
                  <w:tcW w:w="3326" w:type="dxa"/>
                  <w:tcBorders>
                    <w:tl2br w:val="nil"/>
                    <w:tr2bl w:val="nil"/>
                  </w:tcBorders>
                  <w:vAlign w:val="center"/>
                </w:tcPr>
                <w:p w14:paraId="1B3BB113">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建设方自有矿山及外购</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规格为1-100</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cm，主要成分为碳酸钙</w:t>
                  </w:r>
                </w:p>
              </w:tc>
            </w:tr>
            <w:tr w14:paraId="1AA7C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3A0A405D">
                  <w:pPr>
                    <w:tabs>
                      <w:tab w:val="left" w:pos="540"/>
                      <w:tab w:val="left" w:pos="900"/>
                    </w:tabs>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w:t>
                  </w:r>
                </w:p>
              </w:tc>
              <w:tc>
                <w:tcPr>
                  <w:tcW w:w="1588" w:type="dxa"/>
                  <w:gridSpan w:val="2"/>
                  <w:tcBorders>
                    <w:tl2br w:val="nil"/>
                    <w:tr2bl w:val="nil"/>
                  </w:tcBorders>
                  <w:vAlign w:val="center"/>
                </w:tcPr>
                <w:p w14:paraId="7B891420">
                  <w:pPr>
                    <w:tabs>
                      <w:tab w:val="left" w:pos="540"/>
                      <w:tab w:val="left" w:pos="900"/>
                    </w:tabs>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彩砂生产线</w:t>
                  </w:r>
                </w:p>
              </w:tc>
              <w:tc>
                <w:tcPr>
                  <w:tcW w:w="1390" w:type="dxa"/>
                  <w:tcBorders>
                    <w:tl2br w:val="nil"/>
                    <w:tr2bl w:val="nil"/>
                  </w:tcBorders>
                  <w:vAlign w:val="center"/>
                </w:tcPr>
                <w:p w14:paraId="6F7D6DAF">
                  <w:pPr>
                    <w:tabs>
                      <w:tab w:val="left" w:pos="540"/>
                      <w:tab w:val="left" w:pos="900"/>
                    </w:tabs>
                    <w:snapToGrid w:val="0"/>
                    <w:jc w:val="center"/>
                    <w:rPr>
                      <w:rFonts w:hint="default" w:ascii="Times New Roman" w:hAnsi="Times New Roman" w:cs="Times New Roman"/>
                      <w:szCs w:val="21"/>
                    </w:rPr>
                  </w:pPr>
                  <w:r>
                    <w:rPr>
                      <w:rFonts w:hint="default" w:ascii="Times New Roman" w:hAnsi="Times New Roman" w:cs="Times New Roman"/>
                      <w:szCs w:val="21"/>
                    </w:rPr>
                    <w:t>白云质大理石</w:t>
                  </w:r>
                </w:p>
              </w:tc>
              <w:tc>
                <w:tcPr>
                  <w:tcW w:w="1297" w:type="dxa"/>
                  <w:tcBorders>
                    <w:tl2br w:val="nil"/>
                    <w:tr2bl w:val="nil"/>
                  </w:tcBorders>
                  <w:vAlign w:val="center"/>
                </w:tcPr>
                <w:p w14:paraId="14CD7EE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5</w:t>
                  </w:r>
                  <w:r>
                    <w:rPr>
                      <w:rFonts w:hint="eastAsia" w:cs="Times New Roman"/>
                      <w:color w:val="auto"/>
                      <w:kern w:val="0"/>
                      <w:szCs w:val="21"/>
                      <w:highlight w:val="none"/>
                      <w:lang w:val="en-US" w:eastAsia="zh-CN"/>
                    </w:rPr>
                    <w:t>3</w:t>
                  </w:r>
                  <w:r>
                    <w:rPr>
                      <w:rFonts w:hint="default" w:ascii="Times New Roman" w:hAnsi="Times New Roman" w:cs="Times New Roman"/>
                      <w:color w:val="auto"/>
                      <w:kern w:val="0"/>
                      <w:szCs w:val="21"/>
                      <w:highlight w:val="none"/>
                      <w:lang w:val="en-US" w:eastAsia="zh-CN"/>
                    </w:rPr>
                    <w:t>万</w:t>
                  </w:r>
                </w:p>
              </w:tc>
              <w:tc>
                <w:tcPr>
                  <w:tcW w:w="3326" w:type="dxa"/>
                  <w:tcBorders>
                    <w:tl2br w:val="nil"/>
                    <w:tr2bl w:val="nil"/>
                  </w:tcBorders>
                  <w:vAlign w:val="center"/>
                </w:tcPr>
                <w:p w14:paraId="7781F57E">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建设方自有矿山及外购</w:t>
                  </w:r>
                  <w:r>
                    <w:rPr>
                      <w:rFonts w:hint="default" w:ascii="Times New Roman" w:hAnsi="Times New Roman" w:cs="Times New Roman"/>
                      <w:color w:val="auto"/>
                      <w:szCs w:val="21"/>
                      <w:highlight w:val="none"/>
                    </w:rPr>
                    <w:t>，规格为1-100</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cm，种类有白石、灰石两种，主要成分为碳酸钙</w:t>
                  </w:r>
                </w:p>
              </w:tc>
            </w:tr>
            <w:tr w14:paraId="28382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68FBC97E">
                  <w:pPr>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w:t>
                  </w:r>
                </w:p>
              </w:tc>
              <w:tc>
                <w:tcPr>
                  <w:tcW w:w="654" w:type="dxa"/>
                  <w:vMerge w:val="restart"/>
                  <w:tcBorders>
                    <w:tl2br w:val="nil"/>
                    <w:tr2bl w:val="nil"/>
                  </w:tcBorders>
                  <w:vAlign w:val="center"/>
                </w:tcPr>
                <w:p w14:paraId="7C202BAA">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改性粉体</w:t>
                  </w:r>
                </w:p>
              </w:tc>
              <w:tc>
                <w:tcPr>
                  <w:tcW w:w="934" w:type="dxa"/>
                  <w:vMerge w:val="restart"/>
                  <w:tcBorders>
                    <w:tl2br w:val="nil"/>
                    <w:tr2bl w:val="nil"/>
                  </w:tcBorders>
                  <w:vAlign w:val="center"/>
                </w:tcPr>
                <w:p w14:paraId="23E52BC9">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腻子粉生产线</w:t>
                  </w:r>
                </w:p>
              </w:tc>
              <w:tc>
                <w:tcPr>
                  <w:tcW w:w="1390" w:type="dxa"/>
                  <w:tcBorders>
                    <w:tl2br w:val="nil"/>
                    <w:tr2bl w:val="nil"/>
                  </w:tcBorders>
                  <w:vAlign w:val="center"/>
                </w:tcPr>
                <w:p w14:paraId="7FF4C28C">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钙粉</w:t>
                  </w:r>
                </w:p>
              </w:tc>
              <w:tc>
                <w:tcPr>
                  <w:tcW w:w="1297" w:type="dxa"/>
                  <w:tcBorders>
                    <w:tl2br w:val="nil"/>
                    <w:tr2bl w:val="nil"/>
                  </w:tcBorders>
                  <w:vAlign w:val="center"/>
                </w:tcPr>
                <w:p w14:paraId="28B2FE6B">
                  <w:pPr>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20万</w:t>
                  </w:r>
                </w:p>
              </w:tc>
              <w:tc>
                <w:tcPr>
                  <w:tcW w:w="3326" w:type="dxa"/>
                  <w:tcBorders>
                    <w:tl2br w:val="nil"/>
                    <w:tr2bl w:val="nil"/>
                  </w:tcBorders>
                  <w:vAlign w:val="center"/>
                </w:tcPr>
                <w:p w14:paraId="096512E4">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产自于本项目</w:t>
                  </w:r>
                  <w:r>
                    <w:rPr>
                      <w:rFonts w:hint="eastAsia" w:cs="Times New Roman"/>
                      <w:color w:val="auto"/>
                      <w:szCs w:val="21"/>
                      <w:highlight w:val="none"/>
                      <w:lang w:val="en-US" w:eastAsia="zh-CN"/>
                    </w:rPr>
                    <w:t>彩砂</w:t>
                  </w:r>
                  <w:r>
                    <w:rPr>
                      <w:rFonts w:hint="default" w:ascii="Times New Roman" w:hAnsi="Times New Roman" w:eastAsia="宋体" w:cs="Times New Roman"/>
                      <w:color w:val="auto"/>
                      <w:szCs w:val="21"/>
                      <w:highlight w:val="none"/>
                      <w:lang w:val="en-US" w:eastAsia="zh-CN"/>
                    </w:rPr>
                    <w:t>生产线</w:t>
                  </w:r>
                  <w:r>
                    <w:rPr>
                      <w:rFonts w:hint="eastAsia" w:cs="Times New Roman"/>
                      <w:color w:val="auto"/>
                      <w:szCs w:val="21"/>
                      <w:highlight w:val="none"/>
                      <w:lang w:val="en-US" w:eastAsia="zh-CN"/>
                    </w:rPr>
                    <w:t>副产品</w:t>
                  </w:r>
                </w:p>
              </w:tc>
            </w:tr>
            <w:tr w14:paraId="7208E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5CEA57E7">
                  <w:pPr>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654" w:type="dxa"/>
                  <w:vMerge w:val="continue"/>
                  <w:tcBorders>
                    <w:tl2br w:val="nil"/>
                    <w:tr2bl w:val="nil"/>
                  </w:tcBorders>
                  <w:vAlign w:val="center"/>
                </w:tcPr>
                <w:p w14:paraId="2E729DE8">
                  <w:pPr>
                    <w:snapToGrid w:val="0"/>
                    <w:jc w:val="center"/>
                    <w:rPr>
                      <w:rFonts w:hint="default" w:ascii="Times New Roman" w:hAnsi="Times New Roman" w:cs="Times New Roman"/>
                      <w:color w:val="auto"/>
                      <w:szCs w:val="21"/>
                      <w:highlight w:val="none"/>
                    </w:rPr>
                  </w:pPr>
                </w:p>
              </w:tc>
              <w:tc>
                <w:tcPr>
                  <w:tcW w:w="934" w:type="dxa"/>
                  <w:vMerge w:val="continue"/>
                  <w:tcBorders>
                    <w:tl2br w:val="nil"/>
                    <w:tr2bl w:val="nil"/>
                  </w:tcBorders>
                  <w:vAlign w:val="center"/>
                </w:tcPr>
                <w:p w14:paraId="5C151F43">
                  <w:pPr>
                    <w:snapToGrid w:val="0"/>
                    <w:jc w:val="center"/>
                    <w:rPr>
                      <w:rFonts w:hint="default" w:ascii="Times New Roman" w:hAnsi="Times New Roman" w:cs="Times New Roman"/>
                      <w:color w:val="auto"/>
                      <w:szCs w:val="21"/>
                      <w:highlight w:val="none"/>
                    </w:rPr>
                  </w:pPr>
                </w:p>
              </w:tc>
              <w:tc>
                <w:tcPr>
                  <w:tcW w:w="1390" w:type="dxa"/>
                  <w:tcBorders>
                    <w:tl2br w:val="nil"/>
                    <w:tr2bl w:val="nil"/>
                  </w:tcBorders>
                  <w:vAlign w:val="center"/>
                </w:tcPr>
                <w:p w14:paraId="69DA512A">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纤维素</w:t>
                  </w:r>
                </w:p>
              </w:tc>
              <w:tc>
                <w:tcPr>
                  <w:tcW w:w="1297" w:type="dxa"/>
                  <w:tcBorders>
                    <w:tl2br w:val="nil"/>
                    <w:tr2bl w:val="nil"/>
                  </w:tcBorders>
                  <w:vAlign w:val="center"/>
                </w:tcPr>
                <w:p w14:paraId="216E017C">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7</w:t>
                  </w:r>
                  <w:r>
                    <w:rPr>
                      <w:rFonts w:hint="eastAsia" w:ascii="Times New Roman" w:hAnsi="Times New Roman" w:eastAsia="宋体" w:cs="Times New Roman"/>
                      <w:color w:val="auto"/>
                      <w:kern w:val="0"/>
                      <w:szCs w:val="21"/>
                      <w:highlight w:val="none"/>
                      <w:lang w:val="en-US" w:eastAsia="zh-CN"/>
                    </w:rPr>
                    <w:t>30</w:t>
                  </w:r>
                </w:p>
              </w:tc>
              <w:tc>
                <w:tcPr>
                  <w:tcW w:w="3326" w:type="dxa"/>
                  <w:tcBorders>
                    <w:tl2br w:val="nil"/>
                    <w:tr2bl w:val="nil"/>
                  </w:tcBorders>
                  <w:vAlign w:val="center"/>
                </w:tcPr>
                <w:p w14:paraId="50E40DB2">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14:paraId="0A9B4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3F3FA459">
                  <w:pPr>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654" w:type="dxa"/>
                  <w:vMerge w:val="continue"/>
                  <w:tcBorders>
                    <w:tl2br w:val="nil"/>
                    <w:tr2bl w:val="nil"/>
                  </w:tcBorders>
                  <w:vAlign w:val="center"/>
                </w:tcPr>
                <w:p w14:paraId="670CB983">
                  <w:pPr>
                    <w:snapToGrid w:val="0"/>
                    <w:jc w:val="center"/>
                    <w:rPr>
                      <w:rFonts w:hint="default" w:ascii="Times New Roman" w:hAnsi="Times New Roman" w:cs="Times New Roman"/>
                      <w:color w:val="auto"/>
                      <w:szCs w:val="21"/>
                      <w:highlight w:val="none"/>
                    </w:rPr>
                  </w:pPr>
                </w:p>
              </w:tc>
              <w:tc>
                <w:tcPr>
                  <w:tcW w:w="934" w:type="dxa"/>
                  <w:vMerge w:val="restart"/>
                  <w:tcBorders>
                    <w:tl2br w:val="nil"/>
                    <w:tr2bl w:val="nil"/>
                  </w:tcBorders>
                  <w:vAlign w:val="center"/>
                </w:tcPr>
                <w:p w14:paraId="31CEAD2B">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石膏粉生产线</w:t>
                  </w:r>
                </w:p>
              </w:tc>
              <w:tc>
                <w:tcPr>
                  <w:tcW w:w="1390" w:type="dxa"/>
                  <w:tcBorders>
                    <w:tl2br w:val="nil"/>
                    <w:tr2bl w:val="nil"/>
                  </w:tcBorders>
                  <w:vAlign w:val="center"/>
                </w:tcPr>
                <w:p w14:paraId="1948F4B8">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彩砂</w:t>
                  </w:r>
                </w:p>
              </w:tc>
              <w:tc>
                <w:tcPr>
                  <w:tcW w:w="1297" w:type="dxa"/>
                  <w:tcBorders>
                    <w:tl2br w:val="nil"/>
                    <w:tr2bl w:val="nil"/>
                  </w:tcBorders>
                  <w:vAlign w:val="center"/>
                </w:tcPr>
                <w:p w14:paraId="64C7A0A0">
                  <w:pPr>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15万</w:t>
                  </w:r>
                </w:p>
              </w:tc>
              <w:tc>
                <w:tcPr>
                  <w:tcW w:w="3326" w:type="dxa"/>
                  <w:tcBorders>
                    <w:tl2br w:val="nil"/>
                    <w:tr2bl w:val="nil"/>
                  </w:tcBorders>
                  <w:vAlign w:val="center"/>
                </w:tcPr>
                <w:p w14:paraId="36431FA7">
                  <w:pPr>
                    <w:snapToGrid w:val="0"/>
                    <w:jc w:val="center"/>
                    <w:rPr>
                      <w:rFonts w:hint="default" w:ascii="Times New Roman" w:hAnsi="Times New Roman" w:cs="Times New Roman"/>
                      <w:color w:val="auto"/>
                      <w:szCs w:val="21"/>
                      <w:highlight w:val="none"/>
                    </w:rPr>
                  </w:pPr>
                  <w:r>
                    <w:rPr>
                      <w:rFonts w:hint="eastAsia"/>
                      <w:lang w:val="en-US" w:eastAsia="zh-CN"/>
                    </w:rPr>
                    <w:t>产自于本项目</w:t>
                  </w:r>
                  <w:r>
                    <w:rPr>
                      <w:rFonts w:hint="default" w:ascii="Times New Roman" w:hAnsi="Times New Roman" w:eastAsia="宋体" w:cs="Times New Roman"/>
                      <w:color w:val="auto"/>
                      <w:kern w:val="0"/>
                      <w:szCs w:val="21"/>
                      <w:highlight w:val="none"/>
                      <w:lang w:val="en-US" w:eastAsia="zh-CN"/>
                    </w:rPr>
                    <w:t>彩砂</w:t>
                  </w:r>
                  <w:r>
                    <w:rPr>
                      <w:rFonts w:hint="eastAsia"/>
                      <w:lang w:val="en-US" w:eastAsia="zh-CN"/>
                    </w:rPr>
                    <w:t>生产线</w:t>
                  </w:r>
                </w:p>
              </w:tc>
            </w:tr>
            <w:tr w14:paraId="03AB6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831" w:type="dxa"/>
                  <w:tcBorders>
                    <w:tl2br w:val="nil"/>
                    <w:tr2bl w:val="nil"/>
                  </w:tcBorders>
                  <w:vAlign w:val="center"/>
                </w:tcPr>
                <w:p w14:paraId="59BC680D">
                  <w:pPr>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654" w:type="dxa"/>
                  <w:vMerge w:val="continue"/>
                  <w:tcBorders>
                    <w:tl2br w:val="nil"/>
                    <w:tr2bl w:val="nil"/>
                  </w:tcBorders>
                  <w:vAlign w:val="center"/>
                </w:tcPr>
                <w:p w14:paraId="685CFE8A">
                  <w:pPr>
                    <w:snapToGrid w:val="0"/>
                    <w:jc w:val="center"/>
                    <w:rPr>
                      <w:rFonts w:hint="default" w:ascii="Times New Roman" w:hAnsi="Times New Roman" w:cs="Times New Roman"/>
                      <w:color w:val="auto"/>
                      <w:szCs w:val="21"/>
                      <w:highlight w:val="none"/>
                    </w:rPr>
                  </w:pPr>
                </w:p>
              </w:tc>
              <w:tc>
                <w:tcPr>
                  <w:tcW w:w="934" w:type="dxa"/>
                  <w:vMerge w:val="continue"/>
                  <w:tcBorders>
                    <w:tl2br w:val="nil"/>
                    <w:tr2bl w:val="nil"/>
                  </w:tcBorders>
                  <w:vAlign w:val="center"/>
                </w:tcPr>
                <w:p w14:paraId="3C9E5DB7">
                  <w:pPr>
                    <w:snapToGrid w:val="0"/>
                    <w:jc w:val="center"/>
                    <w:rPr>
                      <w:rFonts w:hint="default" w:ascii="Times New Roman" w:hAnsi="Times New Roman" w:cs="Times New Roman"/>
                      <w:color w:val="auto"/>
                      <w:szCs w:val="21"/>
                      <w:highlight w:val="none"/>
                    </w:rPr>
                  </w:pPr>
                </w:p>
              </w:tc>
              <w:tc>
                <w:tcPr>
                  <w:tcW w:w="1390" w:type="dxa"/>
                  <w:tcBorders>
                    <w:tl2br w:val="nil"/>
                    <w:tr2bl w:val="nil"/>
                  </w:tcBorders>
                  <w:vAlign w:val="center"/>
                </w:tcPr>
                <w:p w14:paraId="2AB4D559">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石膏粉</w:t>
                  </w:r>
                </w:p>
              </w:tc>
              <w:tc>
                <w:tcPr>
                  <w:tcW w:w="1297" w:type="dxa"/>
                  <w:tcBorders>
                    <w:tl2br w:val="nil"/>
                    <w:tr2bl w:val="nil"/>
                  </w:tcBorders>
                  <w:vAlign w:val="center"/>
                </w:tcPr>
                <w:p w14:paraId="12D53CE9">
                  <w:pPr>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15万</w:t>
                  </w:r>
                </w:p>
              </w:tc>
              <w:tc>
                <w:tcPr>
                  <w:tcW w:w="3326" w:type="dxa"/>
                  <w:tcBorders>
                    <w:tl2br w:val="nil"/>
                    <w:tr2bl w:val="nil"/>
                  </w:tcBorders>
                  <w:vAlign w:val="center"/>
                </w:tcPr>
                <w:p w14:paraId="017BA794">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14:paraId="1A52E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6BE5D9C4">
                  <w:pPr>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w:t>
                  </w:r>
                </w:p>
              </w:tc>
              <w:tc>
                <w:tcPr>
                  <w:tcW w:w="654" w:type="dxa"/>
                  <w:vMerge w:val="continue"/>
                  <w:tcBorders>
                    <w:tl2br w:val="nil"/>
                    <w:tr2bl w:val="nil"/>
                  </w:tcBorders>
                  <w:vAlign w:val="center"/>
                </w:tcPr>
                <w:p w14:paraId="190EA58A">
                  <w:pPr>
                    <w:snapToGrid w:val="0"/>
                    <w:jc w:val="center"/>
                    <w:rPr>
                      <w:rFonts w:hint="default" w:ascii="Times New Roman" w:hAnsi="Times New Roman" w:cs="Times New Roman"/>
                      <w:color w:val="auto"/>
                      <w:szCs w:val="21"/>
                      <w:highlight w:val="none"/>
                    </w:rPr>
                  </w:pPr>
                </w:p>
              </w:tc>
              <w:tc>
                <w:tcPr>
                  <w:tcW w:w="934" w:type="dxa"/>
                  <w:vMerge w:val="continue"/>
                  <w:tcBorders>
                    <w:tl2br w:val="nil"/>
                    <w:tr2bl w:val="nil"/>
                  </w:tcBorders>
                  <w:vAlign w:val="center"/>
                </w:tcPr>
                <w:p w14:paraId="3C5D7D1C">
                  <w:pPr>
                    <w:snapToGrid w:val="0"/>
                    <w:jc w:val="center"/>
                    <w:rPr>
                      <w:rFonts w:hint="default" w:ascii="Times New Roman" w:hAnsi="Times New Roman" w:cs="Times New Roman"/>
                      <w:color w:val="auto"/>
                      <w:szCs w:val="21"/>
                      <w:highlight w:val="none"/>
                    </w:rPr>
                  </w:pPr>
                </w:p>
              </w:tc>
              <w:tc>
                <w:tcPr>
                  <w:tcW w:w="1390" w:type="dxa"/>
                  <w:tcBorders>
                    <w:tl2br w:val="nil"/>
                    <w:tr2bl w:val="nil"/>
                  </w:tcBorders>
                  <w:vAlign w:val="center"/>
                </w:tcPr>
                <w:p w14:paraId="4FEC49E7">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纤维素</w:t>
                  </w:r>
                </w:p>
              </w:tc>
              <w:tc>
                <w:tcPr>
                  <w:tcW w:w="1297" w:type="dxa"/>
                  <w:tcBorders>
                    <w:tl2br w:val="nil"/>
                    <w:tr2bl w:val="nil"/>
                  </w:tcBorders>
                  <w:vAlign w:val="center"/>
                </w:tcPr>
                <w:p w14:paraId="29F81733">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9</w:t>
                  </w:r>
                  <w:r>
                    <w:rPr>
                      <w:rFonts w:hint="eastAsia" w:ascii="Times New Roman" w:hAnsi="Times New Roman" w:eastAsia="宋体" w:cs="Times New Roman"/>
                      <w:color w:val="auto"/>
                      <w:kern w:val="0"/>
                      <w:szCs w:val="21"/>
                      <w:highlight w:val="none"/>
                      <w:lang w:val="en-US" w:eastAsia="zh-CN"/>
                    </w:rPr>
                    <w:t>80</w:t>
                  </w:r>
                </w:p>
              </w:tc>
              <w:tc>
                <w:tcPr>
                  <w:tcW w:w="3326" w:type="dxa"/>
                  <w:tcBorders>
                    <w:tl2br w:val="nil"/>
                    <w:tr2bl w:val="nil"/>
                  </w:tcBorders>
                  <w:vAlign w:val="center"/>
                </w:tcPr>
                <w:p w14:paraId="0AB71DB6">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14:paraId="561BA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27FE8BF0">
                  <w:pPr>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8</w:t>
                  </w:r>
                </w:p>
              </w:tc>
              <w:tc>
                <w:tcPr>
                  <w:tcW w:w="1588" w:type="dxa"/>
                  <w:gridSpan w:val="2"/>
                  <w:vMerge w:val="restart"/>
                  <w:tcBorders>
                    <w:tl2br w:val="nil"/>
                    <w:tr2bl w:val="nil"/>
                  </w:tcBorders>
                  <w:vAlign w:val="center"/>
                </w:tcPr>
                <w:p w14:paraId="7B7EB34D">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干混</w:t>
                  </w:r>
                  <w:r>
                    <w:rPr>
                      <w:rFonts w:hint="default" w:ascii="Times New Roman" w:hAnsi="Times New Roman" w:cs="Times New Roman"/>
                      <w:color w:val="auto"/>
                      <w:szCs w:val="21"/>
                      <w:highlight w:val="none"/>
                    </w:rPr>
                    <w:t>砂浆生产线</w:t>
                  </w:r>
                </w:p>
              </w:tc>
              <w:tc>
                <w:tcPr>
                  <w:tcW w:w="1390" w:type="dxa"/>
                  <w:tcBorders>
                    <w:tl2br w:val="nil"/>
                    <w:tr2bl w:val="nil"/>
                  </w:tcBorders>
                  <w:vAlign w:val="center"/>
                </w:tcPr>
                <w:p w14:paraId="78128C97">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彩砂</w:t>
                  </w:r>
                </w:p>
              </w:tc>
              <w:tc>
                <w:tcPr>
                  <w:tcW w:w="1297" w:type="dxa"/>
                  <w:tcBorders>
                    <w:tl2br w:val="nil"/>
                    <w:tr2bl w:val="nil"/>
                  </w:tcBorders>
                  <w:vAlign w:val="center"/>
                </w:tcPr>
                <w:p w14:paraId="06B41443">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w:t>
                  </w:r>
                  <w:r>
                    <w:rPr>
                      <w:rFonts w:hint="eastAsia" w:cs="Times New Roman"/>
                      <w:color w:val="auto"/>
                      <w:kern w:val="0"/>
                      <w:szCs w:val="21"/>
                      <w:highlight w:val="none"/>
                      <w:lang w:val="en-US" w:eastAsia="zh-CN"/>
                    </w:rPr>
                    <w:t>3万</w:t>
                  </w:r>
                </w:p>
              </w:tc>
              <w:tc>
                <w:tcPr>
                  <w:tcW w:w="3326" w:type="dxa"/>
                  <w:tcBorders>
                    <w:tl2br w:val="nil"/>
                    <w:tr2bl w:val="nil"/>
                  </w:tcBorders>
                  <w:vAlign w:val="center"/>
                </w:tcPr>
                <w:p w14:paraId="15BFCDF6">
                  <w:pPr>
                    <w:snapToGrid w:val="0"/>
                    <w:jc w:val="center"/>
                    <w:rPr>
                      <w:rFonts w:hint="default" w:ascii="Times New Roman" w:hAnsi="Times New Roman" w:cs="Times New Roman"/>
                      <w:color w:val="auto"/>
                      <w:szCs w:val="21"/>
                      <w:highlight w:val="none"/>
                    </w:rPr>
                  </w:pPr>
                  <w:r>
                    <w:rPr>
                      <w:rFonts w:hint="eastAsia"/>
                      <w:lang w:val="en-US" w:eastAsia="zh-CN"/>
                    </w:rPr>
                    <w:t>产自于本项目</w:t>
                  </w:r>
                  <w:r>
                    <w:rPr>
                      <w:rFonts w:hint="default" w:ascii="Times New Roman" w:hAnsi="Times New Roman" w:eastAsia="宋体" w:cs="Times New Roman"/>
                      <w:color w:val="auto"/>
                      <w:kern w:val="0"/>
                      <w:szCs w:val="21"/>
                      <w:highlight w:val="none"/>
                      <w:lang w:val="en-US" w:eastAsia="zh-CN"/>
                    </w:rPr>
                    <w:t>彩砂</w:t>
                  </w:r>
                  <w:r>
                    <w:rPr>
                      <w:rFonts w:hint="eastAsia"/>
                      <w:lang w:val="en-US" w:eastAsia="zh-CN"/>
                    </w:rPr>
                    <w:t>生产线</w:t>
                  </w:r>
                </w:p>
              </w:tc>
            </w:tr>
            <w:tr w14:paraId="29C6E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2BFEE327">
                  <w:pPr>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w:t>
                  </w:r>
                </w:p>
              </w:tc>
              <w:tc>
                <w:tcPr>
                  <w:tcW w:w="1588" w:type="dxa"/>
                  <w:gridSpan w:val="2"/>
                  <w:vMerge w:val="continue"/>
                  <w:tcBorders>
                    <w:tl2br w:val="nil"/>
                    <w:tr2bl w:val="nil"/>
                  </w:tcBorders>
                  <w:vAlign w:val="center"/>
                </w:tcPr>
                <w:p w14:paraId="37094DA9">
                  <w:pPr>
                    <w:snapToGrid w:val="0"/>
                    <w:jc w:val="center"/>
                    <w:rPr>
                      <w:rFonts w:hint="default" w:ascii="Times New Roman" w:hAnsi="Times New Roman" w:cs="Times New Roman"/>
                      <w:color w:val="auto"/>
                      <w:szCs w:val="21"/>
                      <w:highlight w:val="none"/>
                    </w:rPr>
                  </w:pPr>
                </w:p>
              </w:tc>
              <w:tc>
                <w:tcPr>
                  <w:tcW w:w="1390" w:type="dxa"/>
                  <w:tcBorders>
                    <w:tl2br w:val="nil"/>
                    <w:tr2bl w:val="nil"/>
                  </w:tcBorders>
                  <w:vAlign w:val="center"/>
                </w:tcPr>
                <w:p w14:paraId="3D368B11">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水泥</w:t>
                  </w:r>
                </w:p>
              </w:tc>
              <w:tc>
                <w:tcPr>
                  <w:tcW w:w="1297" w:type="dxa"/>
                  <w:tcBorders>
                    <w:tl2br w:val="nil"/>
                    <w:tr2bl w:val="nil"/>
                  </w:tcBorders>
                  <w:vAlign w:val="center"/>
                </w:tcPr>
                <w:p w14:paraId="42336163">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6</w:t>
                  </w:r>
                  <w:r>
                    <w:rPr>
                      <w:rFonts w:hint="eastAsia"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98</w:t>
                  </w:r>
                  <w:r>
                    <w:rPr>
                      <w:rFonts w:hint="eastAsia" w:cs="Times New Roman"/>
                      <w:color w:val="auto"/>
                      <w:kern w:val="0"/>
                      <w:szCs w:val="21"/>
                      <w:highlight w:val="none"/>
                      <w:lang w:val="en-US" w:eastAsia="zh-CN"/>
                    </w:rPr>
                    <w:t>万</w:t>
                  </w:r>
                </w:p>
              </w:tc>
              <w:tc>
                <w:tcPr>
                  <w:tcW w:w="3326" w:type="dxa"/>
                  <w:tcBorders>
                    <w:tl2br w:val="nil"/>
                    <w:tr2bl w:val="nil"/>
                  </w:tcBorders>
                  <w:vAlign w:val="center"/>
                </w:tcPr>
                <w:p w14:paraId="4D80F10B">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外购，厂内储罐保存</w:t>
                  </w:r>
                </w:p>
              </w:tc>
            </w:tr>
            <w:tr w14:paraId="6AF3F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15797BFE">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1588" w:type="dxa"/>
                  <w:gridSpan w:val="2"/>
                  <w:vMerge w:val="continue"/>
                  <w:tcBorders>
                    <w:tl2br w:val="nil"/>
                    <w:tr2bl w:val="nil"/>
                  </w:tcBorders>
                  <w:vAlign w:val="center"/>
                </w:tcPr>
                <w:p w14:paraId="36733798">
                  <w:pPr>
                    <w:snapToGrid w:val="0"/>
                    <w:jc w:val="center"/>
                    <w:rPr>
                      <w:rFonts w:hint="default" w:ascii="Times New Roman" w:hAnsi="Times New Roman" w:cs="Times New Roman"/>
                      <w:color w:val="auto"/>
                      <w:szCs w:val="21"/>
                      <w:highlight w:val="none"/>
                    </w:rPr>
                  </w:pPr>
                </w:p>
              </w:tc>
              <w:tc>
                <w:tcPr>
                  <w:tcW w:w="1390" w:type="dxa"/>
                  <w:tcBorders>
                    <w:tl2br w:val="nil"/>
                    <w:tr2bl w:val="nil"/>
                  </w:tcBorders>
                  <w:vAlign w:val="center"/>
                </w:tcPr>
                <w:p w14:paraId="255381A0">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纤维素</w:t>
                  </w:r>
                </w:p>
              </w:tc>
              <w:tc>
                <w:tcPr>
                  <w:tcW w:w="1297" w:type="dxa"/>
                  <w:tcBorders>
                    <w:tl2br w:val="nil"/>
                    <w:tr2bl w:val="nil"/>
                  </w:tcBorders>
                  <w:shd w:val="clear"/>
                  <w:vAlign w:val="center"/>
                </w:tcPr>
                <w:p w14:paraId="473826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546.08</w:t>
                  </w:r>
                </w:p>
              </w:tc>
              <w:tc>
                <w:tcPr>
                  <w:tcW w:w="3326" w:type="dxa"/>
                  <w:tcBorders>
                    <w:tl2br w:val="nil"/>
                    <w:tr2bl w:val="nil"/>
                  </w:tcBorders>
                  <w:vAlign w:val="center"/>
                </w:tcPr>
                <w:p w14:paraId="08789D63">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14:paraId="52325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378AAD77">
                  <w:pPr>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11</w:t>
                  </w:r>
                </w:p>
              </w:tc>
              <w:tc>
                <w:tcPr>
                  <w:tcW w:w="2978" w:type="dxa"/>
                  <w:gridSpan w:val="3"/>
                  <w:tcBorders>
                    <w:tl2br w:val="nil"/>
                    <w:tr2bl w:val="nil"/>
                  </w:tcBorders>
                  <w:vAlign w:val="center"/>
                </w:tcPr>
                <w:p w14:paraId="3958D196">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絮凝剂</w:t>
                  </w:r>
                </w:p>
              </w:tc>
              <w:tc>
                <w:tcPr>
                  <w:tcW w:w="1297" w:type="dxa"/>
                  <w:tcBorders>
                    <w:tl2br w:val="nil"/>
                    <w:tr2bl w:val="nil"/>
                  </w:tcBorders>
                  <w:vAlign w:val="center"/>
                </w:tcPr>
                <w:p w14:paraId="2813B2FA">
                  <w:pPr>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w:t>
                  </w:r>
                </w:p>
              </w:tc>
              <w:tc>
                <w:tcPr>
                  <w:tcW w:w="3326" w:type="dxa"/>
                  <w:tcBorders>
                    <w:tl2br w:val="nil"/>
                    <w:tr2bl w:val="nil"/>
                  </w:tcBorders>
                  <w:vAlign w:val="center"/>
                </w:tcPr>
                <w:p w14:paraId="3274A395">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外购</w:t>
                  </w:r>
                </w:p>
              </w:tc>
            </w:tr>
            <w:tr w14:paraId="68064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3AF33E73">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w:t>
                  </w:r>
                </w:p>
              </w:tc>
              <w:tc>
                <w:tcPr>
                  <w:tcW w:w="2978" w:type="dxa"/>
                  <w:gridSpan w:val="3"/>
                  <w:tcBorders>
                    <w:tl2br w:val="nil"/>
                    <w:tr2bl w:val="nil"/>
                  </w:tcBorders>
                  <w:vAlign w:val="center"/>
                </w:tcPr>
                <w:p w14:paraId="5945B891">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w:t>
                  </w:r>
                </w:p>
              </w:tc>
              <w:tc>
                <w:tcPr>
                  <w:tcW w:w="1297" w:type="dxa"/>
                  <w:tcBorders>
                    <w:tl2br w:val="nil"/>
                    <w:tr2bl w:val="nil"/>
                  </w:tcBorders>
                  <w:vAlign w:val="center"/>
                </w:tcPr>
                <w:p w14:paraId="30CB43B4">
                  <w:pPr>
                    <w:snapToGrid w:val="0"/>
                    <w:jc w:val="center"/>
                    <w:rPr>
                      <w:rFonts w:hint="default" w:ascii="Times New Roman" w:hAnsi="Times New Roman" w:cs="Times New Roman"/>
                      <w:color w:val="auto"/>
                      <w:szCs w:val="21"/>
                      <w:highlight w:val="yellow"/>
                    </w:rPr>
                  </w:pPr>
                  <w:r>
                    <w:rPr>
                      <w:rFonts w:hint="eastAsia" w:cs="Times New Roman"/>
                      <w:color w:val="auto"/>
                      <w:szCs w:val="21"/>
                      <w:highlight w:val="none"/>
                      <w:lang w:val="en-US" w:eastAsia="zh-CN"/>
                    </w:rPr>
                    <w:t>157791</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/a</w:t>
                  </w:r>
                </w:p>
              </w:tc>
              <w:tc>
                <w:tcPr>
                  <w:tcW w:w="3326" w:type="dxa"/>
                  <w:tcBorders>
                    <w:tl2br w:val="nil"/>
                    <w:tr2bl w:val="nil"/>
                  </w:tcBorders>
                  <w:vAlign w:val="center"/>
                </w:tcPr>
                <w:p w14:paraId="41BAAB8A">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自打水井</w:t>
                  </w:r>
                  <w:r>
                    <w:rPr>
                      <w:rFonts w:hint="default" w:ascii="Times New Roman" w:hAnsi="Times New Roman" w:cs="Times New Roman"/>
                      <w:color w:val="auto"/>
                      <w:szCs w:val="21"/>
                      <w:highlight w:val="none"/>
                    </w:rPr>
                    <w:t>提供</w:t>
                  </w:r>
                </w:p>
              </w:tc>
            </w:tr>
            <w:tr w14:paraId="1D4DC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5861291E">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w:t>
                  </w:r>
                </w:p>
              </w:tc>
              <w:tc>
                <w:tcPr>
                  <w:tcW w:w="2978" w:type="dxa"/>
                  <w:gridSpan w:val="3"/>
                  <w:tcBorders>
                    <w:tl2br w:val="nil"/>
                    <w:tr2bl w:val="nil"/>
                  </w:tcBorders>
                  <w:vAlign w:val="center"/>
                </w:tcPr>
                <w:p w14:paraId="77F4F807">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润滑油</w:t>
                  </w:r>
                </w:p>
              </w:tc>
              <w:tc>
                <w:tcPr>
                  <w:tcW w:w="1297" w:type="dxa"/>
                  <w:tcBorders>
                    <w:tl2br w:val="nil"/>
                    <w:tr2bl w:val="nil"/>
                  </w:tcBorders>
                  <w:vAlign w:val="center"/>
                </w:tcPr>
                <w:p w14:paraId="4A8D97DA">
                  <w:pPr>
                    <w:snapToGrid w:val="0"/>
                    <w:jc w:val="center"/>
                    <w:rPr>
                      <w:rFonts w:hint="default" w:ascii="Times New Roman" w:hAnsi="Times New Roman" w:eastAsia="宋体" w:cs="Times New Roman"/>
                      <w:color w:val="auto"/>
                      <w:szCs w:val="21"/>
                      <w:highlight w:val="yellow"/>
                      <w:lang w:val="en-US" w:eastAsia="zh-CN"/>
                    </w:rPr>
                  </w:pPr>
                  <w:r>
                    <w:rPr>
                      <w:rFonts w:hint="default" w:ascii="Times New Roman" w:hAnsi="Times New Roman" w:cs="Times New Roman"/>
                      <w:color w:val="auto"/>
                      <w:szCs w:val="21"/>
                      <w:highlight w:val="none"/>
                      <w:lang w:val="en-US" w:eastAsia="zh-CN"/>
                    </w:rPr>
                    <w:t>0.5</w:t>
                  </w:r>
                </w:p>
              </w:tc>
              <w:tc>
                <w:tcPr>
                  <w:tcW w:w="3326" w:type="dxa"/>
                  <w:tcBorders>
                    <w:tl2br w:val="nil"/>
                    <w:tr2bl w:val="nil"/>
                  </w:tcBorders>
                  <w:vAlign w:val="center"/>
                </w:tcPr>
                <w:p w14:paraId="2805D29B">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14:paraId="07902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1" w:type="dxa"/>
                  <w:tcBorders>
                    <w:tl2br w:val="nil"/>
                    <w:tr2bl w:val="nil"/>
                  </w:tcBorders>
                  <w:vAlign w:val="center"/>
                </w:tcPr>
                <w:p w14:paraId="78F25E5A">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14</w:t>
                  </w:r>
                </w:p>
              </w:tc>
              <w:tc>
                <w:tcPr>
                  <w:tcW w:w="2978" w:type="dxa"/>
                  <w:gridSpan w:val="3"/>
                  <w:tcBorders>
                    <w:tl2br w:val="nil"/>
                    <w:tr2bl w:val="nil"/>
                  </w:tcBorders>
                  <w:vAlign w:val="center"/>
                </w:tcPr>
                <w:p w14:paraId="6B5D6D08">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包装材料</w:t>
                  </w:r>
                </w:p>
              </w:tc>
              <w:tc>
                <w:tcPr>
                  <w:tcW w:w="1297" w:type="dxa"/>
                  <w:tcBorders>
                    <w:tl2br w:val="nil"/>
                    <w:tr2bl w:val="nil"/>
                  </w:tcBorders>
                  <w:vAlign w:val="center"/>
                </w:tcPr>
                <w:p w14:paraId="5C9A1797">
                  <w:pPr>
                    <w:snapToGrid w:val="0"/>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highlight w:val="none"/>
                      <w:lang w:val="en-US" w:eastAsia="zh-CN"/>
                    </w:rPr>
                    <w:t>2</w:t>
                  </w:r>
                </w:p>
              </w:tc>
              <w:tc>
                <w:tcPr>
                  <w:tcW w:w="3326" w:type="dxa"/>
                  <w:tcBorders>
                    <w:tl2br w:val="nil"/>
                    <w:tr2bl w:val="nil"/>
                  </w:tcBorders>
                  <w:vAlign w:val="center"/>
                </w:tcPr>
                <w:p w14:paraId="34E03C90">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bl>
          <w:p w14:paraId="040A63BE">
            <w:pPr>
              <w:pStyle w:val="8"/>
              <w:spacing w:line="36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val="0"/>
                <w:color w:val="auto"/>
                <w:highlight w:val="none"/>
              </w:rPr>
              <w:t>纤维素：</w:t>
            </w:r>
            <w:r>
              <w:rPr>
                <w:rFonts w:hint="default" w:ascii="Times New Roman" w:hAnsi="Times New Roman" w:cs="Times New Roman"/>
                <w:color w:val="auto"/>
                <w:highlight w:val="none"/>
              </w:rPr>
              <w:t>本</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采用的纤维素类型为羟丙基纤维素（简称HPC），白色或浅黄色粉末，无味，可燃。常温下难溶于苯和乙醚，溶于水、甲醇、乙醇、异丙醇等极性有机溶剂。本品是一种非离子型纤维素衍生物。热塑性、成膜性能、粘结性、乳胶稳定性及分散性均好，灰分极少。在医药上主要用作片剂粘合剂、薄膜包衣等，也可用作化妆品，</w:t>
            </w:r>
            <w:r>
              <w:rPr>
                <w:rFonts w:hint="eastAsia" w:cs="Times New Roman"/>
                <w:color w:val="auto"/>
                <w:highlight w:val="none"/>
                <w:lang w:eastAsia="zh-CN"/>
              </w:rPr>
              <w:t>X射线</w:t>
            </w:r>
            <w:r>
              <w:rPr>
                <w:rFonts w:hint="default" w:ascii="Times New Roman" w:hAnsi="Times New Roman" w:cs="Times New Roman"/>
                <w:color w:val="auto"/>
                <w:highlight w:val="none"/>
              </w:rPr>
              <w:t>照相显影剂，增粘剂和分散剂等。</w:t>
            </w:r>
          </w:p>
          <w:p w14:paraId="6A921C43">
            <w:pPr>
              <w:pStyle w:val="8"/>
              <w:spacing w:line="36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val="0"/>
                <w:color w:val="auto"/>
                <w:highlight w:val="none"/>
              </w:rPr>
              <w:t>石膏粉：</w:t>
            </w:r>
            <w:r>
              <w:rPr>
                <w:rFonts w:hint="default" w:ascii="Times New Roman" w:hAnsi="Times New Roman" w:cs="Times New Roman"/>
                <w:color w:val="auto"/>
                <w:highlight w:val="none"/>
              </w:rPr>
              <w:t>石膏粉一般指生石膏，生石膏即天然二水石膏</w:t>
            </w:r>
            <w:r>
              <w:rPr>
                <w:rFonts w:hint="eastAsia" w:cs="Times New Roman"/>
                <w:color w:val="auto"/>
                <w:highlight w:val="none"/>
                <w:lang w:eastAsia="zh-CN"/>
              </w:rPr>
              <w:t>（</w:t>
            </w:r>
            <w:r>
              <w:rPr>
                <w:rFonts w:hint="default" w:ascii="Times New Roman" w:hAnsi="Times New Roman" w:cs="Times New Roman"/>
                <w:color w:val="auto"/>
                <w:highlight w:val="none"/>
              </w:rPr>
              <w:t>CaSO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·2H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eastAsia" w:cs="Times New Roman"/>
                <w:color w:val="auto"/>
                <w:highlight w:val="none"/>
                <w:lang w:eastAsia="zh-CN"/>
              </w:rPr>
              <w:t>）</w:t>
            </w:r>
            <w:r>
              <w:rPr>
                <w:rFonts w:hint="default" w:ascii="Times New Roman" w:hAnsi="Times New Roman" w:cs="Times New Roman"/>
                <w:color w:val="auto"/>
                <w:highlight w:val="none"/>
              </w:rPr>
              <w:t>，CAS号10101-41-4，又称细理石，又名“寒水石”。石膏</w:t>
            </w:r>
            <w:r>
              <w:rPr>
                <w:rFonts w:hint="eastAsia" w:cs="Times New Roman"/>
                <w:color w:val="auto"/>
                <w:highlight w:val="none"/>
                <w:lang w:val="en-US" w:eastAsia="zh-CN"/>
              </w:rPr>
              <w:t>粉</w:t>
            </w:r>
            <w:r>
              <w:rPr>
                <w:rFonts w:hint="default" w:ascii="Times New Roman" w:hAnsi="Times New Roman" w:cs="Times New Roman"/>
                <w:color w:val="auto"/>
                <w:highlight w:val="none"/>
              </w:rPr>
              <w:t>一般呈白色或无色透明，当含有杂质时，呈灰褐、黄等色，比重介于2.31~2.33，摩氏硬度为1.5~2，在水中的溶解度比较小，在20℃时，换算为CaO的二水石膏的溶解度为每升2.05克。石膏</w:t>
            </w:r>
            <w:r>
              <w:rPr>
                <w:rFonts w:hint="eastAsia" w:cs="Times New Roman"/>
                <w:color w:val="auto"/>
                <w:highlight w:val="none"/>
                <w:lang w:val="en-US" w:eastAsia="zh-CN"/>
              </w:rPr>
              <w:t>粉</w:t>
            </w:r>
            <w:r>
              <w:rPr>
                <w:rFonts w:hint="default" w:ascii="Times New Roman" w:hAnsi="Times New Roman" w:cs="Times New Roman"/>
                <w:color w:val="auto"/>
                <w:highlight w:val="none"/>
              </w:rPr>
              <w:t>硬化后，内部具有大量的孔隙，孔隙率可达50%</w:t>
            </w:r>
            <w:r>
              <w:rPr>
                <w:rFonts w:hint="eastAsia" w:cs="Times New Roman"/>
                <w:color w:val="auto"/>
                <w:highlight w:val="none"/>
                <w:lang w:eastAsia="zh-CN"/>
              </w:rPr>
              <w:t>～</w:t>
            </w:r>
            <w:r>
              <w:rPr>
                <w:rFonts w:hint="default" w:ascii="Times New Roman" w:hAnsi="Times New Roman" w:cs="Times New Roman"/>
                <w:color w:val="auto"/>
                <w:highlight w:val="none"/>
              </w:rPr>
              <w:t>60%，故其密度小，强度也较低，建筑石膏硬化后具有较强的吸湿性，吸湿后晶体间粘结力减弱，强度显著下降，遇水则晶体溶解引起破坏，吸水后受冻，更易崩裂。石膏是热的不良导体，其导热率16℃~46℃，为0.259千卡/米·度·时。当石膏遇火时，由于二水石膏中的结晶水蒸发，吸收热量，表面生成的无水物又是良好的热绝缘体，故石膏的防火性好。</w:t>
            </w:r>
          </w:p>
          <w:p w14:paraId="0EEDE2A0">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7、劳动定员及工作制度</w:t>
            </w:r>
          </w:p>
          <w:p w14:paraId="7F9594D8">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项目员工人数为</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人，年工作时间300天，每天</w:t>
            </w:r>
            <w:r>
              <w:rPr>
                <w:rFonts w:hint="default" w:ascii="Times New Roman" w:hAnsi="Times New Roman" w:cs="Times New Roman"/>
                <w:color w:val="auto"/>
                <w:sz w:val="24"/>
                <w:highlight w:val="none"/>
                <w:lang w:val="en-US" w:eastAsia="zh-CN"/>
              </w:rPr>
              <w:t>两</w:t>
            </w:r>
            <w:r>
              <w:rPr>
                <w:rFonts w:hint="default" w:ascii="Times New Roman" w:hAnsi="Times New Roman" w:cs="Times New Roman"/>
                <w:color w:val="auto"/>
                <w:sz w:val="24"/>
                <w:highlight w:val="none"/>
              </w:rPr>
              <w:t>班，每班八小时，员工</w:t>
            </w:r>
            <w:r>
              <w:rPr>
                <w:rFonts w:hint="default" w:ascii="Times New Roman" w:hAnsi="Times New Roman" w:cs="Times New Roman"/>
                <w:color w:val="auto"/>
                <w:sz w:val="24"/>
                <w:highlight w:val="none"/>
                <w:lang w:val="en-US" w:eastAsia="zh-CN"/>
              </w:rPr>
              <w:t>不</w:t>
            </w:r>
            <w:r>
              <w:rPr>
                <w:rFonts w:hint="default" w:ascii="Times New Roman" w:hAnsi="Times New Roman" w:cs="Times New Roman"/>
                <w:color w:val="auto"/>
                <w:sz w:val="24"/>
                <w:highlight w:val="none"/>
              </w:rPr>
              <w:t>在厂区内食宿。</w:t>
            </w:r>
          </w:p>
          <w:p w14:paraId="1879F08A">
            <w:pPr>
              <w:adjustRightInd w:val="0"/>
              <w:snapToGrid w:val="0"/>
              <w:spacing w:line="360" w:lineRule="auto"/>
              <w:ind w:firstLine="482"/>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8、公用工程</w:t>
            </w:r>
          </w:p>
          <w:p w14:paraId="4A2D740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（1）给水系统</w:t>
            </w:r>
          </w:p>
          <w:p w14:paraId="0EFFA5D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项目生产及生活用水均由</w:t>
            </w:r>
            <w:r>
              <w:rPr>
                <w:rFonts w:hint="default" w:ascii="Times New Roman" w:hAnsi="Times New Roman" w:cs="Times New Roman"/>
                <w:color w:val="auto"/>
                <w:sz w:val="24"/>
                <w:highlight w:val="none"/>
                <w:lang w:val="en-US" w:eastAsia="zh-CN"/>
              </w:rPr>
              <w:t>厂区自打水井</w:t>
            </w:r>
            <w:r>
              <w:rPr>
                <w:rFonts w:hint="default" w:ascii="Times New Roman" w:hAnsi="Times New Roman" w:cs="Times New Roman"/>
                <w:color w:val="auto"/>
                <w:sz w:val="24"/>
                <w:highlight w:val="none"/>
              </w:rPr>
              <w:t>提供</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井深50 m</w:t>
            </w:r>
            <w:r>
              <w:rPr>
                <w:rFonts w:hint="default" w:ascii="Times New Roman" w:hAnsi="Times New Roman" w:cs="Times New Roman"/>
                <w:color w:val="auto"/>
                <w:sz w:val="24"/>
                <w:highlight w:val="none"/>
              </w:rPr>
              <w:t>。</w:t>
            </w:r>
          </w:p>
          <w:p w14:paraId="4ABBDC1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（2）排水系统</w:t>
            </w:r>
          </w:p>
          <w:p w14:paraId="231063D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厂区采取雨污分流措施。雨水经厂区现有雨水渠收集后外排；</w:t>
            </w:r>
            <w:r>
              <w:rPr>
                <w:rFonts w:hint="default" w:ascii="Times New Roman" w:hAnsi="Times New Roman" w:cs="Times New Roman"/>
                <w:color w:val="auto"/>
                <w:sz w:val="24"/>
                <w:highlight w:val="none"/>
                <w:lang w:val="en-US" w:eastAsia="zh-CN"/>
              </w:rPr>
              <w:t>生活污水经化粪池处理后用于农田施肥；洗砂废水循环利用不外排</w:t>
            </w:r>
            <w:r>
              <w:rPr>
                <w:rFonts w:hint="default" w:ascii="Times New Roman" w:hAnsi="Times New Roman" w:cs="Times New Roman"/>
                <w:color w:val="auto"/>
                <w:sz w:val="24"/>
                <w:highlight w:val="none"/>
              </w:rPr>
              <w:t>；洗车废水经配套沉淀池处理后回用，不外排。</w:t>
            </w:r>
          </w:p>
          <w:p w14:paraId="4AFBDD4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（3）供电系统</w:t>
            </w:r>
          </w:p>
          <w:p w14:paraId="556FBC7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项目用电由园区供电系统提供，厂区设置10</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lang w:val="en-US" w:eastAsia="zh-CN"/>
              </w:rPr>
              <w:t>V</w:t>
            </w:r>
            <w:r>
              <w:rPr>
                <w:rFonts w:hint="default" w:ascii="Times New Roman" w:hAnsi="Times New Roman" w:cs="Times New Roman"/>
                <w:color w:val="auto"/>
                <w:sz w:val="24"/>
                <w:highlight w:val="none"/>
              </w:rPr>
              <w:t>配电室，直接供给生产用电。</w:t>
            </w:r>
          </w:p>
          <w:p w14:paraId="2C5A6C65">
            <w:pPr>
              <w:numPr>
                <w:ilvl w:val="255"/>
                <w:numId w:val="0"/>
              </w:num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9、项目水平衡</w:t>
            </w:r>
          </w:p>
          <w:p w14:paraId="02697748">
            <w:pPr>
              <w:pStyle w:val="41"/>
              <w:spacing w:line="360" w:lineRule="auto"/>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项目用水工序主要为道路抑尘用水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车辆冲洗用水、</w:t>
            </w:r>
            <w:r>
              <w:rPr>
                <w:rFonts w:hint="eastAsia" w:ascii="Times New Roman" w:hAnsi="Times New Roman" w:cs="Times New Roman"/>
                <w:color w:val="auto"/>
                <w:highlight w:val="none"/>
                <w:lang w:val="en-US" w:eastAsia="zh-CN"/>
              </w:rPr>
              <w:t>机制砂及彩砂清洗</w:t>
            </w:r>
            <w:r>
              <w:rPr>
                <w:rFonts w:hint="default" w:ascii="Times New Roman" w:hAnsi="Times New Roman" w:cs="Times New Roman"/>
                <w:color w:val="auto"/>
                <w:highlight w:val="none"/>
                <w:lang w:val="en-US" w:eastAsia="zh-CN"/>
              </w:rPr>
              <w:t>用水</w:t>
            </w:r>
            <w:r>
              <w:rPr>
                <w:rFonts w:hint="default" w:ascii="Times New Roman" w:hAnsi="Times New Roman" w:cs="Times New Roman"/>
                <w:color w:val="auto"/>
                <w:highlight w:val="none"/>
              </w:rPr>
              <w:t>及员工生活用水，情况详细分析如下</w:t>
            </w:r>
            <w:r>
              <w:rPr>
                <w:rFonts w:hint="default" w:ascii="Times New Roman" w:hAnsi="Times New Roman" w:cs="Times New Roman"/>
                <w:color w:val="auto"/>
                <w:highlight w:val="none"/>
                <w:lang w:eastAsia="zh-CN"/>
              </w:rPr>
              <w:t>。</w:t>
            </w:r>
          </w:p>
          <w:p w14:paraId="6D703E24">
            <w:pPr>
              <w:widowControl/>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①堆场及厂内</w:t>
            </w:r>
            <w:r>
              <w:rPr>
                <w:rFonts w:hint="default" w:ascii="Times New Roman" w:hAnsi="Times New Roman" w:cs="Times New Roman"/>
                <w:color w:val="auto"/>
                <w:sz w:val="24"/>
                <w:highlight w:val="none"/>
              </w:rPr>
              <w:t>抑尘用水：经现场踏勘，目前厂区主干道已完成硬化，</w:t>
            </w:r>
            <w:r>
              <w:rPr>
                <w:rFonts w:hint="default" w:ascii="Times New Roman" w:hAnsi="Times New Roman" w:cs="Times New Roman"/>
                <w:color w:val="auto"/>
                <w:sz w:val="24"/>
                <w:highlight w:val="none"/>
                <w:lang w:val="en-US" w:eastAsia="zh-CN"/>
              </w:rPr>
              <w:t>项目运营期</w:t>
            </w:r>
            <w:r>
              <w:rPr>
                <w:rFonts w:hint="default" w:ascii="Times New Roman" w:hAnsi="Times New Roman" w:cs="Times New Roman"/>
                <w:color w:val="auto"/>
                <w:sz w:val="24"/>
                <w:highlight w:val="none"/>
              </w:rPr>
              <w:t>道路抑尘用水量为</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eastAsia="zh-CN"/>
              </w:rPr>
              <w:t>，</w:t>
            </w:r>
            <w:r>
              <w:rPr>
                <w:rFonts w:hint="eastAsia" w:cs="Times New Roman"/>
                <w:color w:val="auto"/>
                <w:sz w:val="24"/>
                <w:highlight w:val="none"/>
                <w:lang w:val="en-US" w:eastAsia="zh-CN"/>
              </w:rPr>
              <w:t xml:space="preserve">全年用水量约300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a</w:t>
            </w:r>
            <w:r>
              <w:rPr>
                <w:rFonts w:hint="eastAsia" w:cs="Times New Roman"/>
                <w:color w:val="auto"/>
                <w:sz w:val="24"/>
                <w:highlight w:val="none"/>
                <w:lang w:eastAsia="zh-CN"/>
              </w:rPr>
              <w:t>（</w:t>
            </w:r>
            <w:r>
              <w:rPr>
                <w:rFonts w:hint="eastAsia" w:ascii="Times New Roman" w:hAnsi="Times New Roman" w:cs="Times New Roman"/>
                <w:color w:val="auto"/>
                <w:sz w:val="24"/>
                <w:highlight w:val="none"/>
                <w:lang w:val="en-US" w:eastAsia="zh-CN"/>
              </w:rPr>
              <w:t>考虑降雨天数</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。由于浇洒面积较大，此类水会完全蒸发，不会形成径流。</w:t>
            </w:r>
          </w:p>
          <w:p w14:paraId="421B7D6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rPr>
              <w:t>车辆冲洗用水：</w:t>
            </w:r>
            <w:r>
              <w:rPr>
                <w:rFonts w:hint="default" w:ascii="Times New Roman" w:hAnsi="Times New Roman" w:cs="Times New Roman"/>
                <w:color w:val="auto"/>
                <w:sz w:val="24"/>
                <w:highlight w:val="none"/>
                <w:lang w:val="en-US" w:eastAsia="zh-CN"/>
              </w:rPr>
              <w:t>项目分期建设，本次考虑厂区最大运输量，</w:t>
            </w:r>
            <w:r>
              <w:rPr>
                <w:rFonts w:hint="default" w:ascii="Times New Roman" w:hAnsi="Times New Roman" w:cs="Times New Roman"/>
                <w:color w:val="auto"/>
                <w:sz w:val="24"/>
                <w:highlight w:val="none"/>
              </w:rPr>
              <w:t>结合前文工程分析可知，本</w:t>
            </w:r>
            <w:r>
              <w:rPr>
                <w:rFonts w:hint="default" w:ascii="Times New Roman" w:hAnsi="Times New Roman" w:cs="Times New Roman"/>
                <w:color w:val="auto"/>
                <w:sz w:val="24"/>
                <w:highlight w:val="none"/>
                <w:lang w:val="en-US" w:eastAsia="zh-CN"/>
              </w:rPr>
              <w:t>项目产品及原料最大运输</w:t>
            </w:r>
            <w:r>
              <w:rPr>
                <w:rFonts w:hint="default" w:ascii="Times New Roman" w:hAnsi="Times New Roman" w:cs="Times New Roman"/>
                <w:color w:val="auto"/>
                <w:sz w:val="24"/>
                <w:highlight w:val="none"/>
              </w:rPr>
              <w:t>量约</w:t>
            </w:r>
            <w:r>
              <w:rPr>
                <w:rFonts w:hint="default" w:ascii="Times New Roman" w:hAnsi="Times New Roman" w:cs="Times New Roman"/>
                <w:color w:val="auto"/>
                <w:sz w:val="24"/>
                <w:highlight w:val="none"/>
                <w:lang w:val="en-US" w:eastAsia="zh-CN"/>
              </w:rPr>
              <w:t>356</w:t>
            </w:r>
            <w:r>
              <w:rPr>
                <w:rFonts w:hint="default" w:ascii="Times New Roman" w:hAnsi="Times New Roman" w:cs="Times New Roman"/>
                <w:color w:val="auto"/>
                <w:sz w:val="24"/>
                <w:highlight w:val="none"/>
              </w:rPr>
              <w:t>万t/a，根据《建筑给水排水设计手册》（2019年第三版）用水定额中汽车冲洗用水定额，冲洗载重车用水定额为80</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L/辆·次，运输车辆按30</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t/辆计，</w:t>
            </w:r>
            <w:r>
              <w:rPr>
                <w:rFonts w:hint="default" w:ascii="Times New Roman" w:hAnsi="Times New Roman" w:cs="Times New Roman"/>
                <w:color w:val="auto"/>
                <w:sz w:val="24"/>
                <w:highlight w:val="none"/>
                <w:lang w:val="en-US" w:eastAsia="zh-CN"/>
              </w:rPr>
              <w:t>经</w:t>
            </w:r>
            <w:r>
              <w:rPr>
                <w:rFonts w:hint="default" w:ascii="Times New Roman" w:hAnsi="Times New Roman" w:cs="Times New Roman"/>
                <w:color w:val="auto"/>
                <w:sz w:val="24"/>
                <w:highlight w:val="none"/>
              </w:rPr>
              <w:t>计算可知</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用水量约为</w:t>
            </w:r>
            <w:r>
              <w:rPr>
                <w:rFonts w:hint="default" w:ascii="Times New Roman" w:hAnsi="Times New Roman" w:cs="Times New Roman"/>
                <w:color w:val="auto"/>
                <w:sz w:val="24"/>
                <w:highlight w:val="none"/>
                <w:lang w:val="en-US" w:eastAsia="zh-CN"/>
              </w:rPr>
              <w:t xml:space="preserve">31.7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/d。污水产生系数按0.</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计，则车辆冲洗废水产生量约为</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/d。洗车废水经配套沉淀池处理后回用，不外排。</w:t>
            </w:r>
          </w:p>
          <w:p w14:paraId="2FAC9466">
            <w:pPr>
              <w:spacing w:line="360" w:lineRule="auto"/>
              <w:ind w:firstLine="482"/>
              <w:rPr>
                <w:rFonts w:hint="default" w:ascii="Times New Roman" w:hAnsi="Times New Roman" w:cs="Times New Roman"/>
                <w:sz w:val="24"/>
                <w:lang w:bidi="ar"/>
              </w:rPr>
            </w:pPr>
            <w:r>
              <w:rPr>
                <w:rFonts w:hint="default" w:ascii="Times New Roman" w:hAnsi="Times New Roman" w:cs="Times New Roman"/>
                <w:color w:val="auto"/>
                <w:sz w:val="24"/>
                <w:highlight w:val="none"/>
                <w:lang w:val="en-US" w:eastAsia="zh-CN"/>
              </w:rPr>
              <w:t>③洗砂用水：</w:t>
            </w:r>
            <w:r>
              <w:rPr>
                <w:rFonts w:hint="default" w:ascii="Times New Roman" w:hAnsi="Times New Roman" w:cs="Times New Roman"/>
                <w:sz w:val="24"/>
                <w:lang w:bidi="ar"/>
              </w:rPr>
              <w:t>本项目生产过程中，需要对</w:t>
            </w:r>
            <w:r>
              <w:rPr>
                <w:rFonts w:hint="eastAsia" w:cs="Times New Roman"/>
                <w:sz w:val="24"/>
                <w:lang w:val="en-US" w:eastAsia="zh-CN" w:bidi="ar"/>
              </w:rPr>
              <w:t>机制</w:t>
            </w:r>
            <w:r>
              <w:rPr>
                <w:rFonts w:hint="default" w:ascii="Times New Roman" w:hAnsi="Times New Roman" w:cs="Times New Roman"/>
                <w:sz w:val="24"/>
                <w:lang w:val="en-US" w:eastAsia="zh-CN" w:bidi="ar"/>
              </w:rPr>
              <w:t>砂料</w:t>
            </w:r>
            <w:r>
              <w:rPr>
                <w:rFonts w:hint="default" w:ascii="Times New Roman" w:hAnsi="Times New Roman" w:cs="Times New Roman"/>
                <w:sz w:val="24"/>
                <w:lang w:bidi="ar"/>
              </w:rPr>
              <w:t>进行清洗，清洗过程中将产生一定量的清洗废水。根据建设单位提供资料，洗砂用水量约为</w:t>
            </w:r>
            <w:r>
              <w:rPr>
                <w:rFonts w:hint="default" w:ascii="Times New Roman" w:hAnsi="Times New Roman" w:cs="Times New Roman"/>
                <w:sz w:val="24"/>
              </w:rPr>
              <w:t>1.5 m</w:t>
            </w:r>
            <w:r>
              <w:rPr>
                <w:rFonts w:hint="default" w:ascii="Times New Roman" w:hAnsi="Times New Roman" w:cs="Times New Roman"/>
                <w:sz w:val="24"/>
                <w:vertAlign w:val="superscript"/>
              </w:rPr>
              <w:t>3</w:t>
            </w:r>
            <w:r>
              <w:rPr>
                <w:rFonts w:hint="default" w:ascii="Times New Roman" w:hAnsi="Times New Roman" w:cs="Times New Roman"/>
                <w:sz w:val="24"/>
              </w:rPr>
              <w:t>/t清洗料计算</w:t>
            </w:r>
            <w:r>
              <w:rPr>
                <w:rFonts w:hint="default" w:ascii="Times New Roman" w:hAnsi="Times New Roman" w:cs="Times New Roman"/>
                <w:sz w:val="24"/>
                <w:lang w:bidi="ar"/>
              </w:rPr>
              <w:t>，项目机制砂料总量（含泥）约为</w:t>
            </w:r>
            <w:r>
              <w:rPr>
                <w:rFonts w:hint="default" w:ascii="Times New Roman" w:hAnsi="Times New Roman" w:cs="Times New Roman"/>
                <w:sz w:val="24"/>
                <w:lang w:val="en-US" w:eastAsia="zh-CN" w:bidi="ar"/>
              </w:rPr>
              <w:t>22</w:t>
            </w:r>
            <w:r>
              <w:rPr>
                <w:rFonts w:hint="default" w:ascii="Times New Roman" w:hAnsi="Times New Roman" w:cs="Times New Roman"/>
                <w:sz w:val="24"/>
                <w:lang w:bidi="ar"/>
              </w:rPr>
              <w:t>万t/a，日清洗砂料量约为</w:t>
            </w:r>
            <w:r>
              <w:rPr>
                <w:rFonts w:hint="default" w:ascii="Times New Roman" w:hAnsi="Times New Roman" w:cs="Times New Roman"/>
                <w:sz w:val="24"/>
                <w:lang w:val="en-US" w:eastAsia="zh-CN" w:bidi="ar"/>
              </w:rPr>
              <w:t>733</w:t>
            </w:r>
            <w:r>
              <w:rPr>
                <w:rFonts w:hint="default" w:ascii="Times New Roman" w:hAnsi="Times New Roman" w:cs="Times New Roman"/>
                <w:sz w:val="24"/>
                <w:lang w:bidi="ar"/>
              </w:rPr>
              <w:t xml:space="preserve"> t/d（砂料均含有一定的泥），经核算洗砂工序用水量为</w:t>
            </w:r>
            <w:r>
              <w:rPr>
                <w:rFonts w:hint="default" w:ascii="Times New Roman" w:hAnsi="Times New Roman" w:cs="Times New Roman"/>
                <w:sz w:val="24"/>
                <w:lang w:val="en-US" w:eastAsia="zh-CN" w:bidi="ar"/>
              </w:rPr>
              <w:t>1100</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/d。其中设备运行过程水分损耗量</w:t>
            </w:r>
            <w:r>
              <w:rPr>
                <w:rFonts w:hint="default" w:ascii="Times New Roman" w:hAnsi="Times New Roman" w:cs="Times New Roman"/>
                <w:sz w:val="24"/>
                <w:lang w:val="en-US" w:eastAsia="zh-CN" w:bidi="ar"/>
              </w:rPr>
              <w:t xml:space="preserve">55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/d（5%），砂料产品带走水量约</w:t>
            </w:r>
            <w:r>
              <w:rPr>
                <w:rFonts w:hint="default" w:ascii="Times New Roman" w:hAnsi="Times New Roman" w:cs="Times New Roman"/>
                <w:sz w:val="24"/>
                <w:lang w:val="en-US" w:eastAsia="zh-CN" w:bidi="ar"/>
              </w:rPr>
              <w:t>133.3</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/d（含水率20%），</w:t>
            </w:r>
            <w:r>
              <w:rPr>
                <w:rFonts w:hint="default" w:ascii="Times New Roman" w:hAnsi="Times New Roman" w:cs="Times New Roman"/>
                <w:sz w:val="24"/>
                <w:highlight w:val="none"/>
                <w:lang w:bidi="ar"/>
              </w:rPr>
              <w:t>尾泥</w:t>
            </w:r>
            <w:r>
              <w:rPr>
                <w:rFonts w:hint="default" w:ascii="Times New Roman" w:hAnsi="Times New Roman" w:cs="Times New Roman"/>
                <w:sz w:val="24"/>
                <w:lang w:bidi="ar"/>
              </w:rPr>
              <w:t>带走水约</w:t>
            </w:r>
            <w:r>
              <w:rPr>
                <w:rFonts w:hint="eastAsia" w:cs="Times New Roman"/>
                <w:sz w:val="24"/>
                <w:highlight w:val="none"/>
                <w:lang w:val="en-US" w:eastAsia="zh-CN" w:bidi="ar"/>
              </w:rPr>
              <w:t>20</w:t>
            </w:r>
            <w:r>
              <w:rPr>
                <w:rFonts w:hint="default" w:ascii="Times New Roman" w:hAnsi="Times New Roman" w:cs="Times New Roman"/>
                <w:sz w:val="24"/>
                <w:highlight w:val="none"/>
                <w:lang w:val="en-US" w:eastAsia="zh-CN" w:bidi="ar"/>
              </w:rPr>
              <w:t xml:space="preserve">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/d（含水率</w:t>
            </w:r>
            <w:r>
              <w:rPr>
                <w:rFonts w:hint="eastAsia" w:cs="Times New Roman"/>
                <w:sz w:val="24"/>
                <w:lang w:val="en-US" w:eastAsia="zh-CN" w:bidi="ar"/>
              </w:rPr>
              <w:t>3</w:t>
            </w:r>
            <w:r>
              <w:rPr>
                <w:rFonts w:hint="default" w:ascii="Times New Roman" w:hAnsi="Times New Roman" w:cs="Times New Roman"/>
                <w:sz w:val="24"/>
                <w:lang w:bidi="ar"/>
              </w:rPr>
              <w:t>0%），则项目洗砂废水为</w:t>
            </w:r>
            <w:r>
              <w:rPr>
                <w:rFonts w:hint="eastAsia" w:cs="Times New Roman"/>
                <w:sz w:val="24"/>
                <w:highlight w:val="none"/>
                <w:lang w:val="en-US" w:eastAsia="zh-CN" w:bidi="ar"/>
              </w:rPr>
              <w:t>891.7</w:t>
            </w:r>
            <w:r>
              <w:rPr>
                <w:rFonts w:hint="default" w:ascii="Times New Roman" w:hAnsi="Times New Roman" w:cs="Times New Roman"/>
                <w:sz w:val="24"/>
                <w:highlight w:val="none"/>
                <w:lang w:val="en-US" w:eastAsia="zh-CN" w:bidi="ar"/>
              </w:rPr>
              <w:t xml:space="preserve">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w:t>
            </w:r>
            <w:r>
              <w:rPr>
                <w:rFonts w:hint="default" w:ascii="Times New Roman" w:hAnsi="Times New Roman" w:cs="Times New Roman"/>
                <w:sz w:val="24"/>
                <w:highlight w:val="none"/>
                <w:lang w:val="en-US" w:eastAsia="zh-CN" w:bidi="ar"/>
              </w:rPr>
              <w:t>26</w:t>
            </w:r>
            <w:r>
              <w:rPr>
                <w:rFonts w:hint="eastAsia" w:cs="Times New Roman"/>
                <w:sz w:val="24"/>
                <w:highlight w:val="none"/>
                <w:lang w:val="en-US" w:eastAsia="zh-CN" w:bidi="ar"/>
              </w:rPr>
              <w:t>7510</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/a）。洗砂废水经混凝沉淀处理后回用至洗砂工序。</w:t>
            </w:r>
          </w:p>
          <w:p w14:paraId="3FECE4E7">
            <w:pPr>
              <w:spacing w:line="360" w:lineRule="auto"/>
              <w:ind w:firstLine="482"/>
              <w:rPr>
                <w:rFonts w:hint="default" w:ascii="Times New Roman" w:hAnsi="Times New Roman" w:cs="Times New Roman"/>
                <w:sz w:val="24"/>
                <w:lang w:bidi="ar"/>
              </w:rPr>
            </w:pPr>
            <w:r>
              <w:rPr>
                <w:rFonts w:hint="default" w:ascii="Times New Roman" w:hAnsi="Times New Roman" w:cs="Times New Roman"/>
                <w:color w:val="auto"/>
                <w:sz w:val="24"/>
                <w:highlight w:val="none"/>
                <w:lang w:val="en-US" w:eastAsia="zh-CN"/>
              </w:rPr>
              <w:t>④</w:t>
            </w:r>
            <w:r>
              <w:rPr>
                <w:rFonts w:hint="eastAsia" w:ascii="Times New Roman" w:hAnsi="Times New Roman" w:cs="Times New Roman"/>
                <w:color w:val="auto"/>
                <w:sz w:val="24"/>
                <w:highlight w:val="none"/>
                <w:lang w:val="en-US" w:eastAsia="zh-CN"/>
              </w:rPr>
              <w:t>彩砂清洗</w:t>
            </w:r>
            <w:r>
              <w:rPr>
                <w:rFonts w:hint="default" w:ascii="Times New Roman" w:hAnsi="Times New Roman" w:cs="Times New Roman"/>
                <w:color w:val="auto"/>
                <w:sz w:val="24"/>
                <w:highlight w:val="none"/>
                <w:lang w:val="en-US" w:eastAsia="zh-CN"/>
              </w:rPr>
              <w:t>用水：</w:t>
            </w:r>
            <w:r>
              <w:rPr>
                <w:rFonts w:hint="default" w:ascii="Times New Roman" w:hAnsi="Times New Roman" w:cs="Times New Roman"/>
                <w:sz w:val="24"/>
                <w:lang w:bidi="ar"/>
              </w:rPr>
              <w:t>本项目</w:t>
            </w:r>
            <w:r>
              <w:rPr>
                <w:rFonts w:hint="eastAsia" w:ascii="Times New Roman" w:hAnsi="Times New Roman" w:cs="Times New Roman"/>
                <w:sz w:val="24"/>
                <w:lang w:val="en-US" w:eastAsia="zh-CN" w:bidi="ar"/>
              </w:rPr>
              <w:t>彩砂</w:t>
            </w:r>
            <w:r>
              <w:rPr>
                <w:rFonts w:hint="default" w:ascii="Times New Roman" w:hAnsi="Times New Roman" w:cs="Times New Roman"/>
                <w:sz w:val="24"/>
                <w:lang w:bidi="ar"/>
              </w:rPr>
              <w:t>生产过程中，需要对</w:t>
            </w:r>
            <w:r>
              <w:rPr>
                <w:rFonts w:hint="eastAsia" w:cs="Times New Roman"/>
                <w:sz w:val="24"/>
                <w:lang w:val="en-US" w:eastAsia="zh-CN" w:bidi="ar"/>
              </w:rPr>
              <w:t>彩砂</w:t>
            </w:r>
            <w:r>
              <w:rPr>
                <w:rFonts w:hint="default" w:ascii="Times New Roman" w:hAnsi="Times New Roman" w:cs="Times New Roman"/>
                <w:sz w:val="24"/>
                <w:lang w:bidi="ar"/>
              </w:rPr>
              <w:t>进行清洗，清洗过程中将产生一定量的清洗废水。根据建设单位提供资料，</w:t>
            </w:r>
            <w:r>
              <w:rPr>
                <w:rFonts w:hint="eastAsia" w:ascii="Times New Roman" w:hAnsi="Times New Roman" w:cs="Times New Roman"/>
                <w:sz w:val="24"/>
                <w:lang w:val="en-US" w:eastAsia="zh-CN" w:bidi="ar"/>
              </w:rPr>
              <w:t>彩砂</w:t>
            </w:r>
            <w:r>
              <w:rPr>
                <w:rFonts w:hint="default" w:ascii="Times New Roman" w:hAnsi="Times New Roman" w:cs="Times New Roman"/>
                <w:sz w:val="24"/>
                <w:lang w:bidi="ar"/>
              </w:rPr>
              <w:t>用水量约为</w:t>
            </w:r>
            <w:r>
              <w:rPr>
                <w:rFonts w:hint="default" w:ascii="Times New Roman" w:hAnsi="Times New Roman" w:cs="Times New Roman"/>
                <w:sz w:val="24"/>
              </w:rPr>
              <w:t>1.5 m</w:t>
            </w:r>
            <w:r>
              <w:rPr>
                <w:rFonts w:hint="default" w:ascii="Times New Roman" w:hAnsi="Times New Roman" w:cs="Times New Roman"/>
                <w:sz w:val="24"/>
                <w:vertAlign w:val="superscript"/>
              </w:rPr>
              <w:t>3</w:t>
            </w:r>
            <w:r>
              <w:rPr>
                <w:rFonts w:hint="default" w:ascii="Times New Roman" w:hAnsi="Times New Roman" w:cs="Times New Roman"/>
                <w:sz w:val="24"/>
              </w:rPr>
              <w:t>/t清洗料计算</w:t>
            </w:r>
            <w:r>
              <w:rPr>
                <w:rFonts w:hint="default" w:ascii="Times New Roman" w:hAnsi="Times New Roman" w:cs="Times New Roman"/>
                <w:sz w:val="24"/>
                <w:lang w:bidi="ar"/>
              </w:rPr>
              <w:t>，项目</w:t>
            </w:r>
            <w:r>
              <w:rPr>
                <w:rFonts w:hint="eastAsia" w:ascii="Times New Roman" w:hAnsi="Times New Roman" w:cs="Times New Roman"/>
                <w:sz w:val="24"/>
                <w:lang w:val="en-US" w:eastAsia="zh-CN" w:bidi="ar"/>
              </w:rPr>
              <w:t>彩砂原料</w:t>
            </w:r>
            <w:r>
              <w:rPr>
                <w:rFonts w:hint="default" w:ascii="Times New Roman" w:hAnsi="Times New Roman" w:cs="Times New Roman"/>
                <w:sz w:val="24"/>
                <w:lang w:bidi="ar"/>
              </w:rPr>
              <w:t>总量（含泥）约为</w:t>
            </w:r>
            <w:r>
              <w:rPr>
                <w:rFonts w:hint="eastAsia" w:ascii="Times New Roman" w:hAnsi="Times New Roman" w:cs="Times New Roman"/>
                <w:sz w:val="24"/>
                <w:lang w:val="en-US" w:eastAsia="zh-CN" w:bidi="ar"/>
              </w:rPr>
              <w:t>33</w:t>
            </w:r>
            <w:r>
              <w:rPr>
                <w:rFonts w:hint="default" w:ascii="Times New Roman" w:hAnsi="Times New Roman" w:cs="Times New Roman"/>
                <w:sz w:val="24"/>
                <w:lang w:bidi="ar"/>
              </w:rPr>
              <w:t>万t/a，日清洗砂料量约为</w:t>
            </w:r>
            <w:r>
              <w:rPr>
                <w:rFonts w:hint="eastAsia" w:ascii="Times New Roman" w:hAnsi="Times New Roman" w:cs="Times New Roman"/>
                <w:sz w:val="24"/>
                <w:lang w:val="en-US" w:eastAsia="zh-CN" w:bidi="ar"/>
              </w:rPr>
              <w:t>1100</w:t>
            </w:r>
            <w:r>
              <w:rPr>
                <w:rFonts w:hint="default" w:ascii="Times New Roman" w:hAnsi="Times New Roman" w:cs="Times New Roman"/>
                <w:sz w:val="24"/>
                <w:lang w:bidi="ar"/>
              </w:rPr>
              <w:t xml:space="preserve"> t/d（砂料均含有一定的泥），经核算洗砂工序用水量为</w:t>
            </w:r>
            <w:r>
              <w:rPr>
                <w:rFonts w:hint="default" w:ascii="Times New Roman" w:hAnsi="Times New Roman" w:cs="Times New Roman"/>
                <w:sz w:val="24"/>
                <w:lang w:val="en-US" w:eastAsia="zh-CN" w:bidi="ar"/>
              </w:rPr>
              <w:t>1</w:t>
            </w:r>
            <w:r>
              <w:rPr>
                <w:rFonts w:hint="eastAsia" w:ascii="Times New Roman" w:hAnsi="Times New Roman" w:cs="Times New Roman"/>
                <w:sz w:val="24"/>
                <w:lang w:val="en-US" w:eastAsia="zh-CN" w:bidi="ar"/>
              </w:rPr>
              <w:t>650</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/d。其中设备运行过程水分损耗量</w:t>
            </w:r>
            <w:r>
              <w:rPr>
                <w:rFonts w:hint="eastAsia" w:ascii="Times New Roman" w:hAnsi="Times New Roman" w:cs="Times New Roman"/>
                <w:sz w:val="24"/>
                <w:lang w:val="en-US" w:eastAsia="zh-CN" w:bidi="ar"/>
              </w:rPr>
              <w:t>82.5</w:t>
            </w:r>
            <w:r>
              <w:rPr>
                <w:rFonts w:hint="default" w:ascii="Times New Roman" w:hAnsi="Times New Roman" w:cs="Times New Roman"/>
                <w:sz w:val="24"/>
                <w:lang w:val="en-US" w:eastAsia="zh-CN" w:bidi="ar"/>
              </w:rPr>
              <w:t xml:space="preserve">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/d（5%），</w:t>
            </w:r>
            <w:r>
              <w:rPr>
                <w:rFonts w:hint="eastAsia" w:ascii="Times New Roman" w:hAnsi="Times New Roman" w:cs="Times New Roman"/>
                <w:sz w:val="24"/>
                <w:lang w:val="en-US" w:eastAsia="zh-CN" w:bidi="ar"/>
              </w:rPr>
              <w:t>彩砂</w:t>
            </w:r>
            <w:r>
              <w:rPr>
                <w:rFonts w:hint="default" w:ascii="Times New Roman" w:hAnsi="Times New Roman" w:cs="Times New Roman"/>
                <w:sz w:val="24"/>
                <w:lang w:bidi="ar"/>
              </w:rPr>
              <w:t>产品带走水量约</w:t>
            </w:r>
            <w:r>
              <w:rPr>
                <w:rFonts w:hint="eastAsia" w:ascii="Times New Roman" w:hAnsi="Times New Roman" w:cs="Times New Roman"/>
                <w:sz w:val="24"/>
                <w:lang w:val="en-US" w:eastAsia="zh-CN" w:bidi="ar"/>
              </w:rPr>
              <w:t>200</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/d（含水率20%），</w:t>
            </w:r>
            <w:r>
              <w:rPr>
                <w:rFonts w:hint="default" w:ascii="Times New Roman" w:hAnsi="Times New Roman" w:cs="Times New Roman"/>
                <w:sz w:val="24"/>
                <w:highlight w:val="none"/>
                <w:lang w:bidi="ar"/>
              </w:rPr>
              <w:t>尾泥</w:t>
            </w:r>
            <w:r>
              <w:rPr>
                <w:rFonts w:hint="default" w:ascii="Times New Roman" w:hAnsi="Times New Roman" w:cs="Times New Roman"/>
                <w:sz w:val="24"/>
                <w:lang w:bidi="ar"/>
              </w:rPr>
              <w:t>带走水约</w:t>
            </w:r>
            <w:r>
              <w:rPr>
                <w:rFonts w:hint="eastAsia" w:ascii="Times New Roman" w:hAnsi="Times New Roman" w:cs="Times New Roman"/>
                <w:sz w:val="24"/>
                <w:highlight w:val="none"/>
                <w:lang w:val="en-US" w:eastAsia="zh-CN" w:bidi="ar"/>
              </w:rPr>
              <w:t>30</w:t>
            </w:r>
            <w:r>
              <w:rPr>
                <w:rFonts w:hint="default" w:ascii="Times New Roman" w:hAnsi="Times New Roman" w:cs="Times New Roman"/>
                <w:sz w:val="24"/>
                <w:highlight w:val="none"/>
                <w:lang w:val="en-US" w:eastAsia="zh-CN" w:bidi="ar"/>
              </w:rPr>
              <w:t xml:space="preserve">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/d（含水率</w:t>
            </w:r>
            <w:r>
              <w:rPr>
                <w:rFonts w:hint="eastAsia" w:ascii="Times New Roman" w:hAnsi="Times New Roman" w:cs="Times New Roman"/>
                <w:sz w:val="24"/>
                <w:lang w:val="en-US" w:eastAsia="zh-CN" w:bidi="ar"/>
              </w:rPr>
              <w:t>3</w:t>
            </w:r>
            <w:r>
              <w:rPr>
                <w:rFonts w:hint="default" w:ascii="Times New Roman" w:hAnsi="Times New Roman" w:cs="Times New Roman"/>
                <w:sz w:val="24"/>
                <w:lang w:bidi="ar"/>
              </w:rPr>
              <w:t>0%），则</w:t>
            </w:r>
            <w:r>
              <w:rPr>
                <w:rFonts w:hint="eastAsia" w:ascii="Times New Roman" w:hAnsi="Times New Roman" w:cs="Times New Roman"/>
                <w:color w:val="auto"/>
                <w:sz w:val="24"/>
                <w:highlight w:val="none"/>
                <w:lang w:val="en-US" w:eastAsia="zh-CN"/>
              </w:rPr>
              <w:t>彩砂清洗</w:t>
            </w:r>
            <w:r>
              <w:rPr>
                <w:rFonts w:hint="default" w:ascii="Times New Roman" w:hAnsi="Times New Roman" w:cs="Times New Roman"/>
                <w:sz w:val="24"/>
                <w:lang w:bidi="ar"/>
              </w:rPr>
              <w:t>废水为</w:t>
            </w:r>
            <w:r>
              <w:rPr>
                <w:rFonts w:hint="eastAsia" w:ascii="Times New Roman" w:hAnsi="Times New Roman" w:cs="Times New Roman"/>
                <w:sz w:val="24"/>
                <w:highlight w:val="none"/>
                <w:lang w:val="en-US" w:eastAsia="zh-CN" w:bidi="ar"/>
              </w:rPr>
              <w:t>1337.5</w:t>
            </w:r>
            <w:r>
              <w:rPr>
                <w:rFonts w:hint="default" w:ascii="Times New Roman" w:hAnsi="Times New Roman" w:cs="Times New Roman"/>
                <w:sz w:val="24"/>
                <w:highlight w:val="none"/>
                <w:lang w:val="en-US" w:eastAsia="zh-CN" w:bidi="ar"/>
              </w:rPr>
              <w:t xml:space="preserve">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w:t>
            </w:r>
            <w:r>
              <w:rPr>
                <w:rFonts w:hint="eastAsia" w:ascii="Times New Roman" w:hAnsi="Times New Roman" w:cs="Times New Roman"/>
                <w:sz w:val="24"/>
                <w:lang w:val="en-US" w:eastAsia="zh-CN" w:bidi="ar"/>
              </w:rPr>
              <w:t>401250</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/a）。</w:t>
            </w:r>
            <w:r>
              <w:rPr>
                <w:rFonts w:hint="eastAsia" w:ascii="Times New Roman" w:hAnsi="Times New Roman" w:cs="Times New Roman"/>
                <w:color w:val="auto"/>
                <w:sz w:val="24"/>
                <w:highlight w:val="none"/>
                <w:lang w:val="en-US" w:eastAsia="zh-CN"/>
              </w:rPr>
              <w:t>彩砂清洗</w:t>
            </w:r>
            <w:r>
              <w:rPr>
                <w:rFonts w:hint="default" w:ascii="Times New Roman" w:hAnsi="Times New Roman" w:cs="Times New Roman"/>
                <w:sz w:val="24"/>
                <w:lang w:bidi="ar"/>
              </w:rPr>
              <w:t>废水经混凝沉淀处理后回用至</w:t>
            </w:r>
            <w:r>
              <w:rPr>
                <w:rFonts w:hint="eastAsia" w:ascii="Times New Roman" w:hAnsi="Times New Roman" w:cs="Times New Roman"/>
                <w:sz w:val="24"/>
                <w:lang w:val="en-US" w:eastAsia="zh-CN" w:bidi="ar"/>
              </w:rPr>
              <w:t>彩砂清洗</w:t>
            </w:r>
            <w:r>
              <w:rPr>
                <w:rFonts w:hint="default" w:ascii="Times New Roman" w:hAnsi="Times New Roman" w:cs="Times New Roman"/>
                <w:sz w:val="24"/>
                <w:lang w:bidi="ar"/>
              </w:rPr>
              <w:t>工序。</w:t>
            </w:r>
          </w:p>
          <w:p w14:paraId="57538CDA">
            <w:pPr>
              <w:spacing w:line="360" w:lineRule="auto"/>
              <w:ind w:firstLine="482"/>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⑤</w:t>
            </w:r>
            <w:r>
              <w:rPr>
                <w:rFonts w:hint="default" w:ascii="Times New Roman" w:hAnsi="Times New Roman" w:cs="Times New Roman"/>
                <w:color w:val="auto"/>
                <w:sz w:val="24"/>
                <w:highlight w:val="none"/>
              </w:rPr>
              <w:t>生活用水：</w:t>
            </w:r>
            <w:r>
              <w:rPr>
                <w:rFonts w:hint="default" w:ascii="Times New Roman" w:hAnsi="Times New Roman" w:cs="Times New Roman"/>
                <w:color w:val="auto"/>
                <w:sz w:val="24"/>
                <w:highlight w:val="none"/>
                <w:lang w:val="en-US" w:eastAsia="zh-CN"/>
              </w:rPr>
              <w:t>本项目劳动定员20</w:t>
            </w:r>
            <w:r>
              <w:rPr>
                <w:rFonts w:hint="default" w:ascii="Times New Roman" w:hAnsi="Times New Roman" w:cs="Times New Roman"/>
                <w:color w:val="auto"/>
                <w:sz w:val="24"/>
                <w:highlight w:val="none"/>
              </w:rPr>
              <w:t>人，</w:t>
            </w:r>
            <w:r>
              <w:rPr>
                <w:rFonts w:hint="default" w:ascii="Times New Roman" w:hAnsi="Times New Roman" w:cs="Times New Roman"/>
                <w:color w:val="auto"/>
                <w:sz w:val="24"/>
                <w:highlight w:val="none"/>
                <w:lang w:val="en-US" w:eastAsia="zh-CN"/>
              </w:rPr>
              <w:t>不</w:t>
            </w:r>
            <w:r>
              <w:rPr>
                <w:rFonts w:hint="default" w:ascii="Times New Roman" w:hAnsi="Times New Roman" w:cs="Times New Roman"/>
                <w:color w:val="auto"/>
                <w:sz w:val="24"/>
                <w:highlight w:val="none"/>
              </w:rPr>
              <w:t>在厂区内食宿，生活用水量按《建筑给水排水设计标准》（GB</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50015-2019）中车间工人用水定额</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L/d·班计，则</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用水量为</w:t>
            </w:r>
            <w:r>
              <w:rPr>
                <w:rFonts w:hint="default" w:ascii="Times New Roman" w:hAnsi="Times New Roman" w:cs="Times New Roman"/>
                <w:color w:val="auto"/>
                <w:sz w:val="24"/>
                <w:highlight w:val="none"/>
                <w:lang w:val="en-US" w:eastAsia="zh-CN"/>
              </w:rPr>
              <w:t xml:space="preserve">1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产污</w:t>
            </w:r>
            <w:r>
              <w:rPr>
                <w:rFonts w:hint="default" w:ascii="Times New Roman" w:hAnsi="Times New Roman" w:cs="Times New Roman"/>
                <w:color w:val="auto"/>
                <w:sz w:val="24"/>
                <w:highlight w:val="none"/>
              </w:rPr>
              <w:t>系数取0.8，则</w:t>
            </w:r>
            <w:r>
              <w:rPr>
                <w:rFonts w:hint="default" w:ascii="Times New Roman" w:hAnsi="Times New Roman" w:cs="Times New Roman"/>
                <w:color w:val="auto"/>
                <w:sz w:val="24"/>
                <w:highlight w:val="none"/>
                <w:lang w:eastAsia="zh-CN"/>
              </w:rPr>
              <w:t>生活污水</w:t>
            </w:r>
            <w:r>
              <w:rPr>
                <w:rFonts w:hint="default" w:ascii="Times New Roman" w:hAnsi="Times New Roman" w:cs="Times New Roman"/>
                <w:color w:val="auto"/>
                <w:sz w:val="24"/>
                <w:highlight w:val="none"/>
              </w:rPr>
              <w:t>产生量约为0.</w:t>
            </w:r>
            <w:r>
              <w:rPr>
                <w:rFonts w:hint="default" w:ascii="Times New Roman" w:hAnsi="Times New Roman" w:cs="Times New Roman"/>
                <w:color w:val="auto"/>
                <w:sz w:val="24"/>
                <w:highlight w:val="none"/>
                <w:lang w:val="en-US" w:eastAsia="zh-CN"/>
              </w:rPr>
              <w:t xml:space="preserve">8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52E643DA">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w:t>
            </w:r>
            <w:r>
              <w:rPr>
                <w:rFonts w:hint="default"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项目运营期水平衡见图2-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p>
          <w:p w14:paraId="2946C393">
            <w:pPr>
              <w:pStyle w:val="2"/>
              <w:ind w:left="0" w:leftChars="0" w:firstLine="0" w:firstLineChars="0"/>
              <w:jc w:val="center"/>
              <w:rPr>
                <w:rFonts w:hint="default"/>
              </w:rPr>
            </w:pPr>
            <w:r>
              <w:rPr>
                <w:rFonts w:hint="default"/>
              </w:rPr>
              <w:object>
                <v:shape id="_x0000_i1025" o:spt="75" alt="" type="#_x0000_t75" style="height:182.65pt;width:287.15pt;" o:ole="t" filled="f" o:preferrelative="t" stroked="f" coordsize="21600,21600">
                  <v:path/>
                  <v:fill on="f" focussize="0,0"/>
                  <v:stroke on="f"/>
                  <v:imagedata r:id="rId10" croptop="15961f" cropright="58442f" cropbottom="6484f" o:title=""/>
                  <o:lock v:ext="edit" aspectratio="f"/>
                  <w10:wrap type="none"/>
                  <w10:anchorlock/>
                </v:shape>
                <o:OLEObject Type="Embed" ProgID="Visio.Drawing.11" ShapeID="_x0000_i1025" DrawAspect="Content" ObjectID="_1468075725" r:id="rId9">
                  <o:LockedField>false</o:LockedField>
                </o:OLEObject>
              </w:object>
            </w:r>
          </w:p>
          <w:p w14:paraId="15AF1BD1">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b/>
                <w:bCs/>
                <w:color w:val="auto"/>
                <w:highlight w:val="none"/>
              </w:rPr>
              <w:t>图2-</w:t>
            </w: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本项目</w:t>
            </w:r>
            <w:r>
              <w:rPr>
                <w:rFonts w:hint="default" w:ascii="Times New Roman" w:hAnsi="Times New Roman" w:cs="Times New Roman"/>
                <w:b/>
                <w:bCs/>
                <w:color w:val="auto"/>
                <w:highlight w:val="none"/>
              </w:rPr>
              <w:t>运营期水平衡图</w:t>
            </w:r>
          </w:p>
          <w:p w14:paraId="4B650E98">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10、项目物料平衡</w:t>
            </w:r>
          </w:p>
          <w:p w14:paraId="7A778A84">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本项目</w:t>
            </w:r>
            <w:r>
              <w:rPr>
                <w:rFonts w:hint="default" w:ascii="Times New Roman" w:hAnsi="Times New Roman" w:cs="Times New Roman"/>
                <w:bCs/>
                <w:color w:val="auto"/>
                <w:sz w:val="24"/>
                <w:highlight w:val="none"/>
              </w:rPr>
              <w:t>物料平衡见</w:t>
            </w:r>
            <w:r>
              <w:rPr>
                <w:rFonts w:hint="eastAsia" w:cs="Times New Roman"/>
                <w:bCs/>
                <w:color w:val="auto"/>
                <w:sz w:val="24"/>
                <w:highlight w:val="none"/>
                <w:lang w:val="en-US" w:eastAsia="zh-CN"/>
              </w:rPr>
              <w:t>下</w:t>
            </w:r>
            <w:r>
              <w:rPr>
                <w:rFonts w:hint="default" w:ascii="Times New Roman" w:hAnsi="Times New Roman" w:cs="Times New Roman"/>
                <w:bCs/>
                <w:color w:val="auto"/>
                <w:sz w:val="24"/>
                <w:highlight w:val="none"/>
              </w:rPr>
              <w:t>表。</w:t>
            </w:r>
          </w:p>
          <w:p w14:paraId="14F2808A">
            <w:pPr>
              <w:adjustRightInd w:val="0"/>
              <w:snapToGrid w:val="0"/>
              <w:jc w:val="center"/>
              <w:rPr>
                <w:rFonts w:hint="default" w:ascii="Times New Roman" w:hAnsi="Times New Roman" w:cs="Times New Roman"/>
                <w:b/>
                <w:color w:val="auto"/>
                <w:szCs w:val="21"/>
                <w:highlight w:val="none"/>
              </w:rPr>
            </w:pPr>
          </w:p>
          <w:p w14:paraId="1F0791D2">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eastAsia" w:cs="Times New Roman"/>
                <w:b/>
                <w:color w:val="auto"/>
                <w:szCs w:val="21"/>
                <w:highlight w:val="none"/>
                <w:lang w:val="en-US" w:eastAsia="zh-CN"/>
              </w:rPr>
              <w:t>6</w:t>
            </w:r>
            <w:r>
              <w:rPr>
                <w:rFonts w:hint="default" w:ascii="Times New Roman" w:hAnsi="Times New Roman" w:cs="Times New Roman"/>
                <w:b/>
                <w:color w:val="auto"/>
                <w:szCs w:val="21"/>
                <w:highlight w:val="none"/>
              </w:rPr>
              <w:t xml:space="preserve">  项目</w:t>
            </w:r>
            <w:r>
              <w:rPr>
                <w:rFonts w:hint="default" w:ascii="Times New Roman" w:hAnsi="Times New Roman" w:cs="Times New Roman"/>
                <w:b/>
                <w:color w:val="auto"/>
                <w:szCs w:val="21"/>
                <w:highlight w:val="none"/>
                <w:lang w:val="en-US" w:eastAsia="zh-CN"/>
              </w:rPr>
              <w:t>砂石骨料生产线</w:t>
            </w:r>
            <w:r>
              <w:rPr>
                <w:rFonts w:hint="default" w:ascii="Times New Roman" w:hAnsi="Times New Roman" w:cs="Times New Roman"/>
                <w:b/>
                <w:color w:val="auto"/>
                <w:szCs w:val="21"/>
                <w:highlight w:val="none"/>
              </w:rPr>
              <w:t>物料</w:t>
            </w:r>
            <w:r>
              <w:rPr>
                <w:rFonts w:hint="default" w:ascii="Times New Roman" w:hAnsi="Times New Roman" w:cs="Times New Roman"/>
                <w:b/>
                <w:color w:val="auto"/>
                <w:szCs w:val="18"/>
                <w:highlight w:val="none"/>
              </w:rPr>
              <w:t>平衡</w:t>
            </w:r>
            <w:r>
              <w:rPr>
                <w:rFonts w:hint="default" w:ascii="Times New Roman" w:hAnsi="Times New Roman" w:cs="Times New Roman"/>
                <w:b/>
                <w:color w:val="auto"/>
                <w:szCs w:val="21"/>
                <w:highlight w:val="none"/>
              </w:rPr>
              <w:t>表    单位 t/a</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863"/>
              <w:gridCol w:w="2456"/>
              <w:gridCol w:w="2447"/>
            </w:tblGrid>
            <w:tr w14:paraId="4DF5F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6" w:type="pct"/>
                  <w:gridSpan w:val="2"/>
                  <w:noWrap w:val="0"/>
                  <w:vAlign w:val="center"/>
                </w:tcPr>
                <w:p w14:paraId="4AA0BF73">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输入</w:t>
                  </w:r>
                </w:p>
              </w:tc>
              <w:tc>
                <w:tcPr>
                  <w:tcW w:w="2923" w:type="pct"/>
                  <w:gridSpan w:val="2"/>
                  <w:noWrap w:val="0"/>
                  <w:vAlign w:val="center"/>
                </w:tcPr>
                <w:p w14:paraId="5ADC4061">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输出</w:t>
                  </w:r>
                </w:p>
              </w:tc>
            </w:tr>
            <w:tr w14:paraId="0B30A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pct"/>
                  <w:noWrap w:val="0"/>
                  <w:vAlign w:val="center"/>
                </w:tcPr>
                <w:p w14:paraId="2D23FB21">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eastAsia="宋体" w:cs="Times New Roman"/>
                      <w:bCs/>
                      <w:szCs w:val="21"/>
                      <w:highlight w:val="none"/>
                      <w:lang w:val="en-US" w:eastAsia="zh-CN"/>
                    </w:rPr>
                  </w:pPr>
                  <w:r>
                    <w:rPr>
                      <w:rFonts w:hint="default" w:ascii="Times New Roman" w:hAnsi="Times New Roman" w:cs="Times New Roman"/>
                      <w:bCs/>
                      <w:szCs w:val="21"/>
                      <w:highlight w:val="none"/>
                      <w:lang w:val="en-US" w:eastAsia="zh-CN"/>
                    </w:rPr>
                    <w:t>矿山废</w:t>
                  </w:r>
                  <w:r>
                    <w:rPr>
                      <w:rFonts w:hint="eastAsia" w:cs="Times New Roman"/>
                      <w:bCs/>
                      <w:szCs w:val="21"/>
                      <w:highlight w:val="none"/>
                      <w:lang w:val="en-US" w:eastAsia="zh-CN"/>
                    </w:rPr>
                    <w:t>石</w:t>
                  </w:r>
                </w:p>
              </w:tc>
              <w:tc>
                <w:tcPr>
                  <w:tcW w:w="1110" w:type="pct"/>
                  <w:shd w:val="clear" w:color="auto" w:fill="auto"/>
                  <w:noWrap w:val="0"/>
                  <w:vAlign w:val="center"/>
                </w:tcPr>
                <w:p w14:paraId="455E0F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1021802</w:t>
                  </w:r>
                </w:p>
              </w:tc>
              <w:tc>
                <w:tcPr>
                  <w:tcW w:w="1464" w:type="pct"/>
                  <w:noWrap w:val="0"/>
                  <w:vAlign w:val="center"/>
                </w:tcPr>
                <w:p w14:paraId="10B4F948">
                  <w:pPr>
                    <w:snapToGrid w:val="0"/>
                    <w:spacing w:before="48" w:beforeLines="20" w:after="48" w:afterLines="20"/>
                    <w:jc w:val="center"/>
                    <w:rPr>
                      <w:rFonts w:hint="default" w:ascii="Times New Roman" w:hAnsi="Times New Roman" w:cs="Times New Roman"/>
                      <w:bCs/>
                      <w:szCs w:val="21"/>
                      <w:highlight w:val="none"/>
                    </w:rPr>
                  </w:pPr>
                  <w:r>
                    <w:rPr>
                      <w:rFonts w:hint="default" w:ascii="Times New Roman" w:hAnsi="Times New Roman" w:cs="Times New Roman"/>
                      <w:highlight w:val="none"/>
                      <w:lang w:val="en-US" w:eastAsia="zh-CN"/>
                    </w:rPr>
                    <w:t>机制砂（</w:t>
                  </w:r>
                  <w:r>
                    <w:rPr>
                      <w:rFonts w:hint="default" w:ascii="Times New Roman" w:hAnsi="Times New Roman" w:cs="Times New Roman"/>
                      <w:highlight w:val="none"/>
                    </w:rPr>
                    <w:t>0~5 mm</w:t>
                  </w:r>
                  <w:r>
                    <w:rPr>
                      <w:rFonts w:hint="default" w:ascii="Times New Roman" w:hAnsi="Times New Roman" w:cs="Times New Roman"/>
                      <w:highlight w:val="none"/>
                      <w:lang w:val="en-US" w:eastAsia="zh-CN"/>
                    </w:rPr>
                    <w:t>）</w:t>
                  </w:r>
                </w:p>
              </w:tc>
              <w:tc>
                <w:tcPr>
                  <w:tcW w:w="2447" w:type="dxa"/>
                  <w:noWrap w:val="0"/>
                  <w:vAlign w:val="center"/>
                </w:tcPr>
                <w:p w14:paraId="758A5FA5">
                  <w:pPr>
                    <w:keepNext w:val="0"/>
                    <w:keepLines w:val="0"/>
                    <w:widowControl/>
                    <w:suppressLineNumbers w:val="0"/>
                    <w:jc w:val="center"/>
                    <w:textAlignment w:val="center"/>
                    <w:rPr>
                      <w:rFonts w:hint="default" w:ascii="Times New Roman" w:hAnsi="Times New Roman" w:cs="Times New Roman"/>
                      <w:bCs/>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200000</w:t>
                  </w:r>
                </w:p>
              </w:tc>
            </w:tr>
            <w:tr w14:paraId="24570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pct"/>
                  <w:noWrap w:val="0"/>
                  <w:vAlign w:val="center"/>
                </w:tcPr>
                <w:p w14:paraId="6289149C">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kern w:val="2"/>
                      <w:sz w:val="21"/>
                      <w:szCs w:val="21"/>
                      <w:highlight w:val="none"/>
                      <w:lang w:val="en-US" w:eastAsia="zh-CN" w:bidi="ar-SA"/>
                    </w:rPr>
                  </w:pPr>
                  <w:r>
                    <w:rPr>
                      <w:rFonts w:hint="default" w:ascii="Times New Roman" w:hAnsi="Times New Roman" w:cs="Times New Roman"/>
                      <w:bCs/>
                      <w:szCs w:val="21"/>
                      <w:highlight w:val="none"/>
                    </w:rPr>
                    <w:t>絮凝剂</w:t>
                  </w:r>
                </w:p>
              </w:tc>
              <w:tc>
                <w:tcPr>
                  <w:tcW w:w="1110" w:type="pct"/>
                  <w:noWrap w:val="0"/>
                  <w:vAlign w:val="center"/>
                </w:tcPr>
                <w:p w14:paraId="2391DF45">
                  <w:pPr>
                    <w:keepNext w:val="0"/>
                    <w:keepLines w:val="0"/>
                    <w:widowControl/>
                    <w:suppressLineNumbers w:val="0"/>
                    <w:jc w:val="center"/>
                    <w:textAlignment w:val="center"/>
                    <w:rPr>
                      <w:rFonts w:hint="default" w:ascii="Times New Roman" w:hAnsi="Times New Roman" w:cs="Times New Roman"/>
                      <w:bCs/>
                      <w:kern w:val="2"/>
                      <w:sz w:val="21"/>
                      <w:szCs w:val="21"/>
                      <w:highlight w:val="none"/>
                      <w:lang w:val="en-US" w:eastAsia="zh-CN" w:bidi="ar-SA"/>
                    </w:rPr>
                  </w:pPr>
                  <w:r>
                    <w:rPr>
                      <w:rFonts w:hint="eastAsia" w:cs="Times New Roman"/>
                      <w:bCs/>
                      <w:kern w:val="2"/>
                      <w:sz w:val="21"/>
                      <w:szCs w:val="21"/>
                      <w:highlight w:val="none"/>
                      <w:lang w:val="en-US" w:eastAsia="zh-CN" w:bidi="ar-SA"/>
                    </w:rPr>
                    <w:t>4</w:t>
                  </w:r>
                </w:p>
              </w:tc>
              <w:tc>
                <w:tcPr>
                  <w:tcW w:w="1464" w:type="pct"/>
                  <w:noWrap w:val="0"/>
                  <w:vAlign w:val="center"/>
                </w:tcPr>
                <w:p w14:paraId="56E658A2">
                  <w:pPr>
                    <w:snapToGrid w:val="0"/>
                    <w:spacing w:before="48" w:beforeLines="20" w:after="48" w:afterLines="2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5-10石（5</w:t>
                  </w:r>
                  <w:r>
                    <w:rPr>
                      <w:rFonts w:hint="default" w:ascii="Times New Roman" w:hAnsi="Times New Roman" w:cs="Times New Roman"/>
                      <w:highlight w:val="none"/>
                    </w:rPr>
                    <w:t>~</w:t>
                  </w:r>
                  <w:r>
                    <w:rPr>
                      <w:rFonts w:hint="default" w:ascii="Times New Roman" w:hAnsi="Times New Roman" w:cs="Times New Roman"/>
                      <w:highlight w:val="none"/>
                      <w:lang w:val="en-US" w:eastAsia="zh-CN"/>
                    </w:rPr>
                    <w:t>10</w:t>
                  </w:r>
                  <w:r>
                    <w:rPr>
                      <w:rFonts w:hint="default" w:ascii="Times New Roman" w:hAnsi="Times New Roman" w:cs="Times New Roman"/>
                      <w:highlight w:val="none"/>
                    </w:rPr>
                    <w:t xml:space="preserve"> mm</w:t>
                  </w:r>
                  <w:r>
                    <w:rPr>
                      <w:rFonts w:hint="default" w:ascii="Times New Roman" w:hAnsi="Times New Roman" w:cs="Times New Roman"/>
                      <w:highlight w:val="none"/>
                      <w:lang w:val="en-US" w:eastAsia="zh-CN"/>
                    </w:rPr>
                    <w:t>）</w:t>
                  </w:r>
                </w:p>
              </w:tc>
              <w:tc>
                <w:tcPr>
                  <w:tcW w:w="2447" w:type="dxa"/>
                  <w:noWrap w:val="0"/>
                  <w:vAlign w:val="center"/>
                </w:tcPr>
                <w:p w14:paraId="06CBF3A5">
                  <w:pPr>
                    <w:keepNext w:val="0"/>
                    <w:keepLines w:val="0"/>
                    <w:widowControl/>
                    <w:suppressLineNumbers w:val="0"/>
                    <w:jc w:val="center"/>
                    <w:textAlignment w:val="center"/>
                    <w:rPr>
                      <w:rFonts w:hint="default" w:ascii="Times New Roman" w:hAnsi="Times New Roman" w:cs="Times New Roman"/>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400000</w:t>
                  </w:r>
                </w:p>
              </w:tc>
            </w:tr>
            <w:tr w14:paraId="5F46F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pct"/>
                  <w:noWrap w:val="0"/>
                  <w:vAlign w:val="center"/>
                </w:tcPr>
                <w:p w14:paraId="205E727A">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p>
              </w:tc>
              <w:tc>
                <w:tcPr>
                  <w:tcW w:w="1110" w:type="pct"/>
                  <w:noWrap w:val="0"/>
                  <w:vAlign w:val="center"/>
                </w:tcPr>
                <w:p w14:paraId="7EF24F64">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p>
              </w:tc>
              <w:tc>
                <w:tcPr>
                  <w:tcW w:w="1464" w:type="pct"/>
                  <w:noWrap w:val="0"/>
                  <w:vAlign w:val="center"/>
                </w:tcPr>
                <w:p w14:paraId="77EB0AD9">
                  <w:pPr>
                    <w:snapToGrid w:val="0"/>
                    <w:spacing w:before="48" w:beforeLines="20" w:after="48" w:afterLines="2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13石（</w:t>
                  </w:r>
                  <w:r>
                    <w:rPr>
                      <w:rFonts w:hint="default" w:ascii="Times New Roman" w:hAnsi="Times New Roman" w:cs="Times New Roman"/>
                      <w:highlight w:val="none"/>
                    </w:rPr>
                    <w:t>1</w:t>
                  </w:r>
                  <w:r>
                    <w:rPr>
                      <w:rFonts w:hint="default" w:ascii="Times New Roman" w:hAnsi="Times New Roman" w:cs="Times New Roman"/>
                      <w:highlight w:val="none"/>
                      <w:lang w:val="en-US" w:eastAsia="zh-CN"/>
                    </w:rPr>
                    <w:t>0</w:t>
                  </w:r>
                  <w:r>
                    <w:rPr>
                      <w:rFonts w:hint="default" w:ascii="Times New Roman" w:hAnsi="Times New Roman" w:cs="Times New Roman"/>
                      <w:highlight w:val="none"/>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0 mm</w:t>
                  </w:r>
                  <w:r>
                    <w:rPr>
                      <w:rFonts w:hint="default" w:ascii="Times New Roman" w:hAnsi="Times New Roman" w:cs="Times New Roman"/>
                      <w:highlight w:val="none"/>
                      <w:lang w:val="en-US" w:eastAsia="zh-CN"/>
                    </w:rPr>
                    <w:t>）</w:t>
                  </w:r>
                </w:p>
              </w:tc>
              <w:tc>
                <w:tcPr>
                  <w:tcW w:w="2447" w:type="dxa"/>
                  <w:noWrap w:val="0"/>
                  <w:vAlign w:val="center"/>
                </w:tcPr>
                <w:p w14:paraId="6A476E99">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400000</w:t>
                  </w:r>
                </w:p>
              </w:tc>
            </w:tr>
            <w:tr w14:paraId="73DA3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pct"/>
                  <w:noWrap w:val="0"/>
                  <w:vAlign w:val="center"/>
                </w:tcPr>
                <w:p w14:paraId="283228A9">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p>
              </w:tc>
              <w:tc>
                <w:tcPr>
                  <w:tcW w:w="1110" w:type="pct"/>
                  <w:noWrap w:val="0"/>
                  <w:vAlign w:val="center"/>
                </w:tcPr>
                <w:p w14:paraId="67B2E550">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p>
              </w:tc>
              <w:tc>
                <w:tcPr>
                  <w:tcW w:w="1464" w:type="pct"/>
                  <w:noWrap w:val="0"/>
                  <w:vAlign w:val="center"/>
                </w:tcPr>
                <w:p w14:paraId="418DF262">
                  <w:pPr>
                    <w:spacing w:before="48" w:beforeLines="20" w:after="48" w:afterLines="20"/>
                    <w:jc w:val="center"/>
                    <w:rPr>
                      <w:rFonts w:hint="default" w:ascii="Times New Roman" w:hAnsi="Times New Roman" w:cs="Times New Roman"/>
                      <w:highlight w:val="none"/>
                    </w:rPr>
                  </w:pPr>
                  <w:r>
                    <w:rPr>
                      <w:rFonts w:hint="default" w:ascii="Times New Roman" w:hAnsi="Times New Roman" w:cs="Times New Roman"/>
                      <w:highlight w:val="none"/>
                    </w:rPr>
                    <w:t>粉尘损失</w:t>
                  </w:r>
                </w:p>
              </w:tc>
              <w:tc>
                <w:tcPr>
                  <w:tcW w:w="2447" w:type="dxa"/>
                  <w:noWrap w:val="0"/>
                  <w:vAlign w:val="center"/>
                </w:tcPr>
                <w:p w14:paraId="1065D3DA">
                  <w:pPr>
                    <w:keepNext w:val="0"/>
                    <w:keepLines w:val="0"/>
                    <w:widowControl/>
                    <w:suppressLineNumbers w:val="0"/>
                    <w:jc w:val="center"/>
                    <w:textAlignment w:val="center"/>
                    <w:rPr>
                      <w:rFonts w:hint="default" w:ascii="Times New Roman" w:hAnsi="Times New Roman" w:cs="Times New Roman"/>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27.935</w:t>
                  </w:r>
                </w:p>
              </w:tc>
            </w:tr>
            <w:tr w14:paraId="640C0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65" w:type="pct"/>
                  <w:noWrap w:val="0"/>
                  <w:vAlign w:val="center"/>
                </w:tcPr>
                <w:p w14:paraId="07A45011">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p>
              </w:tc>
              <w:tc>
                <w:tcPr>
                  <w:tcW w:w="1110" w:type="pct"/>
                  <w:noWrap w:val="0"/>
                  <w:vAlign w:val="center"/>
                </w:tcPr>
                <w:p w14:paraId="0FB8693B">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p>
              </w:tc>
              <w:tc>
                <w:tcPr>
                  <w:tcW w:w="1464" w:type="pct"/>
                  <w:noWrap w:val="0"/>
                  <w:vAlign w:val="center"/>
                </w:tcPr>
                <w:p w14:paraId="4F9AF126">
                  <w:pPr>
                    <w:spacing w:beforeLines="20" w:afterLines="20"/>
                    <w:jc w:val="center"/>
                    <w:rPr>
                      <w:rFonts w:hint="default" w:ascii="Times New Roman" w:hAnsi="Times New Roman" w:cs="Times New Roman"/>
                      <w:highlight w:val="none"/>
                    </w:rPr>
                  </w:pPr>
                  <w:r>
                    <w:rPr>
                      <w:rFonts w:hint="default" w:ascii="Times New Roman" w:hAnsi="Times New Roman" w:cs="Times New Roman"/>
                      <w:bCs/>
                      <w:color w:val="auto"/>
                      <w:szCs w:val="21"/>
                      <w:highlight w:val="none"/>
                    </w:rPr>
                    <w:t>收集尘</w:t>
                  </w:r>
                </w:p>
              </w:tc>
              <w:tc>
                <w:tcPr>
                  <w:tcW w:w="2447" w:type="dxa"/>
                  <w:shd w:val="clear" w:color="auto" w:fill="auto"/>
                  <w:noWrap w:val="0"/>
                  <w:vAlign w:val="center"/>
                </w:tcPr>
                <w:p w14:paraId="564E6B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1777.545</w:t>
                  </w:r>
                </w:p>
              </w:tc>
            </w:tr>
            <w:tr w14:paraId="60CE0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pct"/>
                  <w:noWrap w:val="0"/>
                  <w:vAlign w:val="center"/>
                </w:tcPr>
                <w:p w14:paraId="07A12329">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p>
              </w:tc>
              <w:tc>
                <w:tcPr>
                  <w:tcW w:w="1110" w:type="pct"/>
                  <w:noWrap w:val="0"/>
                  <w:vAlign w:val="center"/>
                </w:tcPr>
                <w:p w14:paraId="1F335FC7">
                  <w:pPr>
                    <w:spacing w:before="48" w:beforeLines="20" w:after="48" w:afterLines="20"/>
                    <w:jc w:val="center"/>
                    <w:rPr>
                      <w:rFonts w:hint="default" w:ascii="Times New Roman" w:hAnsi="Times New Roman" w:cs="Times New Roman"/>
                      <w:bCs/>
                      <w:szCs w:val="21"/>
                      <w:highlight w:val="none"/>
                    </w:rPr>
                  </w:pPr>
                </w:p>
              </w:tc>
              <w:tc>
                <w:tcPr>
                  <w:tcW w:w="1464" w:type="pct"/>
                  <w:noWrap w:val="0"/>
                  <w:vAlign w:val="center"/>
                </w:tcPr>
                <w:p w14:paraId="0C5C5EF8">
                  <w:pPr>
                    <w:tabs>
                      <w:tab w:val="left" w:pos="2418"/>
                      <w:tab w:val="left" w:pos="4203"/>
                      <w:tab w:val="left" w:pos="5708"/>
                      <w:tab w:val="left" w:pos="7213"/>
                      <w:tab w:val="left" w:pos="8718"/>
                    </w:tabs>
                    <w:snapToGrid w:val="0"/>
                    <w:spacing w:before="48" w:beforeLines="20" w:after="48" w:afterLines="20"/>
                    <w:jc w:val="center"/>
                    <w:rPr>
                      <w:rFonts w:hint="eastAsia" w:ascii="Times New Roman" w:hAnsi="Times New Roman" w:eastAsia="宋体" w:cs="Times New Roman"/>
                      <w:bCs/>
                      <w:szCs w:val="21"/>
                      <w:highlight w:val="none"/>
                      <w:lang w:eastAsia="zh-CN"/>
                    </w:rPr>
                  </w:pPr>
                  <w:r>
                    <w:rPr>
                      <w:rFonts w:hint="default" w:ascii="Times New Roman" w:hAnsi="Times New Roman" w:cs="Times New Roman"/>
                      <w:bCs/>
                      <w:szCs w:val="21"/>
                      <w:highlight w:val="none"/>
                    </w:rPr>
                    <w:t>底泥含泥量</w:t>
                  </w:r>
                  <w:r>
                    <w:rPr>
                      <w:rFonts w:hint="eastAsia" w:cs="Times New Roman"/>
                      <w:bCs/>
                      <w:szCs w:val="21"/>
                      <w:highlight w:val="none"/>
                      <w:lang w:eastAsia="zh-CN"/>
                    </w:rPr>
                    <w:t>（</w:t>
                  </w:r>
                  <w:r>
                    <w:rPr>
                      <w:rFonts w:hint="eastAsia" w:cs="Times New Roman"/>
                      <w:bCs/>
                      <w:szCs w:val="21"/>
                      <w:highlight w:val="none"/>
                      <w:lang w:val="en-US" w:eastAsia="zh-CN"/>
                    </w:rPr>
                    <w:t>干物料</w:t>
                  </w:r>
                  <w:r>
                    <w:rPr>
                      <w:rFonts w:hint="eastAsia" w:cs="Times New Roman"/>
                      <w:bCs/>
                      <w:szCs w:val="21"/>
                      <w:highlight w:val="none"/>
                      <w:lang w:eastAsia="zh-CN"/>
                    </w:rPr>
                    <w:t>）</w:t>
                  </w:r>
                </w:p>
              </w:tc>
              <w:tc>
                <w:tcPr>
                  <w:tcW w:w="2447" w:type="dxa"/>
                  <w:noWrap w:val="0"/>
                  <w:vAlign w:val="center"/>
                </w:tcPr>
                <w:p w14:paraId="307D05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20000.52</w:t>
                  </w:r>
                </w:p>
              </w:tc>
            </w:tr>
            <w:tr w14:paraId="69577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5" w:type="pct"/>
                  <w:noWrap w:val="0"/>
                  <w:vAlign w:val="center"/>
                </w:tcPr>
                <w:p w14:paraId="02A0A32F">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总计</w:t>
                  </w:r>
                </w:p>
              </w:tc>
              <w:tc>
                <w:tcPr>
                  <w:tcW w:w="1110" w:type="pct"/>
                  <w:noWrap w:val="0"/>
                  <w:vAlign w:val="center"/>
                </w:tcPr>
                <w:p w14:paraId="6D1B8794">
                  <w:pPr>
                    <w:spacing w:before="48" w:beforeLines="20" w:after="48" w:afterLines="2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102180</w:t>
                  </w:r>
                  <w:r>
                    <w:rPr>
                      <w:rFonts w:hint="eastAsia" w:cs="Times New Roman"/>
                      <w:i w:val="0"/>
                      <w:iCs w:val="0"/>
                      <w:color w:val="000000"/>
                      <w:kern w:val="0"/>
                      <w:sz w:val="21"/>
                      <w:szCs w:val="21"/>
                      <w:u w:val="none"/>
                      <w:lang w:val="en-US" w:eastAsia="zh-CN" w:bidi="ar"/>
                    </w:rPr>
                    <w:t>6</w:t>
                  </w:r>
                </w:p>
              </w:tc>
              <w:tc>
                <w:tcPr>
                  <w:tcW w:w="1464" w:type="pct"/>
                  <w:noWrap w:val="0"/>
                  <w:vAlign w:val="center"/>
                </w:tcPr>
                <w:p w14:paraId="314F8197">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总计</w:t>
                  </w:r>
                </w:p>
              </w:tc>
              <w:tc>
                <w:tcPr>
                  <w:tcW w:w="2447" w:type="dxa"/>
                  <w:noWrap w:val="0"/>
                  <w:vAlign w:val="center"/>
                </w:tcPr>
                <w:p w14:paraId="28E15A36">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1021806</w:t>
                  </w:r>
                </w:p>
              </w:tc>
            </w:tr>
          </w:tbl>
          <w:p w14:paraId="3A522796">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eastAsia" w:cs="Times New Roman"/>
                <w:b/>
                <w:color w:val="auto"/>
                <w:szCs w:val="21"/>
                <w:highlight w:val="none"/>
                <w:lang w:val="en-US" w:eastAsia="zh-CN"/>
              </w:rPr>
              <w:t>7</w:t>
            </w:r>
            <w:r>
              <w:rPr>
                <w:rFonts w:hint="default" w:ascii="Times New Roman" w:hAnsi="Times New Roman" w:cs="Times New Roman"/>
                <w:b/>
                <w:color w:val="auto"/>
                <w:szCs w:val="21"/>
                <w:highlight w:val="none"/>
              </w:rPr>
              <w:t xml:space="preserve">  项目</w:t>
            </w:r>
            <w:r>
              <w:rPr>
                <w:rFonts w:hint="default" w:ascii="Times New Roman" w:hAnsi="Times New Roman" w:cs="Times New Roman"/>
                <w:b/>
                <w:color w:val="auto"/>
                <w:szCs w:val="21"/>
                <w:highlight w:val="none"/>
                <w:lang w:val="en-US" w:eastAsia="zh-CN"/>
              </w:rPr>
              <w:t>其余生产线</w:t>
            </w:r>
            <w:r>
              <w:rPr>
                <w:rFonts w:hint="default" w:ascii="Times New Roman" w:hAnsi="Times New Roman" w:cs="Times New Roman"/>
                <w:b/>
                <w:color w:val="auto"/>
                <w:szCs w:val="21"/>
                <w:highlight w:val="none"/>
              </w:rPr>
              <w:t>物料</w:t>
            </w:r>
            <w:r>
              <w:rPr>
                <w:rFonts w:hint="default" w:ascii="Times New Roman" w:hAnsi="Times New Roman" w:cs="Times New Roman"/>
                <w:b/>
                <w:color w:val="auto"/>
                <w:szCs w:val="18"/>
                <w:highlight w:val="none"/>
              </w:rPr>
              <w:t>平衡</w:t>
            </w:r>
            <w:r>
              <w:rPr>
                <w:rFonts w:hint="default" w:ascii="Times New Roman" w:hAnsi="Times New Roman" w:cs="Times New Roman"/>
                <w:b/>
                <w:color w:val="auto"/>
                <w:szCs w:val="21"/>
                <w:highlight w:val="none"/>
              </w:rPr>
              <w:t>表    单位 t/a</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134"/>
              <w:gridCol w:w="2045"/>
              <w:gridCol w:w="1975"/>
            </w:tblGrid>
            <w:tr w14:paraId="46D28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427" w:type="dxa"/>
                  <w:gridSpan w:val="2"/>
                  <w:tcBorders>
                    <w:tl2br w:val="nil"/>
                    <w:tr2bl w:val="nil"/>
                  </w:tcBorders>
                  <w:vAlign w:val="center"/>
                </w:tcPr>
                <w:p w14:paraId="46703D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输入</w:t>
                  </w:r>
                </w:p>
              </w:tc>
              <w:tc>
                <w:tcPr>
                  <w:tcW w:w="4020" w:type="dxa"/>
                  <w:gridSpan w:val="2"/>
                  <w:tcBorders>
                    <w:tl2br w:val="nil"/>
                    <w:tr2bl w:val="nil"/>
                  </w:tcBorders>
                  <w:vAlign w:val="center"/>
                </w:tcPr>
                <w:p w14:paraId="7D5D6639">
                  <w:pPr>
                    <w:tabs>
                      <w:tab w:val="left" w:pos="2418"/>
                      <w:tab w:val="left" w:pos="4203"/>
                      <w:tab w:val="left" w:pos="5708"/>
                      <w:tab w:val="left" w:pos="7213"/>
                      <w:tab w:val="left" w:pos="8718"/>
                    </w:tabs>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输出</w:t>
                  </w:r>
                </w:p>
              </w:tc>
            </w:tr>
            <w:tr w14:paraId="4B657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vAlign w:val="center"/>
                </w:tcPr>
                <w:p w14:paraId="4C72F3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白云石</w:t>
                  </w:r>
                </w:p>
              </w:tc>
              <w:tc>
                <w:tcPr>
                  <w:tcW w:w="2134" w:type="dxa"/>
                  <w:tcBorders>
                    <w:tl2br w:val="nil"/>
                    <w:tr2bl w:val="nil"/>
                  </w:tcBorders>
                  <w:vAlign w:val="center"/>
                </w:tcPr>
                <w:p w14:paraId="3685C4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530000</w:t>
                  </w:r>
                </w:p>
              </w:tc>
              <w:tc>
                <w:tcPr>
                  <w:tcW w:w="2045" w:type="dxa"/>
                  <w:tcBorders>
                    <w:tl2br w:val="nil"/>
                    <w:tr2bl w:val="nil"/>
                  </w:tcBorders>
                  <w:vAlign w:val="center"/>
                </w:tcPr>
                <w:p w14:paraId="6A226797">
                  <w:pPr>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彩砂（</w:t>
                  </w:r>
                  <w:r>
                    <w:rPr>
                      <w:rFonts w:hint="default" w:ascii="Times New Roman" w:hAnsi="Times New Roman" w:cs="Times New Roman"/>
                      <w:bCs/>
                      <w:color w:val="auto"/>
                      <w:szCs w:val="21"/>
                      <w:highlight w:val="none"/>
                      <w:lang w:val="en-US" w:eastAsia="zh-CN"/>
                    </w:rPr>
                    <w:t>外售</w:t>
                  </w:r>
                  <w:r>
                    <w:rPr>
                      <w:rFonts w:hint="default" w:ascii="Times New Roman" w:hAnsi="Times New Roman" w:cs="Times New Roman"/>
                      <w:bCs/>
                      <w:color w:val="auto"/>
                      <w:szCs w:val="21"/>
                      <w:highlight w:val="none"/>
                    </w:rPr>
                    <w:t>）</w:t>
                  </w:r>
                </w:p>
              </w:tc>
              <w:tc>
                <w:tcPr>
                  <w:tcW w:w="1975" w:type="dxa"/>
                  <w:tcBorders>
                    <w:tl2br w:val="nil"/>
                    <w:tr2bl w:val="nil"/>
                  </w:tcBorders>
                  <w:shd w:val="clear" w:color="auto" w:fill="auto"/>
                  <w:vAlign w:val="center"/>
                </w:tcPr>
                <w:p w14:paraId="3173E19F">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20624</w:t>
                  </w:r>
                </w:p>
              </w:tc>
            </w:tr>
            <w:tr w14:paraId="31BDE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shd w:val="clear" w:color="auto" w:fill="auto"/>
                  <w:vAlign w:val="center"/>
                </w:tcPr>
                <w:p w14:paraId="653C2A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石膏粉（原料）</w:t>
                  </w:r>
                </w:p>
              </w:tc>
              <w:tc>
                <w:tcPr>
                  <w:tcW w:w="2134" w:type="dxa"/>
                  <w:tcBorders>
                    <w:tl2br w:val="nil"/>
                    <w:tr2bl w:val="nil"/>
                  </w:tcBorders>
                  <w:shd w:val="clear" w:color="auto" w:fill="auto"/>
                  <w:vAlign w:val="center"/>
                </w:tcPr>
                <w:p w14:paraId="3736D9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149512.3</w:t>
                  </w:r>
                </w:p>
              </w:tc>
              <w:tc>
                <w:tcPr>
                  <w:tcW w:w="2045" w:type="dxa"/>
                  <w:tcBorders>
                    <w:tl2br w:val="nil"/>
                    <w:tr2bl w:val="nil"/>
                  </w:tcBorders>
                  <w:vAlign w:val="center"/>
                </w:tcPr>
                <w:p w14:paraId="0C532DAE">
                  <w:pPr>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腻子粉</w:t>
                  </w:r>
                </w:p>
              </w:tc>
              <w:tc>
                <w:tcPr>
                  <w:tcW w:w="1975" w:type="dxa"/>
                  <w:tcBorders>
                    <w:tl2br w:val="nil"/>
                    <w:tr2bl w:val="nil"/>
                  </w:tcBorders>
                  <w:vAlign w:val="center"/>
                </w:tcPr>
                <w:p w14:paraId="08FBFCEF">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200000</w:t>
                  </w:r>
                </w:p>
              </w:tc>
            </w:tr>
            <w:tr w14:paraId="219A4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shd w:val="clear" w:color="auto" w:fill="auto"/>
                  <w:vAlign w:val="center"/>
                </w:tcPr>
                <w:p w14:paraId="67AD83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水泥</w:t>
                  </w:r>
                </w:p>
              </w:tc>
              <w:tc>
                <w:tcPr>
                  <w:tcW w:w="2134" w:type="dxa"/>
                  <w:tcBorders>
                    <w:tl2br w:val="nil"/>
                    <w:tr2bl w:val="nil"/>
                  </w:tcBorders>
                  <w:shd w:val="clear" w:color="auto" w:fill="auto"/>
                  <w:vAlign w:val="center"/>
                </w:tcPr>
                <w:p w14:paraId="3B571C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69842.49</w:t>
                  </w:r>
                </w:p>
              </w:tc>
              <w:tc>
                <w:tcPr>
                  <w:tcW w:w="2045" w:type="dxa"/>
                  <w:tcBorders>
                    <w:tl2br w:val="nil"/>
                    <w:tr2bl w:val="nil"/>
                  </w:tcBorders>
                  <w:vAlign w:val="center"/>
                </w:tcPr>
                <w:p w14:paraId="2437D49F">
                  <w:pPr>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石膏粉（产品）</w:t>
                  </w:r>
                </w:p>
              </w:tc>
              <w:tc>
                <w:tcPr>
                  <w:tcW w:w="1975" w:type="dxa"/>
                  <w:tcBorders>
                    <w:tl2br w:val="nil"/>
                    <w:tr2bl w:val="nil"/>
                  </w:tcBorders>
                  <w:vAlign w:val="center"/>
                </w:tcPr>
                <w:p w14:paraId="49339F14">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300000</w:t>
                  </w:r>
                </w:p>
              </w:tc>
            </w:tr>
            <w:tr w14:paraId="3C831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shd w:val="clear" w:color="auto" w:fill="auto"/>
                  <w:vAlign w:val="center"/>
                </w:tcPr>
                <w:p w14:paraId="3C82377D">
                  <w:pPr>
                    <w:tabs>
                      <w:tab w:val="left" w:pos="2418"/>
                      <w:tab w:val="left" w:pos="4203"/>
                      <w:tab w:val="left" w:pos="5708"/>
                      <w:tab w:val="left" w:pos="7213"/>
                      <w:tab w:val="left" w:pos="8718"/>
                    </w:tabs>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纤维素</w:t>
                  </w:r>
                </w:p>
              </w:tc>
              <w:tc>
                <w:tcPr>
                  <w:tcW w:w="2134" w:type="dxa"/>
                  <w:tcBorders>
                    <w:tl2br w:val="nil"/>
                    <w:tr2bl w:val="nil"/>
                  </w:tcBorders>
                  <w:shd w:val="clear" w:color="auto" w:fill="auto"/>
                  <w:vAlign w:val="center"/>
                </w:tcPr>
                <w:p w14:paraId="4CD433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2256.08</w:t>
                  </w:r>
                </w:p>
              </w:tc>
              <w:tc>
                <w:tcPr>
                  <w:tcW w:w="2045" w:type="dxa"/>
                  <w:tcBorders>
                    <w:tl2br w:val="nil"/>
                    <w:tr2bl w:val="nil"/>
                  </w:tcBorders>
                  <w:vAlign w:val="center"/>
                </w:tcPr>
                <w:p w14:paraId="1FC91CAB">
                  <w:pPr>
                    <w:spacing w:beforeLines="20" w:afterLines="20"/>
                    <w:jc w:val="center"/>
                    <w:rPr>
                      <w:rFonts w:hint="default" w:ascii="Times New Roman" w:hAnsi="Times New Roman" w:cs="Times New Roman"/>
                      <w:bCs/>
                      <w:color w:val="auto"/>
                      <w:szCs w:val="21"/>
                      <w:highlight w:val="none"/>
                    </w:rPr>
                  </w:pPr>
                  <w:r>
                    <w:rPr>
                      <w:rFonts w:hint="eastAsia" w:cs="Times New Roman"/>
                      <w:bCs/>
                      <w:color w:val="auto"/>
                      <w:szCs w:val="21"/>
                      <w:highlight w:val="none"/>
                      <w:lang w:val="en-US" w:eastAsia="zh-CN"/>
                    </w:rPr>
                    <w:t>干混</w:t>
                  </w:r>
                  <w:r>
                    <w:rPr>
                      <w:rFonts w:hint="default" w:ascii="Times New Roman" w:hAnsi="Times New Roman" w:cs="Times New Roman"/>
                      <w:bCs/>
                      <w:color w:val="auto"/>
                      <w:szCs w:val="21"/>
                      <w:highlight w:val="none"/>
                    </w:rPr>
                    <w:t>砂浆</w:t>
                  </w:r>
                </w:p>
              </w:tc>
              <w:tc>
                <w:tcPr>
                  <w:tcW w:w="1975" w:type="dxa"/>
                  <w:tcBorders>
                    <w:tl2br w:val="nil"/>
                    <w:tr2bl w:val="nil"/>
                  </w:tcBorders>
                  <w:vAlign w:val="center"/>
                </w:tcPr>
                <w:p w14:paraId="00C23180">
                  <w:pPr>
                    <w:keepNext w:val="0"/>
                    <w:keepLines w:val="0"/>
                    <w:widowControl/>
                    <w:suppressLineNumbers w:val="0"/>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200000</w:t>
                  </w:r>
                </w:p>
              </w:tc>
            </w:tr>
            <w:tr w14:paraId="3655E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vAlign w:val="center"/>
                </w:tcPr>
                <w:p w14:paraId="03E8212E">
                  <w:pPr>
                    <w:tabs>
                      <w:tab w:val="left" w:pos="2418"/>
                      <w:tab w:val="left" w:pos="4203"/>
                      <w:tab w:val="left" w:pos="5708"/>
                      <w:tab w:val="left" w:pos="7213"/>
                      <w:tab w:val="left" w:pos="8718"/>
                    </w:tabs>
                    <w:snapToGrid w:val="0"/>
                    <w:spacing w:beforeLines="30" w:afterLines="3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絮凝剂</w:t>
                  </w:r>
                </w:p>
              </w:tc>
              <w:tc>
                <w:tcPr>
                  <w:tcW w:w="2134" w:type="dxa"/>
                  <w:tcBorders>
                    <w:tl2br w:val="nil"/>
                    <w:tr2bl w:val="nil"/>
                  </w:tcBorders>
                  <w:vAlign w:val="center"/>
                </w:tcPr>
                <w:p w14:paraId="41B8C7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6.13</w:t>
                  </w:r>
                </w:p>
              </w:tc>
              <w:tc>
                <w:tcPr>
                  <w:tcW w:w="2045" w:type="dxa"/>
                  <w:tcBorders>
                    <w:tl2br w:val="nil"/>
                    <w:tr2bl w:val="nil"/>
                  </w:tcBorders>
                  <w:shd w:val="clear" w:color="auto" w:fill="auto"/>
                  <w:vAlign w:val="center"/>
                </w:tcPr>
                <w:p w14:paraId="17978772">
                  <w:pPr>
                    <w:spacing w:beforeLines="20" w:afterLines="2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收集尘</w:t>
                  </w:r>
                </w:p>
              </w:tc>
              <w:tc>
                <w:tcPr>
                  <w:tcW w:w="1975" w:type="dxa"/>
                  <w:tcBorders>
                    <w:tl2br w:val="nil"/>
                    <w:tr2bl w:val="nil"/>
                  </w:tcBorders>
                  <w:shd w:val="clear" w:color="auto" w:fill="auto"/>
                  <w:vAlign w:val="center"/>
                </w:tcPr>
                <w:p w14:paraId="125EBF24">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977.65</w:t>
                  </w:r>
                </w:p>
              </w:tc>
            </w:tr>
            <w:tr w14:paraId="00EE8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vAlign w:val="center"/>
                </w:tcPr>
                <w:p w14:paraId="77AF61C5">
                  <w:pPr>
                    <w:tabs>
                      <w:tab w:val="left" w:pos="2418"/>
                      <w:tab w:val="left" w:pos="4203"/>
                      <w:tab w:val="left" w:pos="5708"/>
                      <w:tab w:val="left" w:pos="7213"/>
                      <w:tab w:val="left" w:pos="8718"/>
                    </w:tabs>
                    <w:snapToGrid w:val="0"/>
                    <w:spacing w:beforeLines="30" w:afterLines="30"/>
                    <w:jc w:val="center"/>
                    <w:rPr>
                      <w:rFonts w:hint="default" w:ascii="Times New Roman" w:hAnsi="Times New Roman" w:cs="Times New Roman"/>
                      <w:color w:val="auto"/>
                      <w:szCs w:val="21"/>
                      <w:highlight w:val="none"/>
                    </w:rPr>
                  </w:pPr>
                </w:p>
              </w:tc>
              <w:tc>
                <w:tcPr>
                  <w:tcW w:w="2134" w:type="dxa"/>
                  <w:tcBorders>
                    <w:tl2br w:val="nil"/>
                    <w:tr2bl w:val="nil"/>
                  </w:tcBorders>
                  <w:vAlign w:val="center"/>
                </w:tcPr>
                <w:p w14:paraId="7493D4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45" w:type="dxa"/>
                  <w:tcBorders>
                    <w:tl2br w:val="nil"/>
                    <w:tr2bl w:val="nil"/>
                  </w:tcBorders>
                  <w:shd w:val="clear" w:color="auto" w:fill="auto"/>
                  <w:vAlign w:val="center"/>
                </w:tcPr>
                <w:p w14:paraId="0B30C9BA">
                  <w:pPr>
                    <w:spacing w:beforeLines="20" w:afterLines="2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粉尘</w:t>
                  </w:r>
                </w:p>
              </w:tc>
              <w:tc>
                <w:tcPr>
                  <w:tcW w:w="1975" w:type="dxa"/>
                  <w:tcBorders>
                    <w:tl2br w:val="nil"/>
                    <w:tr2bl w:val="nil"/>
                  </w:tcBorders>
                  <w:shd w:val="clear" w:color="auto" w:fill="auto"/>
                  <w:vAlign w:val="center"/>
                </w:tcPr>
                <w:p w14:paraId="6CAB1C0E">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15.2</w:t>
                  </w:r>
                </w:p>
              </w:tc>
            </w:tr>
            <w:tr w14:paraId="4CB25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vAlign w:val="center"/>
                </w:tcPr>
                <w:p w14:paraId="712FB190">
                  <w:pPr>
                    <w:tabs>
                      <w:tab w:val="left" w:pos="2418"/>
                      <w:tab w:val="left" w:pos="4203"/>
                      <w:tab w:val="left" w:pos="5708"/>
                      <w:tab w:val="left" w:pos="7213"/>
                      <w:tab w:val="left" w:pos="8718"/>
                    </w:tabs>
                    <w:snapToGrid w:val="0"/>
                    <w:spacing w:beforeLines="30" w:afterLines="30"/>
                    <w:jc w:val="center"/>
                    <w:rPr>
                      <w:rFonts w:hint="default" w:ascii="Times New Roman" w:hAnsi="Times New Roman" w:cs="Times New Roman"/>
                      <w:color w:val="auto"/>
                      <w:szCs w:val="21"/>
                      <w:highlight w:val="none"/>
                    </w:rPr>
                  </w:pPr>
                </w:p>
              </w:tc>
              <w:tc>
                <w:tcPr>
                  <w:tcW w:w="2134" w:type="dxa"/>
                  <w:tcBorders>
                    <w:tl2br w:val="nil"/>
                    <w:tr2bl w:val="nil"/>
                  </w:tcBorders>
                  <w:vAlign w:val="center"/>
                </w:tcPr>
                <w:p w14:paraId="6732D7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45" w:type="dxa"/>
                  <w:tcBorders>
                    <w:tl2br w:val="nil"/>
                    <w:tr2bl w:val="nil"/>
                  </w:tcBorders>
                  <w:shd w:val="clear" w:color="auto" w:fill="auto"/>
                  <w:vAlign w:val="center"/>
                </w:tcPr>
                <w:p w14:paraId="2EC560AC">
                  <w:pPr>
                    <w:tabs>
                      <w:tab w:val="left" w:pos="2418"/>
                      <w:tab w:val="left" w:pos="4203"/>
                      <w:tab w:val="left" w:pos="5708"/>
                      <w:tab w:val="left" w:pos="7213"/>
                      <w:tab w:val="left" w:pos="8718"/>
                    </w:tabs>
                    <w:snapToGrid w:val="0"/>
                    <w:spacing w:before="48" w:beforeLines="20" w:after="48" w:afterLines="20"/>
                    <w:jc w:val="center"/>
                    <w:rPr>
                      <w:rFonts w:hint="default" w:ascii="Times New Roman" w:hAnsi="Times New Roman" w:cs="Times New Roman"/>
                      <w:bCs/>
                      <w:color w:val="auto"/>
                      <w:szCs w:val="21"/>
                      <w:highlight w:val="none"/>
                    </w:rPr>
                  </w:pPr>
                  <w:r>
                    <w:rPr>
                      <w:rFonts w:hint="default" w:ascii="Times New Roman" w:hAnsi="Times New Roman" w:cs="Times New Roman"/>
                      <w:bCs/>
                      <w:szCs w:val="21"/>
                      <w:highlight w:val="none"/>
                    </w:rPr>
                    <w:t>底泥含泥量</w:t>
                  </w:r>
                  <w:r>
                    <w:rPr>
                      <w:rFonts w:hint="eastAsia" w:cs="Times New Roman"/>
                      <w:bCs/>
                      <w:szCs w:val="21"/>
                      <w:highlight w:val="none"/>
                      <w:lang w:eastAsia="zh-CN"/>
                    </w:rPr>
                    <w:t>（</w:t>
                  </w:r>
                  <w:r>
                    <w:rPr>
                      <w:rFonts w:hint="eastAsia" w:cs="Times New Roman"/>
                      <w:bCs/>
                      <w:szCs w:val="21"/>
                      <w:highlight w:val="none"/>
                      <w:lang w:val="en-US" w:eastAsia="zh-CN"/>
                    </w:rPr>
                    <w:t>干物料）料</w:t>
                  </w:r>
                  <w:r>
                    <w:rPr>
                      <w:rFonts w:hint="eastAsia" w:cs="Times New Roman"/>
                      <w:bCs/>
                      <w:szCs w:val="21"/>
                      <w:highlight w:val="none"/>
                      <w:lang w:eastAsia="zh-CN"/>
                    </w:rPr>
                    <w:t>）</w:t>
                  </w:r>
                </w:p>
              </w:tc>
              <w:tc>
                <w:tcPr>
                  <w:tcW w:w="1975" w:type="dxa"/>
                  <w:tcBorders>
                    <w:tl2br w:val="nil"/>
                    <w:tr2bl w:val="nil"/>
                  </w:tcBorders>
                  <w:shd w:val="clear" w:color="auto" w:fill="auto"/>
                  <w:vAlign w:val="center"/>
                </w:tcPr>
                <w:p w14:paraId="17205C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30000.15</w:t>
                  </w:r>
                </w:p>
              </w:tc>
            </w:tr>
            <w:tr w14:paraId="07D06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293" w:type="dxa"/>
                  <w:tcBorders>
                    <w:tl2br w:val="nil"/>
                    <w:tr2bl w:val="nil"/>
                  </w:tcBorders>
                  <w:vAlign w:val="center"/>
                </w:tcPr>
                <w:p w14:paraId="73007264">
                  <w:pPr>
                    <w:tabs>
                      <w:tab w:val="left" w:pos="2418"/>
                      <w:tab w:val="left" w:pos="4203"/>
                      <w:tab w:val="left" w:pos="5708"/>
                      <w:tab w:val="left" w:pos="7213"/>
                      <w:tab w:val="left" w:pos="8718"/>
                    </w:tabs>
                    <w:snapToGrid w:val="0"/>
                    <w:spacing w:beforeLines="30" w:afterLines="3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总计</w:t>
                  </w:r>
                </w:p>
              </w:tc>
              <w:tc>
                <w:tcPr>
                  <w:tcW w:w="2134" w:type="dxa"/>
                  <w:tcBorders>
                    <w:tl2br w:val="nil"/>
                    <w:tr2bl w:val="nil"/>
                  </w:tcBorders>
                  <w:shd w:val="clear" w:color="auto" w:fill="auto"/>
                  <w:vAlign w:val="center"/>
                </w:tcPr>
                <w:p w14:paraId="7FE427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721617</w:t>
                  </w:r>
                </w:p>
              </w:tc>
              <w:tc>
                <w:tcPr>
                  <w:tcW w:w="2045" w:type="dxa"/>
                  <w:tcBorders>
                    <w:tl2br w:val="nil"/>
                    <w:tr2bl w:val="nil"/>
                  </w:tcBorders>
                  <w:vAlign w:val="center"/>
                </w:tcPr>
                <w:p w14:paraId="2C8EFD76">
                  <w:pPr>
                    <w:tabs>
                      <w:tab w:val="left" w:pos="2418"/>
                      <w:tab w:val="left" w:pos="4203"/>
                      <w:tab w:val="left" w:pos="5708"/>
                      <w:tab w:val="left" w:pos="7213"/>
                      <w:tab w:val="left" w:pos="8718"/>
                    </w:tabs>
                    <w:snapToGrid w:val="0"/>
                    <w:spacing w:beforeLines="30" w:afterLines="3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总计</w:t>
                  </w:r>
                </w:p>
              </w:tc>
              <w:tc>
                <w:tcPr>
                  <w:tcW w:w="1975" w:type="dxa"/>
                  <w:tcBorders>
                    <w:tl2br w:val="nil"/>
                    <w:tr2bl w:val="nil"/>
                  </w:tcBorders>
                  <w:shd w:val="clear" w:color="auto" w:fill="auto"/>
                  <w:vAlign w:val="center"/>
                </w:tcPr>
                <w:p w14:paraId="01320F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721617</w:t>
                  </w:r>
                </w:p>
              </w:tc>
            </w:tr>
          </w:tbl>
          <w:p w14:paraId="4B22B13D">
            <w:pPr>
              <w:adjustRightInd w:val="0"/>
              <w:snapToGrid w:val="0"/>
              <w:spacing w:line="360" w:lineRule="auto"/>
              <w:ind w:firstLine="482" w:firstLineChars="200"/>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11、厂区平面布置</w:t>
            </w:r>
          </w:p>
          <w:p w14:paraId="60C3734F">
            <w:pPr>
              <w:pStyle w:val="46"/>
              <w:spacing w:line="360" w:lineRule="auto"/>
              <w:ind w:firstLine="480" w:firstLineChars="200"/>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根据现场调查，厂区出入口位于西</w:t>
            </w:r>
            <w:r>
              <w:rPr>
                <w:rFonts w:hint="default" w:ascii="Times New Roman" w:hAnsi="Times New Roman" w:cs="Times New Roman"/>
                <w:bCs/>
                <w:color w:val="auto"/>
                <w:highlight w:val="none"/>
                <w:lang w:val="en-US" w:eastAsia="zh-CN"/>
              </w:rPr>
              <w:t>南</w:t>
            </w:r>
            <w:r>
              <w:rPr>
                <w:rFonts w:hint="default" w:ascii="Times New Roman" w:hAnsi="Times New Roman" w:cs="Times New Roman"/>
                <w:bCs/>
                <w:color w:val="auto"/>
                <w:highlight w:val="none"/>
              </w:rPr>
              <w:t>角，连接村道，便于原料及产品运输。</w:t>
            </w:r>
            <w:r>
              <w:rPr>
                <w:rFonts w:hint="default" w:ascii="Times New Roman" w:hAnsi="Times New Roman" w:cs="Times New Roman"/>
                <w:bCs/>
                <w:color w:val="auto"/>
                <w:highlight w:val="none"/>
                <w:lang w:val="en-US" w:eastAsia="zh-CN"/>
              </w:rPr>
              <w:t>办公区位于</w:t>
            </w:r>
            <w:r>
              <w:rPr>
                <w:rFonts w:hint="default" w:ascii="Times New Roman" w:hAnsi="Times New Roman" w:cs="Times New Roman"/>
                <w:bCs/>
                <w:color w:val="auto"/>
                <w:highlight w:val="none"/>
              </w:rPr>
              <w:t>厂区</w:t>
            </w:r>
            <w:r>
              <w:rPr>
                <w:rFonts w:hint="default" w:ascii="Times New Roman" w:hAnsi="Times New Roman" w:cs="Times New Roman"/>
                <w:bCs/>
                <w:color w:val="auto"/>
                <w:highlight w:val="none"/>
                <w:lang w:val="en-US" w:eastAsia="zh-CN"/>
              </w:rPr>
              <w:t>出入口北</w:t>
            </w:r>
            <w:r>
              <w:rPr>
                <w:rFonts w:hint="default" w:ascii="Times New Roman" w:hAnsi="Times New Roman" w:cs="Times New Roman"/>
                <w:bCs/>
                <w:color w:val="auto"/>
                <w:highlight w:val="none"/>
              </w:rPr>
              <w:t>侧</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紧邻砂石骨料成品</w:t>
            </w:r>
            <w:r>
              <w:rPr>
                <w:rFonts w:hint="eastAsia" w:ascii="Times New Roman" w:cs="Times New Roman"/>
                <w:bCs/>
                <w:color w:val="auto"/>
                <w:highlight w:val="none"/>
                <w:lang w:val="en-US" w:eastAsia="zh-CN"/>
              </w:rPr>
              <w:t>料仓</w:t>
            </w:r>
            <w:r>
              <w:rPr>
                <w:rFonts w:hint="default" w:ascii="Times New Roman" w:hAnsi="Times New Roman" w:cs="Times New Roman"/>
                <w:bCs/>
                <w:color w:val="auto"/>
                <w:highlight w:val="none"/>
                <w:lang w:val="en-US" w:eastAsia="zh-CN"/>
              </w:rPr>
              <w:t>，包括办公室、会议室等；</w:t>
            </w:r>
            <w:r>
              <w:rPr>
                <w:rFonts w:hint="default" w:ascii="Times New Roman" w:hAnsi="Times New Roman" w:cs="Times New Roman"/>
                <w:bCs/>
                <w:color w:val="auto"/>
                <w:highlight w:val="none"/>
              </w:rPr>
              <w:t>生活区</w:t>
            </w:r>
            <w:r>
              <w:rPr>
                <w:rFonts w:hint="eastAsia" w:ascii="Times New Roman" w:cs="Times New Roman"/>
                <w:bCs/>
                <w:color w:val="auto"/>
                <w:highlight w:val="none"/>
                <w:lang w:eastAsia="zh-CN"/>
              </w:rPr>
              <w:t>（</w:t>
            </w:r>
            <w:r>
              <w:rPr>
                <w:rFonts w:hint="eastAsia" w:ascii="Times New Roman" w:cs="Times New Roman"/>
                <w:bCs/>
                <w:color w:val="auto"/>
                <w:highlight w:val="none"/>
                <w:lang w:val="en-US" w:eastAsia="zh-CN"/>
              </w:rPr>
              <w:t>员工宿舍</w:t>
            </w:r>
            <w:r>
              <w:rPr>
                <w:rFonts w:hint="eastAsia" w:ascii="Times New Roman" w:cs="Times New Roman"/>
                <w:bCs/>
                <w:color w:val="auto"/>
                <w:highlight w:val="none"/>
                <w:lang w:eastAsia="zh-CN"/>
              </w:rPr>
              <w:t>）</w:t>
            </w:r>
            <w:r>
              <w:rPr>
                <w:rFonts w:hint="default" w:ascii="Times New Roman" w:hAnsi="Times New Roman" w:cs="Times New Roman"/>
                <w:bCs/>
                <w:color w:val="auto"/>
                <w:highlight w:val="none"/>
              </w:rPr>
              <w:t>位于厂区</w:t>
            </w:r>
            <w:r>
              <w:rPr>
                <w:rFonts w:hint="default" w:ascii="Times New Roman" w:hAnsi="Times New Roman" w:cs="Times New Roman"/>
                <w:bCs/>
                <w:color w:val="auto"/>
                <w:highlight w:val="none"/>
                <w:lang w:val="en-US" w:eastAsia="zh-CN"/>
              </w:rPr>
              <w:t>出入口东</w:t>
            </w:r>
            <w:r>
              <w:rPr>
                <w:rFonts w:hint="default" w:ascii="Times New Roman" w:hAnsi="Times New Roman" w:cs="Times New Roman"/>
                <w:bCs/>
                <w:color w:val="auto"/>
                <w:highlight w:val="none"/>
              </w:rPr>
              <w:t>侧，呈“一”字沿东西方向展开</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原料库位于厂区北</w:t>
            </w:r>
            <w:r>
              <w:rPr>
                <w:rFonts w:hint="default" w:ascii="Times New Roman" w:hAnsi="Times New Roman" w:cs="Times New Roman"/>
                <w:bCs/>
                <w:color w:val="auto"/>
                <w:highlight w:val="none"/>
              </w:rPr>
              <w:t>部</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东西向布设各个生产线原料</w:t>
            </w:r>
            <w:r>
              <w:rPr>
                <w:rFonts w:hint="eastAsia" w:ascii="Times New Roman" w:cs="Times New Roman"/>
                <w:bCs/>
                <w:color w:val="auto"/>
                <w:highlight w:val="none"/>
                <w:lang w:val="en-US" w:eastAsia="zh-CN"/>
              </w:rPr>
              <w:t>堆场</w:t>
            </w:r>
            <w:r>
              <w:rPr>
                <w:rFonts w:hint="default" w:ascii="Times New Roman" w:hAnsi="Times New Roman" w:cs="Times New Roman"/>
                <w:bCs/>
                <w:color w:val="auto"/>
                <w:highlight w:val="none"/>
                <w:lang w:val="en-US" w:eastAsia="zh-CN"/>
              </w:rPr>
              <w:t>；</w:t>
            </w:r>
            <w:r>
              <w:rPr>
                <w:rFonts w:hint="default" w:ascii="Times New Roman" w:hAnsi="Times New Roman" w:cs="Times New Roman"/>
                <w:bCs/>
                <w:color w:val="auto"/>
                <w:highlight w:val="none"/>
              </w:rPr>
              <w:t>生产车间</w:t>
            </w:r>
            <w:r>
              <w:rPr>
                <w:rFonts w:hint="default" w:ascii="Times New Roman" w:hAnsi="Times New Roman" w:cs="Times New Roman"/>
                <w:bCs/>
                <w:color w:val="auto"/>
                <w:highlight w:val="none"/>
                <w:lang w:val="en-US" w:eastAsia="zh-CN"/>
              </w:rPr>
              <w:t>位于各自原料库南侧</w:t>
            </w:r>
            <w:r>
              <w:rPr>
                <w:rFonts w:hint="default" w:ascii="Times New Roman" w:hAnsi="Times New Roman" w:cs="Times New Roman"/>
                <w:bCs/>
                <w:color w:val="auto"/>
                <w:highlight w:val="none"/>
              </w:rPr>
              <w:t>，</w:t>
            </w:r>
            <w:r>
              <w:rPr>
                <w:rFonts w:hint="default" w:ascii="Times New Roman" w:hAnsi="Times New Roman" w:cs="Times New Roman"/>
                <w:bCs/>
                <w:color w:val="auto"/>
                <w:highlight w:val="none"/>
                <w:lang w:val="en-US" w:eastAsia="zh-CN"/>
              </w:rPr>
              <w:t>由西至东分别为砂石骨料生产线、彩砂生产线、改性粉体生产线、干混砂浆生产线</w:t>
            </w:r>
            <w:r>
              <w:rPr>
                <w:rFonts w:hint="default" w:ascii="Times New Roman" w:hAnsi="Times New Roman" w:cs="Times New Roman"/>
                <w:bCs/>
                <w:color w:val="auto"/>
                <w:highlight w:val="none"/>
              </w:rPr>
              <w:t>等；</w:t>
            </w:r>
            <w:r>
              <w:rPr>
                <w:rFonts w:hint="default" w:ascii="Times New Roman" w:hAnsi="Times New Roman" w:cs="Times New Roman"/>
                <w:bCs/>
                <w:color w:val="auto"/>
                <w:highlight w:val="none"/>
                <w:lang w:val="en-US" w:eastAsia="zh-CN"/>
              </w:rPr>
              <w:t>成品</w:t>
            </w:r>
            <w:r>
              <w:rPr>
                <w:rFonts w:hint="eastAsia" w:ascii="Times New Roman" w:cs="Times New Roman"/>
                <w:bCs/>
                <w:color w:val="auto"/>
                <w:highlight w:val="none"/>
                <w:lang w:val="en-US" w:eastAsia="zh-CN"/>
              </w:rPr>
              <w:t>料仓</w:t>
            </w:r>
            <w:r>
              <w:rPr>
                <w:rFonts w:hint="default" w:ascii="Times New Roman" w:hAnsi="Times New Roman" w:cs="Times New Roman"/>
                <w:bCs/>
                <w:color w:val="auto"/>
                <w:highlight w:val="none"/>
                <w:lang w:val="en-US" w:eastAsia="zh-CN"/>
              </w:rPr>
              <w:t>位于各自生产车间南侧</w:t>
            </w:r>
            <w:r>
              <w:rPr>
                <w:rFonts w:hint="default" w:ascii="Times New Roman" w:hAnsi="Times New Roman" w:cs="Times New Roman"/>
                <w:bCs/>
                <w:color w:val="auto"/>
                <w:highlight w:val="none"/>
              </w:rPr>
              <w:t>，</w:t>
            </w:r>
            <w:r>
              <w:rPr>
                <w:rFonts w:hint="default" w:ascii="Times New Roman" w:hAnsi="Times New Roman" w:cs="Times New Roman"/>
                <w:bCs/>
                <w:color w:val="auto"/>
                <w:highlight w:val="none"/>
                <w:lang w:val="en-US" w:eastAsia="zh-CN"/>
              </w:rPr>
              <w:t>东西向布设各个生产线成品</w:t>
            </w:r>
            <w:r>
              <w:rPr>
                <w:rFonts w:hint="eastAsia" w:ascii="Times New Roman" w:cs="Times New Roman"/>
                <w:bCs/>
                <w:color w:val="auto"/>
                <w:highlight w:val="none"/>
                <w:lang w:val="en-US" w:eastAsia="zh-CN"/>
              </w:rPr>
              <w:t>料仓</w:t>
            </w:r>
            <w:r>
              <w:rPr>
                <w:rFonts w:hint="default" w:ascii="Times New Roman" w:hAnsi="Times New Roman" w:cs="Times New Roman"/>
                <w:bCs/>
                <w:color w:val="auto"/>
                <w:highlight w:val="none"/>
              </w:rPr>
              <w:t>。危废贮存库位于厂区东南角。厂区内各区域之间由主干道相连，便于人员通行和物料转运，整体而言布置合理。具体布置见附图</w:t>
            </w:r>
            <w:r>
              <w:rPr>
                <w:rFonts w:hint="eastAsia" w:ascii="Times New Roman" w:cs="Times New Roman"/>
                <w:bCs/>
                <w:color w:val="auto"/>
                <w:kern w:val="2"/>
                <w:highlight w:val="none"/>
                <w:lang w:val="en-US" w:eastAsia="zh-CN"/>
              </w:rPr>
              <w:t>4</w:t>
            </w:r>
            <w:r>
              <w:rPr>
                <w:rFonts w:hint="default" w:ascii="Times New Roman" w:hAnsi="Times New Roman" w:cs="Times New Roman"/>
                <w:bCs/>
                <w:color w:val="auto"/>
                <w:highlight w:val="none"/>
              </w:rPr>
              <w:t>。</w:t>
            </w:r>
          </w:p>
        </w:tc>
      </w:tr>
      <w:tr w14:paraId="6B875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1B0131A8">
            <w:pPr>
              <w:pStyle w:val="26"/>
              <w:adjustRightInd w:val="0"/>
              <w:snapToGrid w:val="0"/>
              <w:spacing w:before="0" w:beforeAutospacing="0" w:after="0" w:afterAutospacing="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工艺流程和产排污环节</w:t>
            </w:r>
          </w:p>
          <w:p w14:paraId="42ECE6DE">
            <w:pPr>
              <w:pStyle w:val="26"/>
              <w:adjustRightInd w:val="0"/>
              <w:snapToGrid w:val="0"/>
              <w:spacing w:before="0" w:beforeAutospacing="0" w:after="0" w:afterAutospacing="0"/>
              <w:jc w:val="center"/>
              <w:rPr>
                <w:rFonts w:hint="default" w:ascii="Times New Roman" w:hAnsi="Times New Roman" w:cs="Times New Roman"/>
                <w:color w:val="auto"/>
                <w:szCs w:val="24"/>
                <w:highlight w:val="none"/>
              </w:rPr>
            </w:pPr>
          </w:p>
          <w:p w14:paraId="2AF4619C">
            <w:pPr>
              <w:pStyle w:val="26"/>
              <w:adjustRightInd w:val="0"/>
              <w:snapToGrid w:val="0"/>
              <w:spacing w:before="0" w:beforeAutospacing="0" w:after="0" w:afterAutospacing="0"/>
              <w:jc w:val="both"/>
              <w:rPr>
                <w:rFonts w:hint="default" w:ascii="Times New Roman" w:hAnsi="Times New Roman" w:cs="Times New Roman"/>
                <w:color w:val="auto"/>
                <w:szCs w:val="24"/>
                <w:highlight w:val="none"/>
              </w:rPr>
            </w:pPr>
          </w:p>
        </w:tc>
        <w:tc>
          <w:tcPr>
            <w:tcW w:w="8604" w:type="dxa"/>
          </w:tcPr>
          <w:p w14:paraId="10F51936">
            <w:pPr>
              <w:numPr>
                <w:ilvl w:val="0"/>
                <w:numId w:val="3"/>
              </w:num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施工期工艺流程及产污环节</w:t>
            </w:r>
          </w:p>
          <w:p w14:paraId="5A043072">
            <w:pPr>
              <w:numPr>
                <w:ilvl w:val="0"/>
                <w:numId w:val="0"/>
              </w:numPr>
              <w:adjustRightInd w:val="0"/>
              <w:snapToGrid w:val="0"/>
              <w:spacing w:line="360" w:lineRule="auto"/>
              <w:ind w:firstLine="482" w:firstLineChars="200"/>
              <w:rPr>
                <w:rFonts w:hint="default" w:ascii="Times New Roman" w:hAnsi="Times New Roman" w:eastAsia="宋体" w:cs="Times New Roman"/>
                <w:b/>
                <w:bCs w:val="0"/>
                <w:kern w:val="2"/>
                <w:sz w:val="24"/>
                <w:szCs w:val="24"/>
                <w:lang w:val="en-US" w:eastAsia="zh-CN" w:bidi="ar-SA"/>
              </w:rPr>
            </w:pPr>
            <w:r>
              <w:rPr>
                <w:rFonts w:hint="eastAsia" w:cs="Times New Roman"/>
                <w:b/>
                <w:bCs w:val="0"/>
                <w:kern w:val="2"/>
                <w:sz w:val="24"/>
                <w:szCs w:val="24"/>
                <w:lang w:val="en-US" w:eastAsia="zh-CN" w:bidi="ar-SA"/>
              </w:rPr>
              <w:t>1、</w:t>
            </w:r>
            <w:r>
              <w:rPr>
                <w:rFonts w:hint="default" w:ascii="Times New Roman" w:hAnsi="Times New Roman" w:eastAsia="宋体" w:cs="Times New Roman"/>
                <w:b/>
                <w:bCs w:val="0"/>
                <w:kern w:val="2"/>
                <w:sz w:val="24"/>
                <w:szCs w:val="24"/>
                <w:lang w:val="en-US" w:eastAsia="zh-CN" w:bidi="ar-SA"/>
              </w:rPr>
              <w:t>施工期工艺流程</w:t>
            </w:r>
          </w:p>
          <w:p w14:paraId="44568A63">
            <w:pPr>
              <w:numPr>
                <w:ilvl w:val="0"/>
                <w:numId w:val="0"/>
              </w:numPr>
              <w:adjustRightInd w:val="0"/>
              <w:snapToGrid w:val="0"/>
              <w:spacing w:line="360" w:lineRule="auto"/>
              <w:ind w:firstLine="480" w:firstLineChars="200"/>
              <w:rPr>
                <w:rFonts w:hint="default" w:ascii="Times New Roman" w:hAnsi="Times New Roman" w:eastAsia="宋体" w:cs="Times New Roman"/>
                <w:bCs/>
                <w:kern w:val="2"/>
                <w:sz w:val="24"/>
                <w:szCs w:val="24"/>
                <w:lang w:val="en-US" w:eastAsia="zh-CN" w:bidi="ar-SA"/>
              </w:rPr>
            </w:pPr>
            <w:r>
              <w:rPr>
                <w:rFonts w:hint="default" w:ascii="Times New Roman" w:hAnsi="Times New Roman" w:eastAsia="宋体" w:cs="Times New Roman"/>
                <w:bCs/>
                <w:kern w:val="2"/>
                <w:sz w:val="24"/>
                <w:szCs w:val="24"/>
                <w:lang w:val="en-US" w:eastAsia="zh-CN" w:bidi="ar-SA"/>
              </w:rPr>
              <w:t>经现场调查，</w:t>
            </w:r>
            <w:r>
              <w:rPr>
                <w:rFonts w:hint="eastAsia" w:ascii="Times New Roman" w:hAnsi="Times New Roman" w:eastAsia="宋体" w:cs="Times New Roman"/>
                <w:bCs/>
                <w:kern w:val="2"/>
                <w:sz w:val="24"/>
                <w:szCs w:val="24"/>
                <w:lang w:val="en-US" w:eastAsia="zh-CN" w:bidi="ar-SA"/>
              </w:rPr>
              <w:t>厂区</w:t>
            </w:r>
            <w:r>
              <w:rPr>
                <w:rFonts w:hint="eastAsia" w:cs="Times New Roman"/>
                <w:bCs/>
                <w:kern w:val="2"/>
                <w:sz w:val="24"/>
                <w:szCs w:val="24"/>
                <w:lang w:val="en-US" w:eastAsia="zh-CN" w:bidi="ar-SA"/>
              </w:rPr>
              <w:t>现建设有</w:t>
            </w:r>
            <w:r>
              <w:rPr>
                <w:rFonts w:hint="default" w:ascii="Times New Roman" w:hAnsi="Times New Roman" w:eastAsia="宋体" w:cs="Times New Roman"/>
                <w:bCs/>
                <w:kern w:val="2"/>
                <w:sz w:val="24"/>
                <w:szCs w:val="24"/>
                <w:lang w:val="en-US" w:eastAsia="zh-CN" w:bidi="ar-SA"/>
              </w:rPr>
              <w:t>成品库、办公</w:t>
            </w:r>
            <w:r>
              <w:rPr>
                <w:rFonts w:hint="eastAsia" w:ascii="Times New Roman" w:hAnsi="Times New Roman" w:eastAsia="宋体" w:cs="Times New Roman"/>
                <w:bCs/>
                <w:kern w:val="2"/>
                <w:sz w:val="24"/>
                <w:szCs w:val="24"/>
                <w:lang w:val="en-US" w:eastAsia="zh-CN" w:bidi="ar-SA"/>
              </w:rPr>
              <w:t>生活</w:t>
            </w:r>
            <w:r>
              <w:rPr>
                <w:rFonts w:hint="eastAsia" w:cs="Times New Roman"/>
                <w:bCs/>
                <w:kern w:val="2"/>
                <w:sz w:val="24"/>
                <w:szCs w:val="24"/>
                <w:lang w:val="en-US" w:eastAsia="zh-CN" w:bidi="ar-SA"/>
              </w:rPr>
              <w:t>房。本次项目</w:t>
            </w:r>
            <w:r>
              <w:rPr>
                <w:rFonts w:hint="default" w:ascii="Times New Roman" w:hAnsi="Times New Roman" w:eastAsia="宋体" w:cs="Times New Roman"/>
                <w:bCs/>
                <w:kern w:val="2"/>
                <w:sz w:val="24"/>
                <w:szCs w:val="24"/>
                <w:lang w:val="en-US" w:eastAsia="zh-CN" w:bidi="ar-SA"/>
              </w:rPr>
              <w:t>成品库、办公</w:t>
            </w:r>
            <w:r>
              <w:rPr>
                <w:rFonts w:hint="eastAsia" w:ascii="Times New Roman" w:hAnsi="Times New Roman" w:eastAsia="宋体" w:cs="Times New Roman"/>
                <w:bCs/>
                <w:kern w:val="2"/>
                <w:sz w:val="24"/>
                <w:szCs w:val="24"/>
                <w:lang w:val="en-US" w:eastAsia="zh-CN" w:bidi="ar-SA"/>
              </w:rPr>
              <w:t>生活</w:t>
            </w:r>
            <w:r>
              <w:rPr>
                <w:rFonts w:hint="eastAsia" w:cs="Times New Roman"/>
                <w:bCs/>
                <w:kern w:val="2"/>
                <w:sz w:val="24"/>
                <w:szCs w:val="24"/>
                <w:lang w:val="en-US" w:eastAsia="zh-CN" w:bidi="ar-SA"/>
              </w:rPr>
              <w:t>房</w:t>
            </w:r>
            <w:r>
              <w:rPr>
                <w:rFonts w:hint="default" w:ascii="Times New Roman" w:hAnsi="Times New Roman" w:eastAsia="宋体" w:cs="Times New Roman"/>
                <w:bCs/>
                <w:kern w:val="2"/>
                <w:sz w:val="24"/>
                <w:szCs w:val="24"/>
                <w:lang w:val="en-US" w:eastAsia="zh-CN" w:bidi="ar-SA"/>
              </w:rPr>
              <w:t>依托</w:t>
            </w:r>
            <w:r>
              <w:rPr>
                <w:rFonts w:hint="eastAsia" w:cs="Times New Roman"/>
                <w:bCs/>
                <w:kern w:val="2"/>
                <w:sz w:val="24"/>
                <w:szCs w:val="24"/>
                <w:lang w:val="en-US" w:eastAsia="zh-CN" w:bidi="ar-SA"/>
              </w:rPr>
              <w:t>已</w:t>
            </w:r>
            <w:r>
              <w:rPr>
                <w:rFonts w:hint="default" w:ascii="Times New Roman" w:hAnsi="Times New Roman" w:eastAsia="宋体" w:cs="Times New Roman"/>
                <w:bCs/>
                <w:kern w:val="2"/>
                <w:sz w:val="24"/>
                <w:szCs w:val="24"/>
                <w:lang w:val="en-US" w:eastAsia="zh-CN" w:bidi="ar-SA"/>
              </w:rPr>
              <w:t>建成</w:t>
            </w:r>
            <w:r>
              <w:rPr>
                <w:rFonts w:hint="eastAsia" w:cs="Times New Roman"/>
                <w:bCs/>
                <w:kern w:val="2"/>
                <w:sz w:val="24"/>
                <w:szCs w:val="24"/>
                <w:lang w:val="en-US" w:eastAsia="zh-CN" w:bidi="ar-SA"/>
              </w:rPr>
              <w:t>建筑物</w:t>
            </w:r>
            <w:r>
              <w:rPr>
                <w:rFonts w:hint="default" w:ascii="Times New Roman" w:hAnsi="Times New Roman" w:eastAsia="宋体" w:cs="Times New Roman"/>
                <w:bCs/>
                <w:kern w:val="2"/>
                <w:sz w:val="24"/>
                <w:szCs w:val="24"/>
                <w:lang w:val="en-US" w:eastAsia="zh-CN" w:bidi="ar-SA"/>
              </w:rPr>
              <w:t>，施工期需新建生产厂房、原料库等工程。项目施工期先进行场地清理硬化，同时新建生产厂房、原料厂房以及配套设施等工程。项目设备设施安装完毕后对施工时剩余的建筑材料进行清理分类收集。项目施工期主要流程及产污环节见下图。</w:t>
            </w:r>
          </w:p>
          <w:p w14:paraId="6FADDA25">
            <w:pPr>
              <w:pStyle w:val="40"/>
              <w:ind w:left="0" w:leftChars="0" w:firstLine="0" w:firstLineChars="0"/>
              <w:jc w:val="center"/>
              <w:rPr>
                <w:rFonts w:hint="default" w:ascii="Times New Roman" w:hAnsi="Times New Roman" w:cs="Times New Roman"/>
              </w:rPr>
            </w:pPr>
            <w:r>
              <w:rPr>
                <w:rFonts w:hint="default" w:ascii="Times New Roman" w:hAnsi="Times New Roman" w:cs="Times New Roman"/>
                <w:sz w:val="24"/>
                <w:szCs w:val="24"/>
              </w:rPr>
              <w:object>
                <v:shape id="_x0000_i1026" o:spt="75" type="#_x0000_t75" style="height:93.75pt;width:372.8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14:paraId="55809198">
            <w:pPr>
              <w:spacing w:line="360" w:lineRule="auto"/>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 xml:space="preserve">图2-2  </w:t>
            </w:r>
            <w:r>
              <w:rPr>
                <w:rFonts w:hint="default" w:ascii="Times New Roman" w:hAnsi="Times New Roman" w:eastAsia="宋体" w:cs="Times New Roman"/>
                <w:b/>
                <w:bCs/>
                <w:color w:val="auto"/>
                <w:highlight w:val="none"/>
              </w:rPr>
              <w:t>项目施工期主要流程及产污环节</w:t>
            </w:r>
            <w:r>
              <w:rPr>
                <w:rFonts w:hint="eastAsia" w:cs="Times New Roman"/>
                <w:b/>
                <w:bCs/>
                <w:color w:val="auto"/>
                <w:highlight w:val="none"/>
                <w:lang w:val="en-US" w:eastAsia="zh-CN"/>
              </w:rPr>
              <w:t>图</w:t>
            </w:r>
          </w:p>
          <w:p w14:paraId="06D77ACB">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w:t>
            </w:r>
            <w:r>
              <w:rPr>
                <w:rFonts w:hint="default" w:ascii="Times New Roman" w:hAnsi="Times New Roman" w:cs="Times New Roman"/>
                <w:b/>
                <w:sz w:val="24"/>
                <w:lang w:val="en-US" w:eastAsia="zh-CN"/>
              </w:rPr>
              <w:t>施工期</w:t>
            </w:r>
            <w:r>
              <w:rPr>
                <w:rFonts w:hint="default" w:ascii="Times New Roman" w:hAnsi="Times New Roman" w:cs="Times New Roman"/>
                <w:b/>
                <w:sz w:val="24"/>
              </w:rPr>
              <w:t>主要产排污环节</w:t>
            </w:r>
          </w:p>
          <w:p w14:paraId="6832116B">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（1）废气</w:t>
            </w:r>
          </w:p>
          <w:p w14:paraId="00BB6947">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施工期大气污染物主要包括扬尘、焊接烟尘、燃油机械及运输车辆尾气。</w:t>
            </w:r>
          </w:p>
          <w:p w14:paraId="4CBD52C6">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sz w:val="24"/>
              </w:rPr>
              <w:t>（2）废水</w:t>
            </w:r>
          </w:p>
          <w:p w14:paraId="1FDD8D6E">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sz w:val="24"/>
              </w:rPr>
              <w:t>本项目施工产生废水为施工人员生活污水以及施工过</w:t>
            </w:r>
            <w:r>
              <w:rPr>
                <w:rFonts w:hint="eastAsia" w:cs="Times New Roman"/>
                <w:sz w:val="24"/>
                <w:lang w:eastAsia="zh-CN"/>
              </w:rPr>
              <w:t>程中</w:t>
            </w:r>
            <w:r>
              <w:rPr>
                <w:rFonts w:hint="default" w:ascii="Times New Roman" w:hAnsi="Times New Roman" w:cs="Times New Roman"/>
                <w:sz w:val="24"/>
              </w:rPr>
              <w:t>产生的生产废水。</w:t>
            </w:r>
          </w:p>
          <w:p w14:paraId="20ECE1DC">
            <w:pPr>
              <w:tabs>
                <w:tab w:val="left" w:pos="2220"/>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（3）噪声</w:t>
            </w:r>
          </w:p>
          <w:p w14:paraId="17781EBF">
            <w:pPr>
              <w:tabs>
                <w:tab w:val="left" w:pos="2220"/>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施工噪声</w:t>
            </w:r>
            <w:r>
              <w:rPr>
                <w:rFonts w:hint="eastAsia" w:cs="Times New Roman"/>
                <w:sz w:val="24"/>
                <w:lang w:eastAsia="zh-CN"/>
              </w:rPr>
              <w:t>主要</w:t>
            </w:r>
            <w:r>
              <w:rPr>
                <w:rFonts w:hint="default" w:ascii="Times New Roman" w:hAnsi="Times New Roman" w:cs="Times New Roman"/>
                <w:sz w:val="24"/>
              </w:rPr>
              <w:t>来源于施工设备、运输车辆等。</w:t>
            </w:r>
          </w:p>
          <w:p w14:paraId="5719CF7D">
            <w:pPr>
              <w:tabs>
                <w:tab w:val="left" w:pos="2220"/>
              </w:tabs>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（4）固体废物</w:t>
            </w:r>
          </w:p>
          <w:p w14:paraId="3538D6DE">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施工过</w:t>
            </w:r>
            <w:r>
              <w:rPr>
                <w:rFonts w:hint="eastAsia" w:cs="Times New Roman"/>
                <w:sz w:val="24"/>
                <w:lang w:eastAsia="zh-CN"/>
              </w:rPr>
              <w:t>程中</w:t>
            </w:r>
            <w:r>
              <w:rPr>
                <w:rFonts w:hint="default" w:ascii="Times New Roman" w:hAnsi="Times New Roman" w:cs="Times New Roman"/>
                <w:sz w:val="24"/>
              </w:rPr>
              <w:t>产生的固体废物包括土石方、建筑垃圾以及施工人员的生活垃圾。</w:t>
            </w:r>
          </w:p>
          <w:p w14:paraId="2AC202C9">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（二）运营期工艺流程及产污环节</w:t>
            </w:r>
          </w:p>
          <w:p w14:paraId="57C6557D">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1、工艺流程及产污环节</w:t>
            </w:r>
          </w:p>
          <w:p w14:paraId="2BA924F5">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运营期工艺流程及产污环节图如下：</w:t>
            </w:r>
          </w:p>
          <w:p w14:paraId="21FDDD06">
            <w:pPr>
              <w:pStyle w:val="46"/>
              <w:jc w:val="center"/>
              <w:rPr>
                <w:rFonts w:hint="default" w:ascii="Times New Roman" w:hAnsi="Times New Roman" w:cs="Times New Roman"/>
              </w:rPr>
            </w:pPr>
            <w:r>
              <w:rPr>
                <w:rFonts w:hint="default" w:ascii="Times New Roman" w:hAnsi="Times New Roman" w:cs="Times New Roman"/>
              </w:rPr>
              <w:object>
                <v:shape id="_x0000_i1027" o:spt="75" type="#_x0000_t75" style="height:174.6pt;width:391.8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14:paraId="14C1BD7A">
            <w:pPr>
              <w:pStyle w:val="46"/>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图2-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项目砂石骨料生产线</w:t>
            </w:r>
            <w:r>
              <w:rPr>
                <w:rFonts w:hint="default" w:ascii="Times New Roman" w:hAnsi="Times New Roman" w:cs="Times New Roman"/>
                <w:b/>
                <w:bCs/>
                <w:color w:val="auto"/>
                <w:sz w:val="21"/>
                <w:szCs w:val="21"/>
                <w:highlight w:val="none"/>
              </w:rPr>
              <w:t>工艺流程及产污环节图</w:t>
            </w:r>
          </w:p>
          <w:p w14:paraId="0E1FFE33">
            <w:pPr>
              <w:pStyle w:val="46"/>
              <w:jc w:val="center"/>
              <w:rPr>
                <w:rFonts w:hint="default" w:ascii="Times New Roman" w:hAnsi="Times New Roman" w:cs="Times New Roman"/>
                <w:b/>
                <w:bCs/>
                <w:color w:val="auto"/>
                <w:sz w:val="21"/>
                <w:szCs w:val="21"/>
                <w:highlight w:val="none"/>
              </w:rPr>
            </w:pPr>
          </w:p>
          <w:p w14:paraId="75D63BA1">
            <w:pPr>
              <w:pStyle w:val="41"/>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8" o:spt="75" type="#_x0000_t75" style="height:195.95pt;width:371.75pt;" o:ole="t" filled="f" o:preferrelative="t" stroked="f" coordsize="21600,21600">
                  <v:path/>
                  <v:fill on="f" focussize="0,0"/>
                  <v:stroke on="f"/>
                  <v:imagedata r:id="rId16" cropright="6560f" o:title=""/>
                  <o:lock v:ext="edit" aspectratio="f"/>
                  <w10:wrap type="none"/>
                  <w10:anchorlock/>
                </v:shape>
                <o:OLEObject Type="Embed" ProgID="Visio.Drawing.11" ShapeID="_x0000_i1028" DrawAspect="Content" ObjectID="_1468075728" r:id="rId15">
                  <o:LockedField>false</o:LockedField>
                </o:OLEObject>
              </w:object>
            </w:r>
          </w:p>
          <w:p w14:paraId="401FD9FB">
            <w:pPr>
              <w:pStyle w:val="46"/>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bCs/>
                <w:color w:val="auto"/>
                <w:sz w:val="21"/>
                <w:szCs w:val="21"/>
                <w:highlight w:val="none"/>
              </w:rPr>
              <w:t>图2-</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项目彩砂、改性粉体及砂浆生产线</w:t>
            </w:r>
            <w:r>
              <w:rPr>
                <w:rFonts w:hint="default" w:ascii="Times New Roman" w:hAnsi="Times New Roman" w:cs="Times New Roman"/>
                <w:b/>
                <w:bCs/>
                <w:color w:val="auto"/>
                <w:sz w:val="21"/>
                <w:szCs w:val="21"/>
                <w:highlight w:val="none"/>
              </w:rPr>
              <w:t>工艺流程及产污环节图</w:t>
            </w:r>
          </w:p>
          <w:p w14:paraId="4454130C">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工艺流程简述：</w:t>
            </w:r>
          </w:p>
          <w:p w14:paraId="4DEF9A5B">
            <w:pPr>
              <w:pStyle w:val="110"/>
              <w:adjustRightInd w:val="0"/>
              <w:snapToGrid w:val="0"/>
              <w:spacing w:line="360" w:lineRule="auto"/>
              <w:ind w:right="89"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（1）砂石骨料生产线</w:t>
            </w:r>
          </w:p>
          <w:p w14:paraId="08FA1D26">
            <w:pPr>
              <w:pStyle w:val="110"/>
              <w:adjustRightInd w:val="0"/>
              <w:snapToGrid w:val="0"/>
              <w:spacing w:line="360" w:lineRule="auto"/>
              <w:ind w:right="89" w:firstLine="482" w:firstLineChars="200"/>
              <w:rPr>
                <w:rFonts w:hint="default" w:ascii="Times New Roman" w:hAnsi="Times New Roman" w:cs="Times New Roman"/>
                <w:sz w:val="24"/>
                <w:szCs w:val="24"/>
                <w:highlight w:val="none"/>
              </w:rPr>
            </w:pPr>
            <w:r>
              <w:rPr>
                <w:rFonts w:hint="eastAsia" w:ascii="Times New Roman" w:hAnsi="Times New Roman" w:cs="Times New Roman"/>
                <w:b/>
                <w:bCs/>
                <w:sz w:val="24"/>
                <w:szCs w:val="24"/>
                <w:highlight w:val="none"/>
                <w:lang w:val="en-US" w:eastAsia="zh-CN"/>
              </w:rPr>
              <w:t>a）</w:t>
            </w:r>
            <w:r>
              <w:rPr>
                <w:rFonts w:hint="default" w:ascii="Times New Roman" w:hAnsi="Times New Roman" w:cs="Times New Roman"/>
                <w:b/>
                <w:bCs/>
                <w:sz w:val="24"/>
                <w:szCs w:val="24"/>
                <w:highlight w:val="none"/>
              </w:rPr>
              <w:t>给料</w:t>
            </w:r>
            <w:r>
              <w:rPr>
                <w:rFonts w:hint="default" w:ascii="Times New Roman" w:hAnsi="Times New Roman" w:cs="Times New Roman"/>
                <w:b/>
                <w:bCs/>
                <w:sz w:val="24"/>
                <w:szCs w:val="24"/>
                <w:highlight w:val="none"/>
                <w:lang w:eastAsia="zh-CN"/>
              </w:rPr>
              <w:t>、</w:t>
            </w:r>
            <w:r>
              <w:rPr>
                <w:rFonts w:hint="default" w:ascii="Times New Roman" w:hAnsi="Times New Roman" w:cs="Times New Roman"/>
                <w:b/>
                <w:bCs/>
                <w:sz w:val="24"/>
                <w:szCs w:val="24"/>
                <w:highlight w:val="none"/>
              </w:rPr>
              <w:t>破碎筛分：</w:t>
            </w:r>
            <w:r>
              <w:rPr>
                <w:rFonts w:hint="default" w:ascii="Times New Roman" w:hAnsi="Times New Roman" w:cs="Times New Roman"/>
                <w:b w:val="0"/>
                <w:bCs w:val="0"/>
                <w:sz w:val="24"/>
                <w:szCs w:val="24"/>
                <w:highlight w:val="none"/>
                <w:lang w:val="en-US" w:eastAsia="zh-CN"/>
              </w:rPr>
              <w:t>矿山废渣</w:t>
            </w:r>
            <w:r>
              <w:rPr>
                <w:rFonts w:hint="default" w:ascii="Times New Roman" w:hAnsi="Times New Roman" w:cs="Times New Roman"/>
                <w:sz w:val="24"/>
                <w:szCs w:val="24"/>
                <w:highlight w:val="none"/>
                <w:lang w:val="en-US" w:eastAsia="zh-CN"/>
              </w:rPr>
              <w:t>等原料</w:t>
            </w:r>
            <w:r>
              <w:rPr>
                <w:rFonts w:hint="default" w:ascii="Times New Roman" w:hAnsi="Times New Roman" w:cs="Times New Roman"/>
                <w:sz w:val="24"/>
                <w:szCs w:val="24"/>
                <w:highlight w:val="none"/>
              </w:rPr>
              <w:t>通过铲车卸料至</w:t>
            </w:r>
            <w:r>
              <w:rPr>
                <w:rFonts w:hint="default" w:ascii="Times New Roman" w:hAnsi="Times New Roman" w:cs="Times New Roman"/>
                <w:sz w:val="24"/>
                <w:szCs w:val="24"/>
                <w:highlight w:val="none"/>
                <w:lang w:val="en-US" w:eastAsia="zh-CN"/>
              </w:rPr>
              <w:t>给料</w:t>
            </w:r>
            <w:r>
              <w:rPr>
                <w:rFonts w:hint="default" w:ascii="Times New Roman" w:hAnsi="Times New Roman" w:cs="Times New Roman"/>
                <w:sz w:val="24"/>
                <w:szCs w:val="24"/>
                <w:highlight w:val="none"/>
              </w:rPr>
              <w:t>机中，经皮带输送机运输至颚破机中进行</w:t>
            </w:r>
            <w:r>
              <w:rPr>
                <w:rFonts w:hint="default" w:ascii="Times New Roman" w:hAnsi="Times New Roman" w:cs="Times New Roman"/>
                <w:sz w:val="24"/>
                <w:szCs w:val="24"/>
                <w:highlight w:val="none"/>
                <w:lang w:val="en-US" w:eastAsia="zh-CN"/>
              </w:rPr>
              <w:t>粗破</w:t>
            </w:r>
            <w:r>
              <w:rPr>
                <w:rFonts w:hint="default" w:ascii="Times New Roman" w:hAnsi="Times New Roman" w:cs="Times New Roman"/>
                <w:sz w:val="24"/>
                <w:szCs w:val="24"/>
                <w:highlight w:val="none"/>
              </w:rPr>
              <w:t>。此工序会产生少量上料粉尘和设备噪声。砂石原料</w:t>
            </w:r>
            <w:r>
              <w:rPr>
                <w:rFonts w:hint="default" w:ascii="Times New Roman" w:hAnsi="Times New Roman" w:cs="Times New Roman"/>
                <w:sz w:val="24"/>
                <w:szCs w:val="24"/>
                <w:highlight w:val="none"/>
                <w:lang w:val="en-US" w:eastAsia="zh-CN"/>
              </w:rPr>
              <w:t>依次</w:t>
            </w:r>
            <w:r>
              <w:rPr>
                <w:rFonts w:hint="default" w:ascii="Times New Roman" w:hAnsi="Times New Roman" w:cs="Times New Roman"/>
                <w:sz w:val="24"/>
                <w:szCs w:val="24"/>
                <w:highlight w:val="none"/>
              </w:rPr>
              <w:t>进入颚破机</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筛分机，经筛分后粒径≥30</w:t>
            </w:r>
            <w:r>
              <w:rPr>
                <w:rFonts w:hint="default" w:ascii="Times New Roman" w:hAnsi="Times New Roman" w:cs="Times New Roman"/>
                <w:sz w:val="24"/>
                <w:szCs w:val="24"/>
                <w:highlight w:val="none"/>
              </w:rPr>
              <w:t xml:space="preserve"> mm的石子</w:t>
            </w:r>
            <w:r>
              <w:rPr>
                <w:rFonts w:hint="default" w:ascii="Times New Roman" w:hAnsi="Times New Roman" w:cs="Times New Roman"/>
                <w:sz w:val="24"/>
                <w:szCs w:val="24"/>
                <w:highlight w:val="none"/>
                <w:lang w:val="en-US" w:eastAsia="zh-CN"/>
              </w:rPr>
              <w:t>进入</w:t>
            </w:r>
            <w:r>
              <w:rPr>
                <w:rFonts w:hint="default" w:ascii="Times New Roman" w:hAnsi="Times New Roman" w:cs="Times New Roman"/>
                <w:sz w:val="24"/>
                <w:szCs w:val="24"/>
                <w:highlight w:val="none"/>
              </w:rPr>
              <w:t>圆锥破碎机中再次进行破碎加工</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粒径＜30</w:t>
            </w:r>
            <w:r>
              <w:rPr>
                <w:rFonts w:hint="default" w:ascii="Times New Roman" w:hAnsi="Times New Roman" w:cs="Times New Roman"/>
                <w:sz w:val="24"/>
                <w:szCs w:val="24"/>
                <w:highlight w:val="none"/>
              </w:rPr>
              <w:t xml:space="preserve"> mm砂</w:t>
            </w:r>
            <w:r>
              <w:rPr>
                <w:rFonts w:hint="default" w:ascii="Times New Roman" w:hAnsi="Times New Roman" w:cs="Times New Roman"/>
                <w:sz w:val="24"/>
                <w:szCs w:val="24"/>
                <w:highlight w:val="none"/>
                <w:lang w:val="en-US" w:eastAsia="zh-CN"/>
              </w:rPr>
              <w:t>石</w:t>
            </w:r>
            <w:r>
              <w:rPr>
                <w:rFonts w:hint="default" w:ascii="Times New Roman" w:hAnsi="Times New Roman" w:cs="Times New Roman"/>
                <w:sz w:val="24"/>
                <w:szCs w:val="24"/>
                <w:highlight w:val="none"/>
              </w:rPr>
              <w:t>料在</w:t>
            </w:r>
            <w:r>
              <w:rPr>
                <w:rFonts w:hint="default" w:ascii="Times New Roman" w:hAnsi="Times New Roman" w:cs="Times New Roman"/>
                <w:sz w:val="24"/>
                <w:szCs w:val="24"/>
                <w:highlight w:val="none"/>
                <w:lang w:val="en-US" w:eastAsia="zh-CN"/>
              </w:rPr>
              <w:t>分级</w:t>
            </w:r>
            <w:r>
              <w:rPr>
                <w:rFonts w:hint="default" w:ascii="Times New Roman" w:hAnsi="Times New Roman" w:cs="Times New Roman"/>
                <w:sz w:val="24"/>
                <w:szCs w:val="24"/>
                <w:highlight w:val="none"/>
              </w:rPr>
              <w:t>筛中多次通过均匀布孔的振动筛面，将颗粒大小不同的碎散物料筛分出来。</w:t>
            </w:r>
            <w:r>
              <w:rPr>
                <w:rFonts w:hint="default" w:ascii="Times New Roman" w:hAnsi="Times New Roman" w:cs="Times New Roman"/>
                <w:sz w:val="24"/>
                <w:szCs w:val="24"/>
                <w:highlight w:val="none"/>
                <w:lang w:val="en-US" w:eastAsia="zh-CN"/>
              </w:rPr>
              <w:t>粒径</w:t>
            </w:r>
            <w:r>
              <w:rPr>
                <w:rFonts w:hint="default" w:ascii="Times New Roman" w:hAnsi="Times New Roman" w:cs="Times New Roman"/>
                <w:sz w:val="24"/>
                <w:szCs w:val="24"/>
                <w:highlight w:val="none"/>
              </w:rPr>
              <w:t>在1</w:t>
            </w:r>
            <w:r>
              <w:rPr>
                <w:rFonts w:hint="default" w:ascii="Times New Roman" w:hAnsi="Times New Roman" w:cs="Times New Roman"/>
                <w:sz w:val="24"/>
                <w:szCs w:val="24"/>
                <w:highlight w:val="none"/>
                <w:lang w:val="en-US" w:eastAsia="zh-CN"/>
              </w:rPr>
              <w:t>0</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0 mm</w:t>
            </w:r>
            <w:r>
              <w:rPr>
                <w:rFonts w:hint="default" w:ascii="Times New Roman" w:hAnsi="Times New Roman" w:cs="Times New Roman"/>
                <w:sz w:val="24"/>
                <w:szCs w:val="24"/>
                <w:highlight w:val="none"/>
                <w:lang w:val="en-US" w:eastAsia="zh-CN"/>
              </w:rPr>
              <w:t>及粒径5</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 mm的石子筛选出来</w:t>
            </w:r>
            <w:r>
              <w:rPr>
                <w:rFonts w:hint="default" w:ascii="Times New Roman" w:hAnsi="Times New Roman" w:cs="Times New Roman"/>
                <w:sz w:val="24"/>
                <w:szCs w:val="24"/>
                <w:highlight w:val="none"/>
                <w:lang w:val="en-US" w:eastAsia="zh-CN"/>
              </w:rPr>
              <w:t>通过输送带传送至相应</w:t>
            </w:r>
            <w:r>
              <w:rPr>
                <w:rFonts w:hint="default" w:ascii="Times New Roman" w:hAnsi="Times New Roman" w:cs="Times New Roman"/>
                <w:sz w:val="24"/>
                <w:szCs w:val="24"/>
                <w:highlight w:val="none"/>
              </w:rPr>
              <w:t>成品</w:t>
            </w:r>
            <w:r>
              <w:rPr>
                <w:rFonts w:hint="default" w:ascii="Times New Roman" w:hAnsi="Times New Roman" w:cs="Times New Roman"/>
                <w:sz w:val="24"/>
                <w:szCs w:val="24"/>
                <w:highlight w:val="none"/>
                <w:lang w:val="en-US" w:eastAsia="zh-CN"/>
              </w:rPr>
              <w:t>库房</w:t>
            </w:r>
            <w:r>
              <w:rPr>
                <w:rFonts w:hint="default" w:ascii="Times New Roman" w:hAnsi="Times New Roman" w:cs="Times New Roman"/>
                <w:sz w:val="24"/>
                <w:szCs w:val="24"/>
                <w:highlight w:val="none"/>
              </w:rPr>
              <w:t>暂存外售。</w:t>
            </w:r>
            <w:r>
              <w:rPr>
                <w:rFonts w:hint="default" w:ascii="Times New Roman" w:hAnsi="Times New Roman" w:cs="Times New Roman"/>
                <w:sz w:val="24"/>
                <w:szCs w:val="24"/>
                <w:highlight w:val="none"/>
                <w:lang w:val="en-US" w:eastAsia="zh-CN"/>
              </w:rPr>
              <w:t>粒径在</w:t>
            </w:r>
            <w:r>
              <w:rPr>
                <w:rFonts w:hint="default" w:ascii="Times New Roman" w:hAnsi="Times New Roman" w:cs="Times New Roman"/>
                <w:sz w:val="24"/>
                <w:szCs w:val="24"/>
                <w:highlight w:val="none"/>
              </w:rPr>
              <w:t>0~5 mm的</w:t>
            </w:r>
            <w:r>
              <w:rPr>
                <w:rFonts w:hint="default" w:ascii="Times New Roman" w:hAnsi="Times New Roman" w:cs="Times New Roman"/>
                <w:sz w:val="24"/>
                <w:szCs w:val="24"/>
                <w:highlight w:val="none"/>
                <w:lang w:val="en-US" w:eastAsia="zh-CN"/>
              </w:rPr>
              <w:t>砂</w:t>
            </w:r>
            <w:r>
              <w:rPr>
                <w:rFonts w:hint="default" w:ascii="Times New Roman" w:hAnsi="Times New Roman" w:cs="Times New Roman"/>
                <w:sz w:val="24"/>
                <w:szCs w:val="24"/>
                <w:highlight w:val="none"/>
              </w:rPr>
              <w:t>石</w:t>
            </w:r>
            <w:r>
              <w:rPr>
                <w:rFonts w:hint="default" w:ascii="Times New Roman" w:hAnsi="Times New Roman" w:cs="Times New Roman"/>
                <w:sz w:val="24"/>
                <w:szCs w:val="24"/>
                <w:highlight w:val="none"/>
                <w:lang w:val="en-US" w:eastAsia="zh-CN"/>
              </w:rPr>
              <w:t>进入制砂机进行细碎及整形，</w:t>
            </w:r>
            <w:r>
              <w:rPr>
                <w:rFonts w:hint="default" w:ascii="Times New Roman" w:hAnsi="Times New Roman" w:cs="Times New Roman"/>
                <w:sz w:val="24"/>
                <w:szCs w:val="24"/>
                <w:highlight w:val="none"/>
              </w:rPr>
              <w:t>出料后</w:t>
            </w:r>
            <w:r>
              <w:rPr>
                <w:rFonts w:hint="default" w:ascii="Times New Roman" w:hAnsi="Times New Roman" w:cs="Times New Roman"/>
                <w:sz w:val="24"/>
                <w:szCs w:val="24"/>
                <w:highlight w:val="none"/>
                <w:lang w:val="en-US" w:eastAsia="zh-CN"/>
              </w:rPr>
              <w:t>进入下一步加工工序</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此过程</w:t>
            </w:r>
            <w:r>
              <w:rPr>
                <w:rFonts w:hint="default" w:ascii="Times New Roman" w:hAnsi="Times New Roman" w:cs="Times New Roman"/>
                <w:sz w:val="24"/>
                <w:szCs w:val="24"/>
                <w:highlight w:val="none"/>
              </w:rPr>
              <w:t>会产生粉尘和设备噪声。</w:t>
            </w:r>
            <w:r>
              <w:rPr>
                <w:rFonts w:hint="default" w:ascii="Times New Roman" w:hAnsi="Times New Roman" w:cs="Times New Roman"/>
                <w:color w:val="auto"/>
                <w:sz w:val="24"/>
                <w:highlight w:val="none"/>
                <w:lang w:val="en-US" w:eastAsia="zh-CN"/>
              </w:rPr>
              <w:t>砂石骨料</w:t>
            </w:r>
            <w:r>
              <w:rPr>
                <w:rFonts w:hint="default" w:ascii="Times New Roman" w:hAnsi="Times New Roman" w:cs="Times New Roman"/>
                <w:color w:val="auto"/>
                <w:sz w:val="24"/>
                <w:highlight w:val="none"/>
              </w:rPr>
              <w:t>生产线各产尘点均布置有集气设施，</w:t>
            </w:r>
            <w:r>
              <w:rPr>
                <w:rFonts w:hint="default" w:ascii="Times New Roman" w:hAnsi="Times New Roman" w:cs="Times New Roman"/>
                <w:color w:val="auto"/>
                <w:sz w:val="24"/>
                <w:highlight w:val="none"/>
                <w:lang w:val="en-US" w:eastAsia="zh-CN"/>
              </w:rPr>
              <w:t>粉尘</w:t>
            </w:r>
            <w:r>
              <w:rPr>
                <w:rFonts w:hint="default" w:ascii="Times New Roman" w:hAnsi="Times New Roman" w:cs="Times New Roman"/>
                <w:color w:val="auto"/>
                <w:sz w:val="24"/>
                <w:highlight w:val="none"/>
              </w:rPr>
              <w:t>统一收集经车间中央布袋除尘器处理后通过1根1</w:t>
            </w:r>
            <w:r>
              <w:rPr>
                <w:rFonts w:hint="eastAsia" w:ascii="Times New Roman" w:hAnsi="Times New Roman" w:cs="Times New Roman"/>
                <w:color w:val="auto"/>
                <w:sz w:val="24"/>
                <w:highlight w:val="none"/>
                <w:lang w:val="en-US" w:eastAsia="zh-CN"/>
              </w:rPr>
              <w:t xml:space="preserve">7 </w:t>
            </w:r>
            <w:r>
              <w:rPr>
                <w:rFonts w:hint="default" w:ascii="Times New Roman" w:hAnsi="Times New Roman" w:cs="Times New Roman"/>
                <w:color w:val="auto"/>
                <w:sz w:val="24"/>
                <w:highlight w:val="none"/>
              </w:rPr>
              <w:t>m排气筒（DA</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00</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）排放。</w:t>
            </w:r>
          </w:p>
          <w:p w14:paraId="5D60B9B6">
            <w:pPr>
              <w:pStyle w:val="110"/>
              <w:adjustRightInd w:val="0"/>
              <w:snapToGrid w:val="0"/>
              <w:spacing w:line="360" w:lineRule="auto"/>
              <w:ind w:right="89" w:firstLine="482" w:firstLineChars="200"/>
              <w:rPr>
                <w:rFonts w:hint="default" w:ascii="Times New Roman" w:hAnsi="Times New Roman" w:cs="Times New Roman"/>
                <w:sz w:val="24"/>
                <w:szCs w:val="24"/>
                <w:highlight w:val="none"/>
                <w:lang w:eastAsia="zh-CN"/>
              </w:rPr>
            </w:pPr>
            <w:r>
              <w:rPr>
                <w:rFonts w:hint="default" w:ascii="Times New Roman" w:hAnsi="Times New Roman" w:cs="Times New Roman"/>
                <w:b/>
                <w:bCs/>
                <w:sz w:val="24"/>
                <w:szCs w:val="24"/>
                <w:highlight w:val="none"/>
                <w:lang w:val="en-US" w:eastAsia="zh-CN"/>
              </w:rPr>
              <w:t>b</w:t>
            </w:r>
            <w:r>
              <w:rPr>
                <w:rFonts w:hint="default" w:ascii="Times New Roman" w:hAnsi="Times New Roman" w:cs="Times New Roman"/>
                <w:b/>
                <w:bCs/>
                <w:sz w:val="24"/>
                <w:szCs w:val="24"/>
                <w:highlight w:val="none"/>
              </w:rPr>
              <w:t>）洗砂</w:t>
            </w:r>
            <w:r>
              <w:rPr>
                <w:rFonts w:hint="default" w:ascii="Times New Roman" w:hAnsi="Times New Roman" w:cs="Times New Roman"/>
                <w:b/>
                <w:bCs/>
                <w:sz w:val="24"/>
                <w:szCs w:val="24"/>
                <w:highlight w:val="none"/>
                <w:lang w:eastAsia="zh-CN"/>
              </w:rPr>
              <w:t>、</w:t>
            </w:r>
            <w:r>
              <w:rPr>
                <w:rFonts w:hint="default" w:ascii="Times New Roman" w:hAnsi="Times New Roman" w:cs="Times New Roman"/>
                <w:b/>
                <w:bCs/>
                <w:sz w:val="24"/>
                <w:szCs w:val="24"/>
                <w:highlight w:val="none"/>
                <w:lang w:val="en-US" w:eastAsia="zh-CN"/>
              </w:rPr>
              <w:t>尾砂回收</w:t>
            </w:r>
            <w:r>
              <w:rPr>
                <w:rFonts w:hint="default" w:ascii="Times New Roman" w:hAnsi="Times New Roman" w:cs="Times New Roman"/>
                <w:b/>
                <w:bCs/>
                <w:sz w:val="24"/>
                <w:szCs w:val="24"/>
                <w:highlight w:val="none"/>
              </w:rPr>
              <w:t>：</w:t>
            </w:r>
            <w:r>
              <w:rPr>
                <w:rFonts w:hint="default" w:ascii="Times New Roman" w:hAnsi="Times New Roman" w:cs="Times New Roman"/>
                <w:sz w:val="24"/>
                <w:szCs w:val="24"/>
                <w:highlight w:val="none"/>
                <w:lang w:val="en-US" w:eastAsia="zh-CN"/>
              </w:rPr>
              <w:t>粒径＜5</w:t>
            </w:r>
            <w:r>
              <w:rPr>
                <w:rFonts w:hint="default" w:ascii="Times New Roman" w:hAnsi="Times New Roman" w:cs="Times New Roman"/>
                <w:sz w:val="24"/>
                <w:szCs w:val="24"/>
                <w:highlight w:val="none"/>
              </w:rPr>
              <w:t xml:space="preserve"> mm的</w:t>
            </w:r>
            <w:r>
              <w:rPr>
                <w:rFonts w:hint="default" w:ascii="Times New Roman" w:hAnsi="Times New Roman" w:cs="Times New Roman"/>
                <w:sz w:val="24"/>
                <w:szCs w:val="24"/>
                <w:highlight w:val="none"/>
                <w:lang w:val="en-US" w:eastAsia="zh-CN"/>
              </w:rPr>
              <w:t>砂</w:t>
            </w:r>
            <w:r>
              <w:rPr>
                <w:rFonts w:hint="default" w:ascii="Times New Roman" w:hAnsi="Times New Roman" w:cs="Times New Roman"/>
                <w:sz w:val="24"/>
                <w:szCs w:val="24"/>
                <w:highlight w:val="none"/>
              </w:rPr>
              <w:t>料进入洗砂机内，在水力的作用下使砂粒中夹杂的泥土被冲洗掉。</w:t>
            </w:r>
            <w:r>
              <w:rPr>
                <w:rFonts w:hint="default" w:ascii="Times New Roman" w:hAnsi="Times New Roman" w:cs="Times New Roman"/>
                <w:sz w:val="24"/>
                <w:szCs w:val="24"/>
                <w:highlight w:val="none"/>
                <w:lang w:val="en-US" w:eastAsia="zh-CN"/>
              </w:rPr>
              <w:t>所得</w:t>
            </w:r>
            <w:r>
              <w:rPr>
                <w:rFonts w:hint="default" w:ascii="Times New Roman" w:hAnsi="Times New Roman" w:cs="Times New Roman"/>
                <w:sz w:val="24"/>
                <w:szCs w:val="24"/>
                <w:highlight w:val="none"/>
              </w:rPr>
              <w:t>细砂料</w:t>
            </w:r>
            <w:r>
              <w:rPr>
                <w:rFonts w:hint="default" w:ascii="Times New Roman" w:hAnsi="Times New Roman" w:cs="Times New Roman"/>
                <w:sz w:val="24"/>
                <w:szCs w:val="24"/>
                <w:highlight w:val="none"/>
                <w:lang w:val="en-US" w:eastAsia="zh-CN"/>
              </w:rPr>
              <w:t>及经尾砂回收一体机收集后的砂料通过输送带传送至相应</w:t>
            </w:r>
            <w:r>
              <w:rPr>
                <w:rFonts w:hint="default" w:ascii="Times New Roman" w:hAnsi="Times New Roman" w:cs="Times New Roman"/>
                <w:sz w:val="24"/>
                <w:szCs w:val="24"/>
                <w:highlight w:val="none"/>
              </w:rPr>
              <w:t>成品</w:t>
            </w:r>
            <w:r>
              <w:rPr>
                <w:rFonts w:hint="default" w:ascii="Times New Roman" w:hAnsi="Times New Roman" w:cs="Times New Roman"/>
                <w:sz w:val="24"/>
                <w:szCs w:val="24"/>
                <w:highlight w:val="none"/>
                <w:lang w:val="en-US" w:eastAsia="zh-CN"/>
              </w:rPr>
              <w:t>库房</w:t>
            </w:r>
            <w:r>
              <w:rPr>
                <w:rFonts w:hint="default" w:ascii="Times New Roman" w:hAnsi="Times New Roman" w:cs="Times New Roman"/>
                <w:sz w:val="24"/>
                <w:szCs w:val="24"/>
                <w:highlight w:val="none"/>
              </w:rPr>
              <w:t>暂存外售</w:t>
            </w:r>
            <w:r>
              <w:rPr>
                <w:rFonts w:hint="default" w:ascii="Times New Roman" w:hAnsi="Times New Roman" w:cs="Times New Roman"/>
                <w:sz w:val="24"/>
                <w:szCs w:val="24"/>
                <w:highlight w:val="none"/>
                <w:lang w:eastAsia="zh-CN"/>
              </w:rPr>
              <w:t>。</w:t>
            </w:r>
          </w:p>
          <w:p w14:paraId="0A9A98B8">
            <w:pPr>
              <w:pStyle w:val="110"/>
              <w:adjustRightInd w:val="0"/>
              <w:snapToGrid w:val="0"/>
              <w:spacing w:line="360" w:lineRule="auto"/>
              <w:ind w:right="89"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洗砂废水经混凝沉淀处理后</w:t>
            </w:r>
            <w:r>
              <w:rPr>
                <w:rFonts w:hint="default" w:ascii="Times New Roman" w:hAnsi="Times New Roman" w:cs="Times New Roman"/>
                <w:sz w:val="24"/>
                <w:szCs w:val="24"/>
                <w:highlight w:val="none"/>
                <w:lang w:val="en-US" w:eastAsia="zh-CN"/>
              </w:rPr>
              <w:t>清</w:t>
            </w:r>
            <w:r>
              <w:rPr>
                <w:rFonts w:hint="default" w:ascii="Times New Roman" w:hAnsi="Times New Roman" w:cs="Times New Roman"/>
                <w:sz w:val="24"/>
                <w:szCs w:val="24"/>
                <w:highlight w:val="none"/>
              </w:rPr>
              <w:t>水</w:t>
            </w:r>
            <w:r>
              <w:rPr>
                <w:rFonts w:hint="default" w:ascii="Times New Roman" w:hAnsi="Times New Roman" w:cs="Times New Roman"/>
                <w:sz w:val="24"/>
                <w:szCs w:val="24"/>
                <w:highlight w:val="none"/>
                <w:lang w:val="en-US" w:eastAsia="zh-CN"/>
              </w:rPr>
              <w:t>全部</w:t>
            </w:r>
            <w:r>
              <w:rPr>
                <w:rFonts w:hint="default" w:ascii="Times New Roman" w:hAnsi="Times New Roman" w:cs="Times New Roman"/>
                <w:sz w:val="24"/>
                <w:szCs w:val="24"/>
                <w:highlight w:val="none"/>
              </w:rPr>
              <w:t>回用至砂料清洗，沉淀池底泥经环保压滤机压制成泥饼，在厂内暂存区内暂存后外售。</w:t>
            </w:r>
          </w:p>
          <w:p w14:paraId="55FCBFC3">
            <w:pPr>
              <w:pStyle w:val="110"/>
              <w:adjustRightInd w:val="0"/>
              <w:snapToGrid w:val="0"/>
              <w:spacing w:line="360" w:lineRule="auto"/>
              <w:ind w:right="89"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（2）彩砂、改性粉体及砂浆生产线</w:t>
            </w:r>
          </w:p>
          <w:p w14:paraId="424FC01C">
            <w:pPr>
              <w:widowControl/>
              <w:adjustRightInd w:val="0"/>
              <w:snapToGrid w:val="0"/>
              <w:spacing w:line="360" w:lineRule="auto"/>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原料（白</w:t>
            </w:r>
            <w:r>
              <w:rPr>
                <w:rFonts w:hint="eastAsia" w:cs="Times New Roman"/>
                <w:color w:val="auto"/>
                <w:sz w:val="24"/>
                <w:highlight w:val="none"/>
                <w:lang w:val="en-US" w:eastAsia="zh-CN"/>
              </w:rPr>
              <w:t>云</w:t>
            </w:r>
            <w:r>
              <w:rPr>
                <w:rFonts w:hint="default" w:ascii="Times New Roman" w:hAnsi="Times New Roman" w:cs="Times New Roman"/>
                <w:color w:val="auto"/>
                <w:sz w:val="24"/>
                <w:highlight w:val="none"/>
              </w:rPr>
              <w:t>石）通过给料机运至颚破机进行</w:t>
            </w:r>
            <w:r>
              <w:rPr>
                <w:rFonts w:hint="eastAsia" w:cs="Times New Roman"/>
                <w:color w:val="auto"/>
                <w:sz w:val="24"/>
                <w:highlight w:val="none"/>
                <w:lang w:val="en-US" w:eastAsia="zh-CN"/>
              </w:rPr>
              <w:t>粗破</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而后进入锥破机进行细破，</w:t>
            </w:r>
            <w:r>
              <w:rPr>
                <w:rFonts w:hint="default" w:ascii="Times New Roman" w:hAnsi="Times New Roman" w:cs="Times New Roman"/>
                <w:color w:val="auto"/>
                <w:sz w:val="24"/>
                <w:highlight w:val="none"/>
              </w:rPr>
              <w:t>破碎后的物料通过输送皮带进入制砂机制砂，制砂完成后进入直线筛进行筛分。筛上物</w:t>
            </w:r>
            <w:r>
              <w:rPr>
                <w:rFonts w:hint="default" w:ascii="Times New Roman" w:hAnsi="Times New Roman" w:cs="Times New Roman"/>
                <w:color w:val="auto"/>
                <w:sz w:val="24"/>
                <w:highlight w:val="none"/>
                <w:lang w:val="en-US" w:eastAsia="zh-CN"/>
              </w:rPr>
              <w:t>即为彩砂成品。</w:t>
            </w:r>
            <w:r>
              <w:rPr>
                <w:rFonts w:hint="eastAsia" w:cs="Times New Roman"/>
                <w:color w:val="auto"/>
                <w:sz w:val="24"/>
                <w:highlight w:val="none"/>
                <w:lang w:val="en-US" w:eastAsia="zh-CN"/>
              </w:rPr>
              <w:t>彩砂需用水进行清洗，清洗后利用电烘干机进行烘干，烘干彩砂表面水分后自然冷却。烘干后的</w:t>
            </w:r>
            <w:r>
              <w:rPr>
                <w:rFonts w:hint="default" w:ascii="Times New Roman" w:hAnsi="Times New Roman" w:cs="Times New Roman"/>
                <w:color w:val="auto"/>
                <w:sz w:val="24"/>
                <w:highlight w:val="none"/>
                <w:lang w:val="en-US" w:eastAsia="zh-CN"/>
              </w:rPr>
              <w:t>彩砂</w:t>
            </w:r>
            <w:r>
              <w:rPr>
                <w:rFonts w:hint="default" w:ascii="Times New Roman" w:hAnsi="Times New Roman" w:cs="Times New Roman"/>
                <w:color w:val="auto"/>
                <w:sz w:val="24"/>
                <w:highlight w:val="none"/>
              </w:rPr>
              <w:t>分别与石膏粉及纤维素，水泥及纤维素，按照合理配比，通过搅拌、包装环节，</w:t>
            </w:r>
            <w:r>
              <w:rPr>
                <w:rFonts w:hint="default" w:ascii="Times New Roman" w:hAnsi="Times New Roman" w:cs="Times New Roman"/>
                <w:color w:val="auto"/>
                <w:sz w:val="24"/>
                <w:highlight w:val="none"/>
                <w:lang w:val="en-US" w:eastAsia="zh-CN"/>
              </w:rPr>
              <w:t>即可得到</w:t>
            </w:r>
            <w:r>
              <w:rPr>
                <w:rFonts w:hint="default" w:ascii="Times New Roman" w:hAnsi="Times New Roman" w:cs="Times New Roman"/>
                <w:color w:val="auto"/>
                <w:sz w:val="24"/>
                <w:highlight w:val="none"/>
              </w:rPr>
              <w:t>石膏粉、</w:t>
            </w:r>
            <w:r>
              <w:rPr>
                <w:rFonts w:hint="default" w:ascii="Times New Roman" w:hAnsi="Times New Roman" w:cs="Times New Roman"/>
                <w:color w:val="auto"/>
                <w:sz w:val="24"/>
                <w:highlight w:val="none"/>
                <w:lang w:val="en-US" w:eastAsia="zh-CN"/>
              </w:rPr>
              <w:t>干混</w:t>
            </w:r>
            <w:r>
              <w:rPr>
                <w:rFonts w:hint="default" w:ascii="Times New Roman" w:hAnsi="Times New Roman" w:cs="Times New Roman"/>
                <w:color w:val="auto"/>
                <w:sz w:val="24"/>
                <w:highlight w:val="none"/>
              </w:rPr>
              <w:t>砂浆</w:t>
            </w:r>
            <w:r>
              <w:rPr>
                <w:rFonts w:hint="eastAsia" w:cs="Times New Roman"/>
                <w:color w:val="auto"/>
                <w:sz w:val="24"/>
                <w:highlight w:val="none"/>
                <w:lang w:val="en-US" w:eastAsia="zh-CN"/>
              </w:rPr>
              <w:t>等</w:t>
            </w:r>
            <w:r>
              <w:rPr>
                <w:rFonts w:hint="default" w:ascii="Times New Roman" w:hAnsi="Times New Roman" w:cs="Times New Roman"/>
                <w:color w:val="auto"/>
                <w:sz w:val="24"/>
                <w:highlight w:val="none"/>
                <w:lang w:val="en-US" w:eastAsia="zh-CN"/>
              </w:rPr>
              <w:t>产品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筛下物进入雷蒙磨进行研磨，研磨后</w:t>
            </w:r>
            <w:r>
              <w:rPr>
                <w:rFonts w:hint="default" w:ascii="Times New Roman" w:hAnsi="Times New Roman" w:cs="Times New Roman"/>
                <w:color w:val="auto"/>
                <w:sz w:val="24"/>
                <w:highlight w:val="none"/>
                <w:lang w:val="en-US" w:eastAsia="zh-CN"/>
              </w:rPr>
              <w:t>即得到</w:t>
            </w:r>
            <w:r>
              <w:rPr>
                <w:rFonts w:hint="default" w:ascii="Times New Roman" w:hAnsi="Times New Roman" w:cs="Times New Roman"/>
                <w:color w:val="auto"/>
                <w:sz w:val="24"/>
                <w:highlight w:val="none"/>
              </w:rPr>
              <w:t>钙粉</w:t>
            </w:r>
            <w:r>
              <w:rPr>
                <w:rFonts w:hint="default" w:ascii="Times New Roman" w:hAnsi="Times New Roman" w:cs="Times New Roman"/>
                <w:color w:val="auto"/>
                <w:sz w:val="24"/>
                <w:highlight w:val="none"/>
                <w:lang w:val="en-US" w:eastAsia="zh-CN"/>
              </w:rPr>
              <w:t>。钙粉</w:t>
            </w:r>
            <w:r>
              <w:rPr>
                <w:rFonts w:hint="default" w:ascii="Times New Roman" w:hAnsi="Times New Roman" w:cs="Times New Roman"/>
                <w:color w:val="auto"/>
                <w:sz w:val="24"/>
                <w:highlight w:val="none"/>
              </w:rPr>
              <w:t>与纤维素按照合理配比，通过搅拌、包装环节，制成腻子粉，所有成品通过叉车均转运至成品区暂存。</w:t>
            </w:r>
          </w:p>
          <w:p w14:paraId="55F55FB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其中彩砂生产线各产尘点均布置有集气设施，统一收集经车间中央布袋除尘器处理后通过1根1</w:t>
            </w:r>
            <w:r>
              <w:rPr>
                <w:rFonts w:hint="eastAsia" w:cs="Times New Roman"/>
                <w:color w:val="auto"/>
                <w:sz w:val="24"/>
                <w:highlight w:val="none"/>
                <w:lang w:val="en-US" w:eastAsia="zh-CN"/>
              </w:rPr>
              <w:t xml:space="preserve">7 </w:t>
            </w:r>
            <w:r>
              <w:rPr>
                <w:rFonts w:hint="default" w:ascii="Times New Roman" w:hAnsi="Times New Roman" w:cs="Times New Roman"/>
                <w:color w:val="auto"/>
                <w:sz w:val="24"/>
                <w:highlight w:val="none"/>
              </w:rPr>
              <w:t>m排气筒（DA</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00</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）排放。</w:t>
            </w:r>
            <w:r>
              <w:rPr>
                <w:rFonts w:hint="default" w:ascii="Times New Roman" w:hAnsi="Times New Roman" w:cs="Times New Roman"/>
                <w:color w:val="auto"/>
                <w:sz w:val="24"/>
                <w:highlight w:val="none"/>
                <w:lang w:val="en-US" w:eastAsia="zh-CN"/>
              </w:rPr>
              <w:t>改性粉体</w:t>
            </w:r>
            <w:r>
              <w:rPr>
                <w:rFonts w:hint="default" w:ascii="Times New Roman" w:hAnsi="Times New Roman" w:cs="Times New Roman"/>
                <w:color w:val="auto"/>
                <w:sz w:val="24"/>
                <w:highlight w:val="none"/>
              </w:rPr>
              <w:t>腻子粉、石膏粉</w:t>
            </w:r>
            <w:r>
              <w:rPr>
                <w:rFonts w:hint="default" w:ascii="Times New Roman" w:hAnsi="Times New Roman" w:cs="Times New Roman"/>
                <w:color w:val="auto"/>
                <w:sz w:val="24"/>
                <w:highlight w:val="none"/>
                <w:lang w:val="en-US" w:eastAsia="zh-CN"/>
              </w:rPr>
              <w:t>与干混</w:t>
            </w:r>
            <w:r>
              <w:rPr>
                <w:rFonts w:hint="default" w:ascii="Times New Roman" w:hAnsi="Times New Roman" w:cs="Times New Roman"/>
                <w:color w:val="auto"/>
                <w:sz w:val="24"/>
                <w:highlight w:val="none"/>
              </w:rPr>
              <w:t>砂浆生产线粉尘经集气设施收集后，统一通过中央布袋除尘器处理后经1根1</w:t>
            </w:r>
            <w:r>
              <w:rPr>
                <w:rFonts w:hint="eastAsia" w:cs="Times New Roman"/>
                <w:color w:val="auto"/>
                <w:sz w:val="24"/>
                <w:highlight w:val="none"/>
                <w:lang w:val="en-US" w:eastAsia="zh-CN"/>
              </w:rPr>
              <w:t xml:space="preserve">5 </w:t>
            </w:r>
            <w:r>
              <w:rPr>
                <w:rFonts w:hint="default" w:ascii="Times New Roman" w:hAnsi="Times New Roman" w:cs="Times New Roman"/>
                <w:color w:val="auto"/>
                <w:sz w:val="24"/>
                <w:highlight w:val="none"/>
              </w:rPr>
              <w:t>m排气筒（DA</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00</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）排放。</w:t>
            </w:r>
          </w:p>
          <w:p w14:paraId="389D4420">
            <w:pPr>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bCs/>
                <w:color w:val="auto"/>
                <w:sz w:val="24"/>
                <w:highlight w:val="none"/>
              </w:rPr>
              <w:t>2、</w:t>
            </w:r>
            <w:r>
              <w:rPr>
                <w:rFonts w:hint="default" w:ascii="Times New Roman" w:hAnsi="Times New Roman" w:cs="Times New Roman"/>
                <w:b/>
                <w:color w:val="auto"/>
                <w:sz w:val="24"/>
                <w:highlight w:val="none"/>
              </w:rPr>
              <w:t>主要产排污环节</w:t>
            </w:r>
          </w:p>
          <w:p w14:paraId="6531E8AC">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1）废气：本项目大气污染物包括堆存及装卸</w:t>
            </w:r>
            <w:r>
              <w:rPr>
                <w:rFonts w:hint="default" w:ascii="Times New Roman" w:hAnsi="Times New Roman" w:cs="Times New Roman"/>
                <w:color w:val="auto"/>
                <w:sz w:val="24"/>
                <w:highlight w:val="none"/>
                <w:lang w:val="en-US" w:eastAsia="zh-CN"/>
              </w:rPr>
              <w:t>料</w:t>
            </w:r>
            <w:r>
              <w:rPr>
                <w:rFonts w:hint="default" w:ascii="Times New Roman" w:hAnsi="Times New Roman" w:cs="Times New Roman"/>
                <w:color w:val="auto"/>
                <w:sz w:val="24"/>
                <w:highlight w:val="none"/>
              </w:rPr>
              <w:t>扬尘、加工</w:t>
            </w:r>
            <w:r>
              <w:rPr>
                <w:rFonts w:hint="default" w:ascii="Times New Roman" w:hAnsi="Times New Roman" w:cs="Times New Roman"/>
                <w:color w:val="auto"/>
                <w:sz w:val="24"/>
                <w:highlight w:val="none"/>
                <w:lang w:val="en-US" w:eastAsia="zh-CN"/>
              </w:rPr>
              <w:t>过程</w:t>
            </w:r>
            <w:r>
              <w:rPr>
                <w:rFonts w:hint="default" w:ascii="Times New Roman" w:hAnsi="Times New Roman" w:cs="Times New Roman"/>
                <w:color w:val="auto"/>
                <w:sz w:val="24"/>
                <w:highlight w:val="none"/>
              </w:rPr>
              <w:t>粉尘、运输扬尘及车辆的燃油废气。</w:t>
            </w:r>
          </w:p>
          <w:p w14:paraId="73F4E8CC">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2）废水：废水包括车辆冲洗废水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洗砂废水</w:t>
            </w:r>
            <w:r>
              <w:rPr>
                <w:rFonts w:hint="default" w:ascii="Times New Roman" w:hAnsi="Times New Roman" w:cs="Times New Roman"/>
                <w:color w:val="auto"/>
                <w:sz w:val="24"/>
                <w:highlight w:val="none"/>
              </w:rPr>
              <w:t>和生活污水。</w:t>
            </w:r>
          </w:p>
          <w:p w14:paraId="7F1E0E89">
            <w:pPr>
              <w:adjustRightInd w:val="0"/>
              <w:snapToGrid w:val="0"/>
              <w:spacing w:line="360" w:lineRule="auto"/>
              <w:ind w:firstLine="482"/>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3）噪声：</w:t>
            </w:r>
            <w:r>
              <w:rPr>
                <w:rFonts w:hint="default" w:ascii="Times New Roman" w:hAnsi="Times New Roman" w:cs="Times New Roman"/>
                <w:bCs/>
                <w:color w:val="auto"/>
                <w:sz w:val="24"/>
                <w:highlight w:val="none"/>
              </w:rPr>
              <w:t>本项目噪声源主要来自生产设备及运输车辆等机械设备。</w:t>
            </w:r>
          </w:p>
          <w:p w14:paraId="01CD258D">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4）固体废物：除生活垃圾外，项目运营期固废主要为</w:t>
            </w:r>
            <w:r>
              <w:rPr>
                <w:rFonts w:hint="default" w:ascii="Times New Roman" w:hAnsi="Times New Roman" w:cs="Times New Roman"/>
                <w:color w:val="auto"/>
                <w:sz w:val="24"/>
                <w:highlight w:val="none"/>
                <w:lang w:val="en-US" w:eastAsia="zh-CN"/>
              </w:rPr>
              <w:t>除尘器</w:t>
            </w:r>
            <w:r>
              <w:rPr>
                <w:rFonts w:hint="default" w:ascii="Times New Roman" w:hAnsi="Times New Roman" w:cs="Times New Roman"/>
                <w:color w:val="auto"/>
                <w:sz w:val="24"/>
                <w:highlight w:val="none"/>
              </w:rPr>
              <w:t>收集尘、废编织袋、</w:t>
            </w:r>
            <w:r>
              <w:rPr>
                <w:rFonts w:hint="default" w:ascii="Times New Roman" w:hAnsi="Times New Roman" w:cs="Times New Roman"/>
                <w:color w:val="auto"/>
                <w:sz w:val="24"/>
                <w:highlight w:val="none"/>
                <w:lang w:val="en-US" w:eastAsia="zh-CN"/>
              </w:rPr>
              <w:t>泥饼、</w:t>
            </w:r>
            <w:r>
              <w:rPr>
                <w:rFonts w:hint="default" w:ascii="Times New Roman" w:hAnsi="Times New Roman" w:cs="Times New Roman"/>
                <w:color w:val="auto"/>
                <w:sz w:val="24"/>
                <w:highlight w:val="none"/>
              </w:rPr>
              <w:t>废润滑油、废油桶</w:t>
            </w:r>
            <w:r>
              <w:rPr>
                <w:rFonts w:hint="default" w:ascii="Times New Roman" w:hAnsi="Times New Roman" w:cs="Times New Roman"/>
                <w:color w:val="auto"/>
                <w:sz w:val="24"/>
                <w:highlight w:val="none"/>
                <w:lang w:val="en-US" w:eastAsia="zh-CN"/>
              </w:rPr>
              <w:t>及</w:t>
            </w:r>
            <w:r>
              <w:rPr>
                <w:rFonts w:hint="default" w:ascii="Times New Roman" w:hAnsi="Times New Roman" w:cs="Times New Roman"/>
                <w:color w:val="auto"/>
                <w:sz w:val="24"/>
                <w:highlight w:val="none"/>
              </w:rPr>
              <w:t>含油手套等。</w:t>
            </w:r>
          </w:p>
        </w:tc>
      </w:tr>
      <w:tr w14:paraId="18AEE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50A6043D">
            <w:pPr>
              <w:pStyle w:val="26"/>
              <w:adjustRightInd w:val="0"/>
              <w:snapToGrid w:val="0"/>
              <w:spacing w:before="0" w:beforeAutospacing="0" w:after="0" w:afterAutospacing="0"/>
              <w:jc w:val="both"/>
              <w:rPr>
                <w:rFonts w:hint="default" w:ascii="Times New Roman" w:hAnsi="Times New Roman" w:cs="Times New Roman"/>
                <w:color w:val="auto"/>
                <w:szCs w:val="24"/>
                <w:highlight w:val="none"/>
              </w:rPr>
            </w:pPr>
            <w:r>
              <w:rPr>
                <w:rFonts w:hint="default" w:ascii="Times New Roman" w:hAnsi="Times New Roman" w:cs="Times New Roman"/>
                <w:bCs/>
                <w:color w:val="auto"/>
                <w:kern w:val="2"/>
                <w:szCs w:val="24"/>
                <w:highlight w:val="none"/>
              </w:rPr>
              <w:t>与项目有关的原有环境污染问题</w:t>
            </w:r>
          </w:p>
        </w:tc>
        <w:tc>
          <w:tcPr>
            <w:tcW w:w="8604" w:type="dxa"/>
          </w:tcPr>
          <w:p w14:paraId="44A2CDBC">
            <w:pPr>
              <w:pStyle w:val="46"/>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bCs/>
                <w:color w:val="auto"/>
                <w:highlight w:val="none"/>
              </w:rPr>
              <w:t>原有项目</w:t>
            </w:r>
            <w:r>
              <w:rPr>
                <w:rFonts w:hint="default" w:ascii="Times New Roman" w:hAnsi="Times New Roman" w:cs="Times New Roman"/>
                <w:color w:val="auto"/>
                <w:highlight w:val="none"/>
              </w:rPr>
              <w:t>环保手续情况</w:t>
            </w:r>
          </w:p>
          <w:p w14:paraId="532E97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32"/>
                <w:highlight w:val="none"/>
                <w:lang w:val="en-US" w:eastAsia="zh-CN" w:bidi="ar-SA"/>
              </w:rPr>
            </w:pPr>
            <w:r>
              <w:rPr>
                <w:rFonts w:hint="default" w:ascii="Times New Roman" w:hAnsi="Times New Roman" w:eastAsia="宋体" w:cs="Times New Roman"/>
                <w:color w:val="auto"/>
                <w:kern w:val="2"/>
                <w:sz w:val="24"/>
                <w:szCs w:val="32"/>
                <w:highlight w:val="none"/>
                <w:lang w:val="en-US" w:eastAsia="zh-CN" w:bidi="ar-SA"/>
              </w:rPr>
              <w:t>汉中迪瑞特实业投资有限公司</w:t>
            </w:r>
            <w:r>
              <w:rPr>
                <w:rFonts w:hint="default" w:ascii="Times New Roman" w:hAnsi="Times New Roman" w:cs="Times New Roman"/>
                <w:color w:val="auto"/>
                <w:kern w:val="0"/>
                <w:sz w:val="24"/>
                <w:highlight w:val="none"/>
              </w:rPr>
              <w:t>多年来主要进行</w:t>
            </w:r>
            <w:r>
              <w:rPr>
                <w:rFonts w:hint="default" w:ascii="Times New Roman" w:hAnsi="Times New Roman" w:cs="Times New Roman"/>
                <w:color w:val="auto"/>
                <w:kern w:val="0"/>
                <w:sz w:val="24"/>
                <w:highlight w:val="none"/>
                <w:lang w:val="en-US" w:eastAsia="zh-CN"/>
              </w:rPr>
              <w:t>矿石</w:t>
            </w:r>
            <w:r>
              <w:rPr>
                <w:rFonts w:hint="default" w:ascii="Times New Roman" w:hAnsi="Times New Roman" w:cs="Times New Roman"/>
                <w:color w:val="auto"/>
                <w:kern w:val="0"/>
                <w:sz w:val="24"/>
                <w:highlight w:val="none"/>
              </w:rPr>
              <w:t>的生产加工。</w:t>
            </w:r>
            <w:r>
              <w:rPr>
                <w:rFonts w:hint="default" w:ascii="Times New Roman" w:hAnsi="Times New Roman" w:eastAsia="宋体" w:cs="Times New Roman"/>
                <w:color w:val="auto"/>
                <w:kern w:val="2"/>
                <w:sz w:val="24"/>
                <w:szCs w:val="32"/>
                <w:highlight w:val="none"/>
                <w:lang w:val="en-US" w:eastAsia="zh-CN" w:bidi="ar-SA"/>
              </w:rPr>
              <w:t>公司原有“骨料破碎、尾粉再利用项目”主要进行建筑骨料及板材加工；于2020年6月3日取得了汉中市生态环境局洋县分局出具的环境影响报告表批复（洋环评批字〔2020〕9号）</w:t>
            </w:r>
            <w:r>
              <w:rPr>
                <w:rFonts w:hint="eastAsia" w:cs="Times New Roman"/>
                <w:color w:val="auto"/>
                <w:kern w:val="2"/>
                <w:sz w:val="24"/>
                <w:szCs w:val="32"/>
                <w:highlight w:val="none"/>
                <w:lang w:val="en-US" w:eastAsia="zh-CN" w:bidi="ar-SA"/>
              </w:rPr>
              <w:t>。该项目</w:t>
            </w:r>
            <w:r>
              <w:rPr>
                <w:rFonts w:hint="default" w:ascii="Times New Roman" w:hAnsi="Times New Roman" w:eastAsia="宋体" w:cs="Times New Roman"/>
                <w:color w:val="auto"/>
                <w:kern w:val="2"/>
                <w:sz w:val="24"/>
                <w:szCs w:val="32"/>
                <w:highlight w:val="none"/>
                <w:lang w:val="en-US" w:eastAsia="zh-CN" w:bidi="ar-SA"/>
              </w:rPr>
              <w:t>取得环评批复后</w:t>
            </w:r>
            <w:r>
              <w:rPr>
                <w:rFonts w:hint="eastAsia" w:cs="Times New Roman"/>
                <w:color w:val="auto"/>
                <w:kern w:val="2"/>
                <w:sz w:val="24"/>
                <w:szCs w:val="32"/>
                <w:highlight w:val="none"/>
                <w:lang w:val="en-US" w:eastAsia="zh-CN" w:bidi="ar-SA"/>
              </w:rPr>
              <w:t>正常</w:t>
            </w:r>
            <w:r>
              <w:rPr>
                <w:rFonts w:hint="default" w:ascii="Times New Roman" w:hAnsi="Times New Roman" w:eastAsia="宋体" w:cs="Times New Roman"/>
                <w:color w:val="auto"/>
                <w:kern w:val="2"/>
                <w:sz w:val="24"/>
                <w:szCs w:val="32"/>
                <w:highlight w:val="none"/>
                <w:lang w:val="en-US" w:eastAsia="zh-CN" w:bidi="ar-SA"/>
              </w:rPr>
              <w:t>运行，期间未进行竣工环保验收</w:t>
            </w:r>
            <w:r>
              <w:rPr>
                <w:rFonts w:hint="default" w:ascii="Times New Roman" w:hAnsi="Times New Roman" w:cs="Times New Roman"/>
                <w:color w:val="auto"/>
                <w:kern w:val="2"/>
                <w:sz w:val="24"/>
                <w:szCs w:val="32"/>
                <w:highlight w:val="none"/>
                <w:lang w:val="en-US" w:eastAsia="zh-CN" w:bidi="ar-SA"/>
              </w:rPr>
              <w:t>及</w:t>
            </w:r>
            <w:r>
              <w:rPr>
                <w:rFonts w:hint="default" w:ascii="Times New Roman" w:hAnsi="Times New Roman" w:cs="Times New Roman"/>
                <w:color w:val="auto"/>
                <w:kern w:val="0"/>
                <w:sz w:val="24"/>
                <w:highlight w:val="none"/>
              </w:rPr>
              <w:t>排污许可证申领</w:t>
            </w:r>
            <w:r>
              <w:rPr>
                <w:rFonts w:hint="default" w:ascii="Times New Roman" w:hAnsi="Times New Roman" w:eastAsia="宋体" w:cs="Times New Roman"/>
                <w:color w:val="auto"/>
                <w:kern w:val="2"/>
                <w:sz w:val="24"/>
                <w:szCs w:val="32"/>
                <w:highlight w:val="none"/>
                <w:lang w:val="en-US" w:eastAsia="zh-CN" w:bidi="ar-SA"/>
              </w:rPr>
              <w:t>。</w:t>
            </w:r>
          </w:p>
          <w:p w14:paraId="50B6993F">
            <w:pPr>
              <w:pStyle w:val="46"/>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bCs/>
                <w:color w:val="auto"/>
                <w:kern w:val="2"/>
                <w:highlight w:val="none"/>
              </w:rPr>
              <w:t>与项目有关的原有环境污染问题</w:t>
            </w:r>
          </w:p>
          <w:p w14:paraId="104FA2E5">
            <w:pPr>
              <w:pStyle w:val="46"/>
              <w:spacing w:line="360" w:lineRule="auto"/>
              <w:ind w:firstLine="480" w:firstLineChars="200"/>
              <w:jc w:val="both"/>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根据现场踏勘，厂区</w:t>
            </w:r>
            <w:r>
              <w:rPr>
                <w:rFonts w:hint="eastAsia" w:ascii="Times New Roman" w:cs="Times New Roman"/>
                <w:bCs/>
                <w:color w:val="auto"/>
                <w:szCs w:val="21"/>
                <w:highlight w:val="none"/>
                <w:lang w:val="en-US" w:eastAsia="zh-CN"/>
              </w:rPr>
              <w:t>原有项目</w:t>
            </w:r>
            <w:r>
              <w:rPr>
                <w:rFonts w:hint="default" w:ascii="Times New Roman" w:hAnsi="Times New Roman" w:cs="Times New Roman"/>
                <w:bCs/>
                <w:color w:val="auto"/>
                <w:szCs w:val="21"/>
                <w:highlight w:val="none"/>
              </w:rPr>
              <w:t>现存在以下环境污染问题：</w:t>
            </w:r>
          </w:p>
          <w:p w14:paraId="0E980A30">
            <w:pPr>
              <w:pStyle w:val="46"/>
              <w:spacing w:line="360" w:lineRule="auto"/>
              <w:ind w:firstLine="480" w:firstLineChars="200"/>
              <w:jc w:val="both"/>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①</w:t>
            </w:r>
            <w:r>
              <w:rPr>
                <w:rFonts w:hint="eastAsia" w:ascii="Times New Roman" w:cs="Times New Roman"/>
                <w:bCs/>
                <w:color w:val="auto"/>
                <w:szCs w:val="21"/>
                <w:highlight w:val="none"/>
                <w:lang w:val="en-US" w:eastAsia="zh-CN"/>
              </w:rPr>
              <w:t>原有项目</w:t>
            </w:r>
            <w:r>
              <w:rPr>
                <w:rFonts w:hint="eastAsia"/>
                <w:lang w:eastAsia="zh-CN"/>
              </w:rPr>
              <w:t>遗留</w:t>
            </w:r>
            <w:r>
              <w:rPr>
                <w:rFonts w:hint="default" w:ascii="Times New Roman" w:hAnsi="Times New Roman" w:cs="Times New Roman"/>
                <w:bCs/>
                <w:color w:val="auto"/>
                <w:szCs w:val="21"/>
                <w:highlight w:val="none"/>
                <w:lang w:val="en-US" w:eastAsia="zh-CN"/>
              </w:rPr>
              <w:t>部分原料</w:t>
            </w:r>
            <w:r>
              <w:rPr>
                <w:rFonts w:hint="default" w:ascii="Times New Roman" w:hAnsi="Times New Roman" w:cs="Times New Roman"/>
                <w:bCs/>
                <w:color w:val="auto"/>
                <w:szCs w:val="21"/>
                <w:highlight w:val="none"/>
              </w:rPr>
              <w:t>处于露天状态；</w:t>
            </w:r>
          </w:p>
          <w:p w14:paraId="41A36EAE">
            <w:pPr>
              <w:pStyle w:val="46"/>
              <w:spacing w:line="360" w:lineRule="auto"/>
              <w:ind w:firstLine="480" w:firstLineChars="200"/>
              <w:jc w:val="both"/>
              <w:rPr>
                <w:rFonts w:hint="default" w:ascii="Times New Roman" w:hAnsi="Times New Roman" w:cs="Times New Roman"/>
                <w:bCs/>
                <w:color w:val="auto"/>
                <w:szCs w:val="21"/>
                <w:highlight w:val="none"/>
                <w:lang w:eastAsia="zh-CN"/>
              </w:rPr>
            </w:pPr>
            <w:r>
              <w:rPr>
                <w:rFonts w:hint="default" w:ascii="Times New Roman" w:hAnsi="Times New Roman" w:cs="Times New Roman"/>
                <w:bCs/>
                <w:color w:val="auto"/>
                <w:szCs w:val="21"/>
                <w:highlight w:val="none"/>
              </w:rPr>
              <w:t>②</w:t>
            </w:r>
            <w:r>
              <w:rPr>
                <w:rFonts w:hint="eastAsia" w:ascii="Times New Roman" w:cs="Times New Roman"/>
                <w:color w:val="auto"/>
                <w:highlight w:val="none"/>
                <w:lang w:val="en-US" w:eastAsia="zh-CN"/>
              </w:rPr>
              <w:t>未建设危废贮存库暂存原有项目运行产生的危废</w:t>
            </w:r>
            <w:r>
              <w:rPr>
                <w:rFonts w:hint="default" w:ascii="Times New Roman" w:hAnsi="Times New Roman" w:cs="Times New Roman"/>
                <w:bCs/>
                <w:color w:val="auto"/>
                <w:szCs w:val="21"/>
                <w:highlight w:val="none"/>
                <w:lang w:eastAsia="zh-CN"/>
              </w:rPr>
              <w:t>。</w:t>
            </w:r>
          </w:p>
          <w:p w14:paraId="11D53765">
            <w:pPr>
              <w:pStyle w:val="46"/>
              <w:spacing w:line="360" w:lineRule="auto"/>
              <w:ind w:firstLine="48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整改措施：</w:t>
            </w:r>
          </w:p>
          <w:p w14:paraId="22296750">
            <w:pPr>
              <w:pStyle w:val="46"/>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①及时对原料区进行三面围挡+顶棚处理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原料放置于半封闭厂房内部</w:t>
            </w:r>
            <w:r>
              <w:rPr>
                <w:rFonts w:hint="default" w:ascii="Times New Roman" w:hAnsi="Times New Roman" w:cs="Times New Roman"/>
                <w:color w:val="auto"/>
                <w:highlight w:val="none"/>
              </w:rPr>
              <w:t>，减少堆存扬尘；</w:t>
            </w:r>
          </w:p>
          <w:p w14:paraId="78F97E74">
            <w:pPr>
              <w:pStyle w:val="46"/>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②按照《危险废物贮存污染控制标准》（GB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18597-2023）中相关要求</w:t>
            </w:r>
            <w:r>
              <w:rPr>
                <w:rFonts w:hint="eastAsia" w:ascii="Times New Roman" w:cs="Times New Roman"/>
                <w:color w:val="auto"/>
                <w:highlight w:val="none"/>
                <w:lang w:val="en-US" w:eastAsia="zh-CN"/>
              </w:rPr>
              <w:t>建设危废贮存库</w:t>
            </w:r>
            <w:r>
              <w:rPr>
                <w:rFonts w:hint="default" w:ascii="Times New Roman" w:hAnsi="Times New Roman" w:cs="Times New Roman"/>
                <w:color w:val="auto"/>
                <w:highlight w:val="none"/>
              </w:rPr>
              <w:t>，采用渗透系数合格的防渗材料对地面进行处理，并在收集容器底部设置托盘；此外，应按照《危险废物识别标志设置技术规范》（HJ</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1276-2022）中相关要求，做好危废标识等工作。</w:t>
            </w:r>
          </w:p>
          <w:p w14:paraId="6A4E7D20">
            <w:pPr>
              <w:pStyle w:val="46"/>
              <w:jc w:val="both"/>
              <w:rPr>
                <w:rFonts w:hint="default" w:ascii="Times New Roman" w:hAnsi="Times New Roman" w:cs="Times New Roman"/>
                <w:bCs/>
                <w:color w:val="auto"/>
                <w:szCs w:val="21"/>
                <w:highlight w:val="none"/>
              </w:rPr>
            </w:pPr>
          </w:p>
          <w:p w14:paraId="769A743D">
            <w:pPr>
              <w:pStyle w:val="46"/>
              <w:jc w:val="both"/>
              <w:rPr>
                <w:rFonts w:hint="default" w:ascii="Times New Roman" w:hAnsi="Times New Roman" w:cs="Times New Roman"/>
                <w:bCs/>
                <w:color w:val="auto"/>
                <w:szCs w:val="21"/>
                <w:highlight w:val="none"/>
              </w:rPr>
            </w:pPr>
          </w:p>
          <w:p w14:paraId="2181073A">
            <w:pPr>
              <w:pStyle w:val="46"/>
              <w:jc w:val="both"/>
              <w:rPr>
                <w:rFonts w:hint="default" w:ascii="Times New Roman" w:hAnsi="Times New Roman" w:cs="Times New Roman"/>
                <w:bCs/>
                <w:color w:val="auto"/>
                <w:szCs w:val="21"/>
                <w:highlight w:val="none"/>
              </w:rPr>
            </w:pPr>
          </w:p>
          <w:p w14:paraId="5648EFDB">
            <w:pPr>
              <w:pStyle w:val="46"/>
              <w:jc w:val="both"/>
              <w:rPr>
                <w:rFonts w:hint="default" w:ascii="Times New Roman" w:hAnsi="Times New Roman" w:cs="Times New Roman"/>
                <w:bCs/>
                <w:color w:val="auto"/>
                <w:szCs w:val="21"/>
                <w:highlight w:val="none"/>
              </w:rPr>
            </w:pPr>
          </w:p>
          <w:p w14:paraId="7A3FEF45">
            <w:pPr>
              <w:pStyle w:val="46"/>
              <w:jc w:val="both"/>
              <w:rPr>
                <w:rFonts w:hint="default" w:ascii="Times New Roman" w:hAnsi="Times New Roman" w:cs="Times New Roman"/>
                <w:bCs/>
                <w:color w:val="auto"/>
                <w:szCs w:val="21"/>
                <w:highlight w:val="none"/>
              </w:rPr>
            </w:pPr>
          </w:p>
          <w:p w14:paraId="44991C8B">
            <w:pPr>
              <w:pStyle w:val="46"/>
              <w:jc w:val="both"/>
              <w:rPr>
                <w:rFonts w:hint="default" w:ascii="Times New Roman" w:hAnsi="Times New Roman" w:cs="Times New Roman"/>
                <w:bCs/>
                <w:color w:val="auto"/>
                <w:szCs w:val="21"/>
                <w:highlight w:val="none"/>
              </w:rPr>
            </w:pPr>
          </w:p>
          <w:p w14:paraId="6E162F8E">
            <w:pPr>
              <w:pStyle w:val="46"/>
              <w:jc w:val="both"/>
              <w:rPr>
                <w:rFonts w:hint="default" w:ascii="Times New Roman" w:hAnsi="Times New Roman" w:cs="Times New Roman"/>
                <w:bCs/>
                <w:color w:val="auto"/>
                <w:szCs w:val="21"/>
                <w:highlight w:val="none"/>
              </w:rPr>
            </w:pPr>
          </w:p>
          <w:p w14:paraId="3A242002">
            <w:pPr>
              <w:pStyle w:val="46"/>
              <w:jc w:val="both"/>
              <w:rPr>
                <w:rFonts w:hint="default" w:ascii="Times New Roman" w:hAnsi="Times New Roman" w:cs="Times New Roman"/>
                <w:bCs/>
                <w:color w:val="auto"/>
                <w:szCs w:val="21"/>
                <w:highlight w:val="none"/>
              </w:rPr>
            </w:pPr>
          </w:p>
          <w:p w14:paraId="0F2F4567">
            <w:pPr>
              <w:pStyle w:val="46"/>
              <w:jc w:val="both"/>
              <w:rPr>
                <w:rFonts w:hint="default" w:ascii="Times New Roman" w:hAnsi="Times New Roman" w:cs="Times New Roman"/>
                <w:bCs/>
                <w:color w:val="auto"/>
                <w:szCs w:val="21"/>
                <w:highlight w:val="none"/>
              </w:rPr>
            </w:pPr>
          </w:p>
          <w:p w14:paraId="3791D2C3">
            <w:pPr>
              <w:pStyle w:val="46"/>
              <w:jc w:val="both"/>
              <w:rPr>
                <w:rFonts w:hint="default" w:ascii="Times New Roman" w:hAnsi="Times New Roman" w:cs="Times New Roman"/>
                <w:bCs/>
                <w:color w:val="auto"/>
                <w:szCs w:val="21"/>
                <w:highlight w:val="none"/>
              </w:rPr>
            </w:pPr>
          </w:p>
          <w:p w14:paraId="5281DB6F">
            <w:pPr>
              <w:pStyle w:val="46"/>
              <w:jc w:val="both"/>
              <w:rPr>
                <w:rFonts w:hint="default" w:ascii="Times New Roman" w:hAnsi="Times New Roman" w:cs="Times New Roman"/>
                <w:bCs/>
                <w:color w:val="auto"/>
                <w:szCs w:val="21"/>
                <w:highlight w:val="none"/>
              </w:rPr>
            </w:pPr>
          </w:p>
          <w:p w14:paraId="47C75020">
            <w:pPr>
              <w:pStyle w:val="46"/>
              <w:jc w:val="both"/>
              <w:rPr>
                <w:rFonts w:hint="default" w:ascii="Times New Roman" w:hAnsi="Times New Roman" w:cs="Times New Roman"/>
                <w:bCs/>
                <w:color w:val="auto"/>
                <w:szCs w:val="21"/>
                <w:highlight w:val="none"/>
              </w:rPr>
            </w:pPr>
          </w:p>
          <w:p w14:paraId="4C3697E1">
            <w:pPr>
              <w:pStyle w:val="46"/>
              <w:jc w:val="both"/>
              <w:rPr>
                <w:rFonts w:hint="default" w:ascii="Times New Roman" w:hAnsi="Times New Roman" w:cs="Times New Roman"/>
                <w:bCs/>
                <w:color w:val="auto"/>
                <w:szCs w:val="21"/>
                <w:highlight w:val="none"/>
              </w:rPr>
            </w:pPr>
          </w:p>
          <w:p w14:paraId="4082F5E3">
            <w:pPr>
              <w:pStyle w:val="46"/>
              <w:jc w:val="both"/>
              <w:rPr>
                <w:rFonts w:hint="default" w:ascii="Times New Roman" w:hAnsi="Times New Roman" w:cs="Times New Roman"/>
                <w:bCs/>
                <w:color w:val="auto"/>
                <w:szCs w:val="21"/>
                <w:highlight w:val="none"/>
              </w:rPr>
            </w:pPr>
          </w:p>
          <w:p w14:paraId="0293A6E7">
            <w:pPr>
              <w:pStyle w:val="46"/>
              <w:jc w:val="both"/>
              <w:rPr>
                <w:rFonts w:hint="default" w:ascii="Times New Roman" w:hAnsi="Times New Roman" w:cs="Times New Roman"/>
                <w:bCs/>
                <w:color w:val="auto"/>
                <w:szCs w:val="21"/>
                <w:highlight w:val="none"/>
              </w:rPr>
            </w:pPr>
          </w:p>
          <w:p w14:paraId="454A5888">
            <w:pPr>
              <w:pStyle w:val="46"/>
              <w:jc w:val="both"/>
              <w:rPr>
                <w:rFonts w:hint="default" w:ascii="Times New Roman" w:hAnsi="Times New Roman" w:cs="Times New Roman"/>
                <w:bCs/>
                <w:color w:val="auto"/>
                <w:szCs w:val="21"/>
                <w:highlight w:val="none"/>
              </w:rPr>
            </w:pPr>
          </w:p>
          <w:p w14:paraId="6589FE66">
            <w:pPr>
              <w:pStyle w:val="46"/>
              <w:jc w:val="both"/>
              <w:rPr>
                <w:rFonts w:hint="default" w:ascii="Times New Roman" w:hAnsi="Times New Roman" w:cs="Times New Roman"/>
                <w:bCs/>
                <w:color w:val="auto"/>
                <w:szCs w:val="21"/>
                <w:highlight w:val="none"/>
              </w:rPr>
            </w:pPr>
          </w:p>
          <w:p w14:paraId="37C9D7B1">
            <w:pPr>
              <w:pStyle w:val="46"/>
              <w:jc w:val="both"/>
              <w:rPr>
                <w:rFonts w:hint="default" w:ascii="Times New Roman" w:hAnsi="Times New Roman" w:cs="Times New Roman"/>
                <w:bCs/>
                <w:color w:val="auto"/>
                <w:szCs w:val="21"/>
                <w:highlight w:val="none"/>
              </w:rPr>
            </w:pPr>
          </w:p>
          <w:p w14:paraId="6B04D5BE">
            <w:pPr>
              <w:pStyle w:val="46"/>
              <w:jc w:val="both"/>
              <w:rPr>
                <w:rFonts w:hint="default" w:ascii="Times New Roman" w:hAnsi="Times New Roman" w:cs="Times New Roman"/>
                <w:bCs/>
                <w:color w:val="auto"/>
                <w:szCs w:val="21"/>
                <w:highlight w:val="none"/>
              </w:rPr>
            </w:pPr>
          </w:p>
          <w:p w14:paraId="0318A6BC">
            <w:pPr>
              <w:pStyle w:val="46"/>
              <w:jc w:val="both"/>
              <w:rPr>
                <w:rFonts w:hint="default" w:ascii="Times New Roman" w:hAnsi="Times New Roman" w:cs="Times New Roman"/>
                <w:bCs/>
                <w:color w:val="auto"/>
                <w:szCs w:val="21"/>
                <w:highlight w:val="none"/>
              </w:rPr>
            </w:pPr>
          </w:p>
          <w:p w14:paraId="09618BBA">
            <w:pPr>
              <w:pStyle w:val="46"/>
              <w:jc w:val="both"/>
              <w:rPr>
                <w:rFonts w:hint="default" w:ascii="Times New Roman" w:hAnsi="Times New Roman" w:cs="Times New Roman"/>
                <w:bCs/>
                <w:color w:val="auto"/>
                <w:szCs w:val="21"/>
                <w:highlight w:val="none"/>
              </w:rPr>
            </w:pPr>
          </w:p>
          <w:p w14:paraId="4625E7DF">
            <w:pPr>
              <w:pStyle w:val="46"/>
              <w:jc w:val="both"/>
              <w:rPr>
                <w:rFonts w:hint="default" w:ascii="Times New Roman" w:hAnsi="Times New Roman" w:cs="Times New Roman"/>
                <w:bCs/>
                <w:color w:val="auto"/>
                <w:szCs w:val="21"/>
                <w:highlight w:val="none"/>
              </w:rPr>
            </w:pPr>
          </w:p>
          <w:p w14:paraId="050AE0E4">
            <w:pPr>
              <w:pStyle w:val="46"/>
              <w:jc w:val="both"/>
              <w:rPr>
                <w:rFonts w:hint="default" w:ascii="Times New Roman" w:hAnsi="Times New Roman" w:cs="Times New Roman"/>
                <w:bCs/>
                <w:color w:val="auto"/>
                <w:szCs w:val="21"/>
                <w:highlight w:val="none"/>
              </w:rPr>
            </w:pPr>
          </w:p>
          <w:p w14:paraId="23016044">
            <w:pPr>
              <w:pStyle w:val="46"/>
              <w:jc w:val="both"/>
              <w:rPr>
                <w:rFonts w:hint="default" w:ascii="Times New Roman" w:hAnsi="Times New Roman" w:cs="Times New Roman"/>
                <w:bCs/>
                <w:color w:val="auto"/>
                <w:szCs w:val="21"/>
                <w:highlight w:val="none"/>
              </w:rPr>
            </w:pPr>
          </w:p>
          <w:p w14:paraId="05F01A04">
            <w:pPr>
              <w:pStyle w:val="46"/>
              <w:jc w:val="both"/>
              <w:rPr>
                <w:rFonts w:hint="default" w:ascii="Times New Roman" w:hAnsi="Times New Roman" w:cs="Times New Roman"/>
                <w:bCs/>
                <w:color w:val="auto"/>
                <w:szCs w:val="21"/>
                <w:highlight w:val="none"/>
              </w:rPr>
            </w:pPr>
          </w:p>
          <w:p w14:paraId="3443B711">
            <w:pPr>
              <w:pStyle w:val="46"/>
              <w:jc w:val="both"/>
              <w:rPr>
                <w:rFonts w:hint="default" w:ascii="Times New Roman" w:hAnsi="Times New Roman" w:cs="Times New Roman"/>
                <w:bCs/>
                <w:color w:val="auto"/>
                <w:szCs w:val="21"/>
                <w:highlight w:val="none"/>
              </w:rPr>
            </w:pPr>
          </w:p>
          <w:p w14:paraId="419F15EF">
            <w:pPr>
              <w:pStyle w:val="46"/>
              <w:jc w:val="both"/>
              <w:rPr>
                <w:rFonts w:hint="default" w:ascii="Times New Roman" w:hAnsi="Times New Roman" w:cs="Times New Roman"/>
                <w:bCs/>
                <w:color w:val="auto"/>
                <w:szCs w:val="21"/>
                <w:highlight w:val="none"/>
              </w:rPr>
            </w:pPr>
          </w:p>
          <w:p w14:paraId="7206E1B5">
            <w:pPr>
              <w:pStyle w:val="46"/>
              <w:jc w:val="both"/>
              <w:rPr>
                <w:rFonts w:hint="default" w:ascii="Times New Roman" w:hAnsi="Times New Roman" w:cs="Times New Roman"/>
                <w:bCs/>
                <w:color w:val="auto"/>
                <w:szCs w:val="21"/>
                <w:highlight w:val="none"/>
              </w:rPr>
            </w:pPr>
          </w:p>
          <w:p w14:paraId="25E0EB7B">
            <w:pPr>
              <w:pStyle w:val="46"/>
              <w:jc w:val="both"/>
              <w:rPr>
                <w:rFonts w:hint="default" w:ascii="Times New Roman" w:hAnsi="Times New Roman" w:cs="Times New Roman"/>
                <w:bCs/>
                <w:color w:val="auto"/>
                <w:szCs w:val="21"/>
                <w:highlight w:val="none"/>
              </w:rPr>
            </w:pPr>
          </w:p>
          <w:p w14:paraId="0E5A76A4">
            <w:pPr>
              <w:pStyle w:val="46"/>
              <w:jc w:val="both"/>
              <w:rPr>
                <w:rFonts w:hint="default" w:ascii="Times New Roman" w:hAnsi="Times New Roman" w:cs="Times New Roman"/>
                <w:bCs/>
                <w:color w:val="auto"/>
                <w:szCs w:val="21"/>
                <w:highlight w:val="none"/>
              </w:rPr>
            </w:pPr>
          </w:p>
          <w:p w14:paraId="3246D380">
            <w:pPr>
              <w:pStyle w:val="46"/>
              <w:jc w:val="both"/>
              <w:rPr>
                <w:rFonts w:hint="default" w:ascii="Times New Roman" w:hAnsi="Times New Roman" w:cs="Times New Roman"/>
                <w:bCs/>
                <w:color w:val="auto"/>
                <w:szCs w:val="21"/>
                <w:highlight w:val="none"/>
              </w:rPr>
            </w:pPr>
          </w:p>
          <w:p w14:paraId="24CB4F36">
            <w:pPr>
              <w:pStyle w:val="46"/>
              <w:jc w:val="both"/>
              <w:rPr>
                <w:rFonts w:hint="default" w:ascii="Times New Roman" w:hAnsi="Times New Roman" w:cs="Times New Roman"/>
                <w:bCs/>
                <w:color w:val="auto"/>
                <w:szCs w:val="21"/>
                <w:highlight w:val="none"/>
              </w:rPr>
            </w:pPr>
          </w:p>
          <w:p w14:paraId="090D5B40">
            <w:pPr>
              <w:pStyle w:val="46"/>
              <w:jc w:val="both"/>
              <w:rPr>
                <w:rFonts w:hint="default" w:ascii="Times New Roman" w:hAnsi="Times New Roman" w:cs="Times New Roman"/>
                <w:bCs/>
                <w:color w:val="auto"/>
                <w:szCs w:val="21"/>
                <w:highlight w:val="none"/>
              </w:rPr>
            </w:pPr>
          </w:p>
          <w:p w14:paraId="116C209A">
            <w:pPr>
              <w:pStyle w:val="46"/>
              <w:jc w:val="both"/>
              <w:rPr>
                <w:rFonts w:hint="default" w:ascii="Times New Roman" w:hAnsi="Times New Roman" w:cs="Times New Roman"/>
                <w:bCs/>
                <w:color w:val="auto"/>
                <w:szCs w:val="21"/>
                <w:highlight w:val="none"/>
              </w:rPr>
            </w:pPr>
          </w:p>
          <w:p w14:paraId="06CE8CCA">
            <w:pPr>
              <w:pStyle w:val="46"/>
              <w:jc w:val="both"/>
              <w:rPr>
                <w:rFonts w:hint="default" w:ascii="Times New Roman" w:hAnsi="Times New Roman" w:cs="Times New Roman"/>
                <w:bCs/>
                <w:color w:val="auto"/>
                <w:szCs w:val="21"/>
                <w:highlight w:val="none"/>
              </w:rPr>
            </w:pPr>
          </w:p>
          <w:p w14:paraId="23B214DB">
            <w:pPr>
              <w:pStyle w:val="46"/>
              <w:jc w:val="both"/>
              <w:rPr>
                <w:rFonts w:hint="default" w:ascii="Times New Roman" w:hAnsi="Times New Roman" w:cs="Times New Roman"/>
                <w:bCs/>
                <w:color w:val="auto"/>
                <w:szCs w:val="21"/>
                <w:highlight w:val="none"/>
              </w:rPr>
            </w:pPr>
          </w:p>
          <w:p w14:paraId="18EDA7EF">
            <w:pPr>
              <w:pStyle w:val="46"/>
              <w:jc w:val="both"/>
              <w:rPr>
                <w:rFonts w:hint="default" w:ascii="Times New Roman" w:hAnsi="Times New Roman" w:cs="Times New Roman"/>
                <w:bCs/>
                <w:color w:val="auto"/>
                <w:szCs w:val="21"/>
                <w:highlight w:val="none"/>
              </w:rPr>
            </w:pPr>
          </w:p>
        </w:tc>
      </w:tr>
    </w:tbl>
    <w:p w14:paraId="616882D0">
      <w:pPr>
        <w:pStyle w:val="26"/>
        <w:spacing w:before="0" w:beforeAutospacing="0" w:after="0" w:afterAutospacing="0"/>
        <w:jc w:val="center"/>
        <w:rPr>
          <w:rFonts w:ascii="黑体" w:hAnsi="黑体"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1A74435">
      <w:pPr>
        <w:pStyle w:val="26"/>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3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312"/>
      </w:tblGrid>
      <w:tr w14:paraId="33BBD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1" w:hRule="atLeast"/>
          <w:jc w:val="center"/>
        </w:trPr>
        <w:tc>
          <w:tcPr>
            <w:tcW w:w="678" w:type="dxa"/>
            <w:vAlign w:val="center"/>
          </w:tcPr>
          <w:p w14:paraId="7B9E80AF">
            <w:pPr>
              <w:adjustRightInd w:val="0"/>
              <w:snapToGrid w:val="0"/>
              <w:jc w:val="center"/>
              <w:rPr>
                <w:color w:val="auto"/>
                <w:highlight w:val="none"/>
              </w:rPr>
            </w:pPr>
          </w:p>
          <w:p w14:paraId="313FE9CC">
            <w:pPr>
              <w:adjustRightInd w:val="0"/>
              <w:snapToGrid w:val="0"/>
              <w:jc w:val="center"/>
              <w:rPr>
                <w:color w:val="auto"/>
                <w:highlight w:val="none"/>
              </w:rPr>
            </w:pPr>
          </w:p>
          <w:p w14:paraId="243A2DAC">
            <w:pPr>
              <w:adjustRightInd w:val="0"/>
              <w:snapToGrid w:val="0"/>
              <w:jc w:val="center"/>
              <w:rPr>
                <w:color w:val="auto"/>
                <w:highlight w:val="none"/>
              </w:rPr>
            </w:pPr>
          </w:p>
          <w:p w14:paraId="61F62203">
            <w:pPr>
              <w:adjustRightInd w:val="0"/>
              <w:snapToGrid w:val="0"/>
              <w:jc w:val="center"/>
              <w:rPr>
                <w:color w:val="auto"/>
                <w:highlight w:val="none"/>
              </w:rPr>
            </w:pPr>
          </w:p>
          <w:p w14:paraId="36CBF985">
            <w:pPr>
              <w:adjustRightInd w:val="0"/>
              <w:snapToGrid w:val="0"/>
              <w:jc w:val="center"/>
              <w:rPr>
                <w:color w:val="auto"/>
                <w:highlight w:val="none"/>
              </w:rPr>
            </w:pPr>
          </w:p>
          <w:p w14:paraId="5196D44A">
            <w:pPr>
              <w:adjustRightInd w:val="0"/>
              <w:snapToGrid w:val="0"/>
              <w:jc w:val="center"/>
              <w:rPr>
                <w:color w:val="auto"/>
                <w:highlight w:val="none"/>
              </w:rPr>
            </w:pPr>
          </w:p>
          <w:p w14:paraId="662D6751">
            <w:pPr>
              <w:adjustRightInd w:val="0"/>
              <w:snapToGrid w:val="0"/>
              <w:jc w:val="center"/>
              <w:rPr>
                <w:color w:val="auto"/>
                <w:highlight w:val="none"/>
              </w:rPr>
            </w:pPr>
          </w:p>
          <w:p w14:paraId="121FAEE1">
            <w:pPr>
              <w:adjustRightInd w:val="0"/>
              <w:snapToGrid w:val="0"/>
              <w:jc w:val="center"/>
              <w:rPr>
                <w:color w:val="auto"/>
                <w:highlight w:val="none"/>
              </w:rPr>
            </w:pPr>
          </w:p>
          <w:p w14:paraId="10EDACC9">
            <w:pPr>
              <w:adjustRightInd w:val="0"/>
              <w:snapToGrid w:val="0"/>
              <w:jc w:val="center"/>
              <w:rPr>
                <w:color w:val="auto"/>
                <w:highlight w:val="none"/>
              </w:rPr>
            </w:pPr>
          </w:p>
          <w:p w14:paraId="5FC335E8">
            <w:pPr>
              <w:adjustRightInd w:val="0"/>
              <w:snapToGrid w:val="0"/>
              <w:jc w:val="center"/>
              <w:rPr>
                <w:color w:val="auto"/>
                <w:highlight w:val="none"/>
              </w:rPr>
            </w:pPr>
          </w:p>
          <w:p w14:paraId="3CB2AF09">
            <w:pPr>
              <w:adjustRightInd w:val="0"/>
              <w:snapToGrid w:val="0"/>
              <w:jc w:val="center"/>
              <w:rPr>
                <w:color w:val="auto"/>
                <w:highlight w:val="none"/>
              </w:rPr>
            </w:pPr>
          </w:p>
          <w:p w14:paraId="4CE6E08F">
            <w:pPr>
              <w:adjustRightInd w:val="0"/>
              <w:snapToGrid w:val="0"/>
              <w:jc w:val="center"/>
              <w:rPr>
                <w:color w:val="auto"/>
                <w:highlight w:val="none"/>
              </w:rPr>
            </w:pPr>
          </w:p>
          <w:p w14:paraId="2AA51FD1">
            <w:pPr>
              <w:adjustRightInd w:val="0"/>
              <w:snapToGrid w:val="0"/>
              <w:jc w:val="center"/>
              <w:rPr>
                <w:color w:val="auto"/>
                <w:highlight w:val="none"/>
              </w:rPr>
            </w:pPr>
          </w:p>
          <w:p w14:paraId="1CB1E956">
            <w:pPr>
              <w:adjustRightInd w:val="0"/>
              <w:snapToGrid w:val="0"/>
              <w:jc w:val="center"/>
              <w:rPr>
                <w:color w:val="auto"/>
                <w:highlight w:val="none"/>
              </w:rPr>
            </w:pPr>
          </w:p>
          <w:p w14:paraId="09568558">
            <w:pPr>
              <w:adjustRightInd w:val="0"/>
              <w:snapToGrid w:val="0"/>
              <w:jc w:val="center"/>
              <w:rPr>
                <w:color w:val="auto"/>
                <w:highlight w:val="none"/>
              </w:rPr>
            </w:pPr>
          </w:p>
          <w:p w14:paraId="759CE4D5">
            <w:pPr>
              <w:adjustRightInd w:val="0"/>
              <w:snapToGrid w:val="0"/>
              <w:jc w:val="center"/>
              <w:rPr>
                <w:color w:val="auto"/>
                <w:highlight w:val="none"/>
              </w:rPr>
            </w:pPr>
          </w:p>
          <w:p w14:paraId="33CFDB61">
            <w:pPr>
              <w:adjustRightInd w:val="0"/>
              <w:snapToGrid w:val="0"/>
              <w:jc w:val="center"/>
              <w:rPr>
                <w:color w:val="auto"/>
                <w:highlight w:val="none"/>
              </w:rPr>
            </w:pPr>
          </w:p>
          <w:p w14:paraId="3AEC64B7">
            <w:pPr>
              <w:adjustRightInd w:val="0"/>
              <w:snapToGrid w:val="0"/>
              <w:jc w:val="center"/>
              <w:rPr>
                <w:color w:val="auto"/>
                <w:highlight w:val="none"/>
              </w:rPr>
            </w:pPr>
          </w:p>
          <w:p w14:paraId="3D5AC17A">
            <w:pPr>
              <w:adjustRightInd w:val="0"/>
              <w:snapToGrid w:val="0"/>
              <w:jc w:val="center"/>
              <w:rPr>
                <w:color w:val="auto"/>
                <w:highlight w:val="none"/>
              </w:rPr>
            </w:pPr>
          </w:p>
          <w:p w14:paraId="0B7BBAC1">
            <w:pPr>
              <w:adjustRightInd w:val="0"/>
              <w:snapToGrid w:val="0"/>
              <w:jc w:val="center"/>
              <w:rPr>
                <w:color w:val="auto"/>
                <w:highlight w:val="none"/>
              </w:rPr>
            </w:pPr>
          </w:p>
          <w:p w14:paraId="01284ED9">
            <w:pPr>
              <w:adjustRightInd w:val="0"/>
              <w:snapToGrid w:val="0"/>
              <w:jc w:val="center"/>
              <w:rPr>
                <w:color w:val="auto"/>
                <w:sz w:val="24"/>
                <w:highlight w:val="none"/>
              </w:rPr>
            </w:pPr>
            <w:r>
              <w:rPr>
                <w:rFonts w:hint="eastAsia"/>
                <w:color w:val="auto"/>
                <w:sz w:val="24"/>
                <w:highlight w:val="none"/>
              </w:rPr>
              <w:t>区</w:t>
            </w:r>
          </w:p>
          <w:p w14:paraId="111279C2">
            <w:pPr>
              <w:adjustRightInd w:val="0"/>
              <w:snapToGrid w:val="0"/>
              <w:jc w:val="center"/>
              <w:rPr>
                <w:color w:val="auto"/>
                <w:sz w:val="24"/>
                <w:highlight w:val="none"/>
              </w:rPr>
            </w:pPr>
            <w:r>
              <w:rPr>
                <w:rFonts w:hint="eastAsia"/>
                <w:color w:val="auto"/>
                <w:sz w:val="24"/>
                <w:highlight w:val="none"/>
              </w:rPr>
              <w:t>域</w:t>
            </w:r>
          </w:p>
          <w:p w14:paraId="63152F39">
            <w:pPr>
              <w:adjustRightInd w:val="0"/>
              <w:snapToGrid w:val="0"/>
              <w:jc w:val="center"/>
              <w:rPr>
                <w:color w:val="auto"/>
                <w:sz w:val="24"/>
                <w:highlight w:val="none"/>
              </w:rPr>
            </w:pPr>
            <w:r>
              <w:rPr>
                <w:rFonts w:hint="eastAsia"/>
                <w:color w:val="auto"/>
                <w:sz w:val="24"/>
                <w:highlight w:val="none"/>
              </w:rPr>
              <w:t>环</w:t>
            </w:r>
          </w:p>
          <w:p w14:paraId="7DB0D186">
            <w:pPr>
              <w:adjustRightInd w:val="0"/>
              <w:snapToGrid w:val="0"/>
              <w:jc w:val="center"/>
              <w:rPr>
                <w:color w:val="auto"/>
                <w:sz w:val="24"/>
                <w:highlight w:val="none"/>
              </w:rPr>
            </w:pPr>
            <w:r>
              <w:rPr>
                <w:rFonts w:hint="eastAsia"/>
                <w:color w:val="auto"/>
                <w:sz w:val="24"/>
                <w:highlight w:val="none"/>
              </w:rPr>
              <w:t>境</w:t>
            </w:r>
          </w:p>
          <w:p w14:paraId="47A833D6">
            <w:pPr>
              <w:adjustRightInd w:val="0"/>
              <w:snapToGrid w:val="0"/>
              <w:jc w:val="center"/>
              <w:rPr>
                <w:color w:val="auto"/>
                <w:sz w:val="24"/>
                <w:highlight w:val="none"/>
              </w:rPr>
            </w:pPr>
            <w:r>
              <w:rPr>
                <w:rFonts w:hint="eastAsia"/>
                <w:color w:val="auto"/>
                <w:sz w:val="24"/>
                <w:highlight w:val="none"/>
              </w:rPr>
              <w:t>质</w:t>
            </w:r>
          </w:p>
          <w:p w14:paraId="3E0D0617">
            <w:pPr>
              <w:adjustRightInd w:val="0"/>
              <w:snapToGrid w:val="0"/>
              <w:jc w:val="center"/>
              <w:rPr>
                <w:color w:val="auto"/>
                <w:sz w:val="24"/>
                <w:highlight w:val="none"/>
              </w:rPr>
            </w:pPr>
            <w:r>
              <w:rPr>
                <w:rFonts w:hint="eastAsia"/>
                <w:color w:val="auto"/>
                <w:sz w:val="24"/>
                <w:highlight w:val="none"/>
              </w:rPr>
              <w:t>量</w:t>
            </w:r>
          </w:p>
          <w:p w14:paraId="593DA501">
            <w:pPr>
              <w:adjustRightInd w:val="0"/>
              <w:snapToGrid w:val="0"/>
              <w:jc w:val="center"/>
              <w:rPr>
                <w:color w:val="auto"/>
                <w:sz w:val="24"/>
                <w:highlight w:val="none"/>
              </w:rPr>
            </w:pPr>
            <w:r>
              <w:rPr>
                <w:rFonts w:hint="eastAsia"/>
                <w:color w:val="auto"/>
                <w:sz w:val="24"/>
                <w:highlight w:val="none"/>
              </w:rPr>
              <w:t>现</w:t>
            </w:r>
          </w:p>
          <w:p w14:paraId="2562CC3A">
            <w:pPr>
              <w:adjustRightInd w:val="0"/>
              <w:snapToGrid w:val="0"/>
              <w:jc w:val="center"/>
              <w:rPr>
                <w:color w:val="auto"/>
                <w:sz w:val="24"/>
                <w:highlight w:val="none"/>
              </w:rPr>
            </w:pPr>
            <w:r>
              <w:rPr>
                <w:rFonts w:hint="eastAsia"/>
                <w:color w:val="auto"/>
                <w:sz w:val="24"/>
                <w:highlight w:val="none"/>
              </w:rPr>
              <w:t>状</w:t>
            </w:r>
          </w:p>
          <w:p w14:paraId="1B5F604D">
            <w:pPr>
              <w:adjustRightInd w:val="0"/>
              <w:snapToGrid w:val="0"/>
              <w:jc w:val="center"/>
              <w:rPr>
                <w:color w:val="auto"/>
                <w:highlight w:val="none"/>
              </w:rPr>
            </w:pPr>
          </w:p>
          <w:p w14:paraId="074E4FFE">
            <w:pPr>
              <w:adjustRightInd w:val="0"/>
              <w:snapToGrid w:val="0"/>
              <w:jc w:val="center"/>
              <w:rPr>
                <w:color w:val="auto"/>
                <w:highlight w:val="none"/>
              </w:rPr>
            </w:pPr>
          </w:p>
          <w:p w14:paraId="13EA4B78">
            <w:pPr>
              <w:adjustRightInd w:val="0"/>
              <w:snapToGrid w:val="0"/>
              <w:jc w:val="center"/>
              <w:rPr>
                <w:color w:val="auto"/>
                <w:highlight w:val="none"/>
              </w:rPr>
            </w:pPr>
          </w:p>
          <w:p w14:paraId="05E8909A">
            <w:pPr>
              <w:adjustRightInd w:val="0"/>
              <w:snapToGrid w:val="0"/>
              <w:jc w:val="center"/>
              <w:rPr>
                <w:color w:val="auto"/>
                <w:highlight w:val="none"/>
              </w:rPr>
            </w:pPr>
          </w:p>
          <w:p w14:paraId="797F697E">
            <w:pPr>
              <w:adjustRightInd w:val="0"/>
              <w:snapToGrid w:val="0"/>
              <w:jc w:val="center"/>
              <w:rPr>
                <w:color w:val="auto"/>
                <w:highlight w:val="none"/>
              </w:rPr>
            </w:pPr>
          </w:p>
          <w:p w14:paraId="07CD8971">
            <w:pPr>
              <w:adjustRightInd w:val="0"/>
              <w:snapToGrid w:val="0"/>
              <w:jc w:val="center"/>
              <w:rPr>
                <w:color w:val="auto"/>
                <w:highlight w:val="none"/>
              </w:rPr>
            </w:pPr>
          </w:p>
          <w:p w14:paraId="257CC01C">
            <w:pPr>
              <w:adjustRightInd w:val="0"/>
              <w:snapToGrid w:val="0"/>
              <w:jc w:val="center"/>
              <w:rPr>
                <w:color w:val="auto"/>
                <w:highlight w:val="none"/>
              </w:rPr>
            </w:pPr>
          </w:p>
          <w:p w14:paraId="037C0679">
            <w:pPr>
              <w:adjustRightInd w:val="0"/>
              <w:snapToGrid w:val="0"/>
              <w:jc w:val="center"/>
              <w:rPr>
                <w:color w:val="auto"/>
                <w:highlight w:val="none"/>
              </w:rPr>
            </w:pPr>
          </w:p>
          <w:p w14:paraId="65D6C913">
            <w:pPr>
              <w:adjustRightInd w:val="0"/>
              <w:snapToGrid w:val="0"/>
              <w:jc w:val="center"/>
              <w:rPr>
                <w:color w:val="auto"/>
                <w:highlight w:val="none"/>
              </w:rPr>
            </w:pPr>
          </w:p>
          <w:p w14:paraId="36722FE8">
            <w:pPr>
              <w:adjustRightInd w:val="0"/>
              <w:snapToGrid w:val="0"/>
              <w:jc w:val="center"/>
              <w:rPr>
                <w:color w:val="auto"/>
                <w:highlight w:val="none"/>
              </w:rPr>
            </w:pPr>
          </w:p>
          <w:p w14:paraId="16EF0B4F">
            <w:pPr>
              <w:adjustRightInd w:val="0"/>
              <w:snapToGrid w:val="0"/>
              <w:jc w:val="center"/>
              <w:rPr>
                <w:color w:val="auto"/>
                <w:highlight w:val="none"/>
              </w:rPr>
            </w:pPr>
          </w:p>
          <w:p w14:paraId="7034B805">
            <w:pPr>
              <w:adjustRightInd w:val="0"/>
              <w:snapToGrid w:val="0"/>
              <w:jc w:val="center"/>
              <w:rPr>
                <w:color w:val="auto"/>
                <w:highlight w:val="none"/>
              </w:rPr>
            </w:pPr>
          </w:p>
          <w:p w14:paraId="5D928F34">
            <w:pPr>
              <w:adjustRightInd w:val="0"/>
              <w:snapToGrid w:val="0"/>
              <w:jc w:val="center"/>
              <w:rPr>
                <w:color w:val="auto"/>
                <w:highlight w:val="none"/>
              </w:rPr>
            </w:pPr>
          </w:p>
          <w:p w14:paraId="6607D6E1">
            <w:pPr>
              <w:adjustRightInd w:val="0"/>
              <w:snapToGrid w:val="0"/>
              <w:jc w:val="center"/>
              <w:rPr>
                <w:color w:val="auto"/>
                <w:highlight w:val="none"/>
              </w:rPr>
            </w:pPr>
          </w:p>
          <w:p w14:paraId="16EF75AE">
            <w:pPr>
              <w:adjustRightInd w:val="0"/>
              <w:snapToGrid w:val="0"/>
              <w:jc w:val="center"/>
              <w:rPr>
                <w:color w:val="auto"/>
                <w:highlight w:val="none"/>
              </w:rPr>
            </w:pPr>
          </w:p>
          <w:p w14:paraId="2211064A">
            <w:pPr>
              <w:adjustRightInd w:val="0"/>
              <w:snapToGrid w:val="0"/>
              <w:jc w:val="center"/>
              <w:rPr>
                <w:color w:val="auto"/>
                <w:highlight w:val="none"/>
              </w:rPr>
            </w:pPr>
          </w:p>
          <w:p w14:paraId="0817A9DB">
            <w:pPr>
              <w:adjustRightInd w:val="0"/>
              <w:snapToGrid w:val="0"/>
              <w:jc w:val="center"/>
              <w:rPr>
                <w:color w:val="auto"/>
                <w:highlight w:val="none"/>
              </w:rPr>
            </w:pPr>
          </w:p>
          <w:p w14:paraId="57904D20">
            <w:pPr>
              <w:adjustRightInd w:val="0"/>
              <w:snapToGrid w:val="0"/>
              <w:jc w:val="center"/>
              <w:rPr>
                <w:color w:val="auto"/>
                <w:highlight w:val="none"/>
              </w:rPr>
            </w:pPr>
          </w:p>
          <w:p w14:paraId="4EC9593C">
            <w:pPr>
              <w:adjustRightInd w:val="0"/>
              <w:snapToGrid w:val="0"/>
              <w:jc w:val="center"/>
              <w:rPr>
                <w:color w:val="auto"/>
                <w:highlight w:val="none"/>
              </w:rPr>
            </w:pPr>
          </w:p>
          <w:p w14:paraId="1BF7B8CB">
            <w:pPr>
              <w:adjustRightInd w:val="0"/>
              <w:snapToGrid w:val="0"/>
              <w:jc w:val="center"/>
              <w:rPr>
                <w:color w:val="auto"/>
                <w:highlight w:val="none"/>
              </w:rPr>
            </w:pPr>
          </w:p>
          <w:p w14:paraId="5E9A2FB1">
            <w:pPr>
              <w:adjustRightInd w:val="0"/>
              <w:snapToGrid w:val="0"/>
              <w:jc w:val="center"/>
              <w:rPr>
                <w:color w:val="auto"/>
                <w:highlight w:val="none"/>
              </w:rPr>
            </w:pPr>
          </w:p>
          <w:p w14:paraId="2CA645B4">
            <w:pPr>
              <w:adjustRightInd w:val="0"/>
              <w:snapToGrid w:val="0"/>
              <w:jc w:val="center"/>
              <w:rPr>
                <w:color w:val="auto"/>
                <w:highlight w:val="none"/>
              </w:rPr>
            </w:pPr>
          </w:p>
          <w:p w14:paraId="1D49FDBF">
            <w:pPr>
              <w:adjustRightInd w:val="0"/>
              <w:snapToGrid w:val="0"/>
              <w:jc w:val="center"/>
              <w:rPr>
                <w:color w:val="auto"/>
                <w:highlight w:val="none"/>
              </w:rPr>
            </w:pPr>
          </w:p>
          <w:p w14:paraId="61C7A90A">
            <w:pPr>
              <w:adjustRightInd w:val="0"/>
              <w:snapToGrid w:val="0"/>
              <w:jc w:val="center"/>
              <w:rPr>
                <w:color w:val="auto"/>
                <w:highlight w:val="none"/>
              </w:rPr>
            </w:pPr>
          </w:p>
          <w:p w14:paraId="75CA44E2">
            <w:pPr>
              <w:adjustRightInd w:val="0"/>
              <w:snapToGrid w:val="0"/>
              <w:jc w:val="center"/>
              <w:rPr>
                <w:color w:val="auto"/>
                <w:highlight w:val="none"/>
              </w:rPr>
            </w:pPr>
          </w:p>
          <w:p w14:paraId="622F920B">
            <w:pPr>
              <w:adjustRightInd w:val="0"/>
              <w:snapToGrid w:val="0"/>
              <w:jc w:val="center"/>
              <w:rPr>
                <w:color w:val="auto"/>
                <w:highlight w:val="none"/>
              </w:rPr>
            </w:pPr>
          </w:p>
          <w:p w14:paraId="522A789B">
            <w:pPr>
              <w:adjustRightInd w:val="0"/>
              <w:snapToGrid w:val="0"/>
              <w:jc w:val="center"/>
              <w:rPr>
                <w:color w:val="auto"/>
                <w:highlight w:val="none"/>
              </w:rPr>
            </w:pPr>
          </w:p>
          <w:p w14:paraId="07EEF947">
            <w:pPr>
              <w:adjustRightInd w:val="0"/>
              <w:snapToGrid w:val="0"/>
              <w:jc w:val="center"/>
              <w:rPr>
                <w:color w:val="auto"/>
                <w:highlight w:val="none"/>
              </w:rPr>
            </w:pPr>
          </w:p>
          <w:p w14:paraId="44860006">
            <w:pPr>
              <w:adjustRightInd w:val="0"/>
              <w:snapToGrid w:val="0"/>
              <w:jc w:val="center"/>
              <w:rPr>
                <w:color w:val="auto"/>
                <w:highlight w:val="none"/>
              </w:rPr>
            </w:pPr>
          </w:p>
          <w:p w14:paraId="164FFB26">
            <w:pPr>
              <w:adjustRightInd w:val="0"/>
              <w:snapToGrid w:val="0"/>
              <w:jc w:val="center"/>
              <w:rPr>
                <w:color w:val="auto"/>
                <w:highlight w:val="none"/>
              </w:rPr>
            </w:pPr>
          </w:p>
          <w:p w14:paraId="660933F1">
            <w:pPr>
              <w:adjustRightInd w:val="0"/>
              <w:snapToGrid w:val="0"/>
              <w:rPr>
                <w:color w:val="auto"/>
                <w:highlight w:val="none"/>
              </w:rPr>
            </w:pPr>
          </w:p>
          <w:p w14:paraId="2A78D730">
            <w:pPr>
              <w:adjustRightInd w:val="0"/>
              <w:snapToGrid w:val="0"/>
              <w:jc w:val="center"/>
              <w:rPr>
                <w:color w:val="auto"/>
                <w:sz w:val="24"/>
                <w:highlight w:val="none"/>
              </w:rPr>
            </w:pPr>
          </w:p>
          <w:p w14:paraId="2D0C5229">
            <w:pPr>
              <w:adjustRightInd w:val="0"/>
              <w:snapToGrid w:val="0"/>
              <w:jc w:val="center"/>
              <w:rPr>
                <w:color w:val="auto"/>
                <w:sz w:val="24"/>
                <w:highlight w:val="none"/>
              </w:rPr>
            </w:pPr>
            <w:r>
              <w:rPr>
                <w:rFonts w:hint="eastAsia"/>
                <w:color w:val="auto"/>
                <w:sz w:val="24"/>
                <w:highlight w:val="none"/>
              </w:rPr>
              <w:t>区域</w:t>
            </w:r>
          </w:p>
          <w:p w14:paraId="222D1E76">
            <w:pPr>
              <w:adjustRightInd w:val="0"/>
              <w:snapToGrid w:val="0"/>
              <w:jc w:val="center"/>
              <w:rPr>
                <w:color w:val="auto"/>
                <w:sz w:val="24"/>
                <w:highlight w:val="none"/>
              </w:rPr>
            </w:pPr>
            <w:r>
              <w:rPr>
                <w:rFonts w:hint="eastAsia"/>
                <w:color w:val="auto"/>
                <w:sz w:val="24"/>
                <w:highlight w:val="none"/>
              </w:rPr>
              <w:t>环境</w:t>
            </w:r>
          </w:p>
          <w:p w14:paraId="3957BE70">
            <w:pPr>
              <w:adjustRightInd w:val="0"/>
              <w:snapToGrid w:val="0"/>
              <w:jc w:val="center"/>
              <w:rPr>
                <w:color w:val="auto"/>
                <w:sz w:val="24"/>
                <w:highlight w:val="none"/>
              </w:rPr>
            </w:pPr>
            <w:r>
              <w:rPr>
                <w:rFonts w:hint="eastAsia"/>
                <w:color w:val="auto"/>
                <w:sz w:val="24"/>
                <w:highlight w:val="none"/>
              </w:rPr>
              <w:t>质量</w:t>
            </w:r>
          </w:p>
          <w:p w14:paraId="5EB04A79">
            <w:pPr>
              <w:adjustRightInd w:val="0"/>
              <w:snapToGrid w:val="0"/>
              <w:jc w:val="center"/>
              <w:rPr>
                <w:color w:val="auto"/>
                <w:sz w:val="24"/>
                <w:highlight w:val="none"/>
              </w:rPr>
            </w:pPr>
            <w:r>
              <w:rPr>
                <w:rFonts w:hint="eastAsia"/>
                <w:color w:val="auto"/>
                <w:sz w:val="24"/>
                <w:highlight w:val="none"/>
              </w:rPr>
              <w:t>现状</w:t>
            </w:r>
          </w:p>
          <w:p w14:paraId="0B0CDE8E">
            <w:pPr>
              <w:adjustRightInd w:val="0"/>
              <w:snapToGrid w:val="0"/>
              <w:rPr>
                <w:color w:val="auto"/>
                <w:highlight w:val="none"/>
              </w:rPr>
            </w:pPr>
          </w:p>
          <w:p w14:paraId="4F4DD9CE">
            <w:pPr>
              <w:pStyle w:val="46"/>
              <w:rPr>
                <w:rFonts w:hAnsi="宋体"/>
                <w:color w:val="auto"/>
                <w:szCs w:val="21"/>
                <w:highlight w:val="none"/>
              </w:rPr>
            </w:pPr>
          </w:p>
        </w:tc>
        <w:tc>
          <w:tcPr>
            <w:tcW w:w="8312" w:type="dxa"/>
          </w:tcPr>
          <w:p w14:paraId="12247511">
            <w:pPr>
              <w:spacing w:line="360" w:lineRule="auto"/>
              <w:ind w:firstLine="482" w:firstLineChars="200"/>
              <w:rPr>
                <w:b/>
                <w:bCs/>
                <w:color w:val="auto"/>
                <w:sz w:val="24"/>
                <w:highlight w:val="none"/>
              </w:rPr>
            </w:pPr>
            <w:r>
              <w:rPr>
                <w:rFonts w:hint="eastAsia"/>
                <w:b/>
                <w:bCs/>
                <w:color w:val="auto"/>
                <w:sz w:val="24"/>
                <w:highlight w:val="none"/>
              </w:rPr>
              <w:t>（一）</w:t>
            </w:r>
            <w:r>
              <w:rPr>
                <w:b/>
                <w:bCs/>
                <w:color w:val="auto"/>
                <w:sz w:val="24"/>
                <w:highlight w:val="none"/>
              </w:rPr>
              <w:t>环境空气质量现状</w:t>
            </w:r>
          </w:p>
          <w:p w14:paraId="1931B7CA">
            <w:pPr>
              <w:spacing w:line="360" w:lineRule="auto"/>
              <w:ind w:firstLine="482" w:firstLineChars="200"/>
              <w:rPr>
                <w:b/>
                <w:bCs/>
                <w:color w:val="auto"/>
                <w:sz w:val="24"/>
                <w:highlight w:val="none"/>
              </w:rPr>
            </w:pPr>
            <w:r>
              <w:rPr>
                <w:b/>
                <w:bCs/>
                <w:color w:val="auto"/>
                <w:sz w:val="24"/>
                <w:highlight w:val="none"/>
              </w:rPr>
              <w:t>1、</w:t>
            </w:r>
            <w:r>
              <w:rPr>
                <w:rFonts w:hint="eastAsia"/>
                <w:b/>
                <w:bCs/>
                <w:color w:val="auto"/>
                <w:sz w:val="24"/>
                <w:highlight w:val="none"/>
              </w:rPr>
              <w:t>常规污染物</w:t>
            </w:r>
          </w:p>
          <w:p w14:paraId="51AAD9F8">
            <w:pPr>
              <w:adjustRightInd w:val="0"/>
              <w:snapToGrid w:val="0"/>
              <w:spacing w:line="360" w:lineRule="auto"/>
              <w:ind w:firstLine="480" w:firstLineChars="200"/>
              <w:rPr>
                <w:color w:val="auto"/>
                <w:sz w:val="24"/>
                <w:highlight w:val="none"/>
              </w:rPr>
            </w:pPr>
            <w:r>
              <w:rPr>
                <w:color w:val="auto"/>
                <w:sz w:val="24"/>
                <w:highlight w:val="none"/>
              </w:rPr>
              <w:t>项目评价区域内环境空气质量执行《环境空气质量标准》</w:t>
            </w:r>
            <w:r>
              <w:rPr>
                <w:rFonts w:hint="eastAsia"/>
                <w:color w:val="auto"/>
                <w:sz w:val="24"/>
                <w:highlight w:val="none"/>
              </w:rPr>
              <w:t>（</w:t>
            </w:r>
            <w:r>
              <w:rPr>
                <w:color w:val="auto"/>
                <w:sz w:val="24"/>
                <w:highlight w:val="none"/>
              </w:rPr>
              <w:t>GB</w:t>
            </w:r>
            <w:r>
              <w:rPr>
                <w:rFonts w:hint="eastAsia"/>
                <w:color w:val="auto"/>
                <w:sz w:val="24"/>
                <w:highlight w:val="none"/>
                <w:lang w:val="en-US" w:eastAsia="zh-CN"/>
              </w:rPr>
              <w:t xml:space="preserve"> </w:t>
            </w:r>
            <w:r>
              <w:rPr>
                <w:color w:val="auto"/>
                <w:sz w:val="24"/>
                <w:highlight w:val="none"/>
              </w:rPr>
              <w:t>3095-2012</w:t>
            </w:r>
            <w:r>
              <w:rPr>
                <w:rFonts w:hint="eastAsia"/>
                <w:color w:val="auto"/>
                <w:sz w:val="24"/>
                <w:highlight w:val="none"/>
              </w:rPr>
              <w:t>）</w:t>
            </w:r>
            <w:r>
              <w:rPr>
                <w:color w:val="auto"/>
                <w:sz w:val="24"/>
                <w:highlight w:val="none"/>
              </w:rPr>
              <w:t>中二级标准。本次评价按照《环境空气质量评价技术规范（试行）》</w:t>
            </w:r>
            <w:r>
              <w:rPr>
                <w:rFonts w:hint="eastAsia"/>
                <w:color w:val="auto"/>
                <w:sz w:val="24"/>
                <w:highlight w:val="none"/>
              </w:rPr>
              <w:t>（</w:t>
            </w:r>
            <w:r>
              <w:rPr>
                <w:color w:val="auto"/>
                <w:sz w:val="24"/>
                <w:highlight w:val="none"/>
              </w:rPr>
              <w:t>HJ</w:t>
            </w:r>
            <w:r>
              <w:rPr>
                <w:rFonts w:hint="eastAsia"/>
                <w:color w:val="auto"/>
                <w:sz w:val="24"/>
                <w:highlight w:val="none"/>
                <w:lang w:val="en-US" w:eastAsia="zh-CN"/>
              </w:rPr>
              <w:t xml:space="preserve"> </w:t>
            </w:r>
            <w:r>
              <w:rPr>
                <w:color w:val="auto"/>
                <w:sz w:val="24"/>
                <w:highlight w:val="none"/>
              </w:rPr>
              <w:t>663-2013</w:t>
            </w:r>
            <w:r>
              <w:rPr>
                <w:rFonts w:hint="eastAsia"/>
                <w:color w:val="auto"/>
                <w:sz w:val="24"/>
                <w:highlight w:val="none"/>
              </w:rPr>
              <w:t>）</w:t>
            </w:r>
            <w:r>
              <w:rPr>
                <w:color w:val="auto"/>
                <w:sz w:val="24"/>
                <w:highlight w:val="none"/>
              </w:rPr>
              <w:t>中各评价项目的年评价指标进行判定。年评价指标中的年均浓度和相应百分位数24h平均或8h平均质量浓度满足《环境空气质量标准》</w:t>
            </w:r>
            <w:r>
              <w:rPr>
                <w:rFonts w:hint="eastAsia"/>
                <w:color w:val="auto"/>
                <w:sz w:val="24"/>
                <w:highlight w:val="none"/>
              </w:rPr>
              <w:t>（</w:t>
            </w:r>
            <w:r>
              <w:rPr>
                <w:color w:val="auto"/>
                <w:sz w:val="24"/>
                <w:highlight w:val="none"/>
              </w:rPr>
              <w:t>GB3095-2012</w:t>
            </w:r>
            <w:r>
              <w:rPr>
                <w:rFonts w:hint="eastAsia"/>
                <w:color w:val="auto"/>
                <w:sz w:val="24"/>
                <w:highlight w:val="none"/>
              </w:rPr>
              <w:t>）</w:t>
            </w:r>
            <w:r>
              <w:rPr>
                <w:color w:val="auto"/>
                <w:sz w:val="24"/>
                <w:highlight w:val="none"/>
              </w:rPr>
              <w:t>中浓度限值要求的即为达标。</w:t>
            </w:r>
          </w:p>
          <w:p w14:paraId="41A239FE">
            <w:pPr>
              <w:adjustRightInd w:val="0"/>
              <w:snapToGrid w:val="0"/>
              <w:spacing w:line="360" w:lineRule="auto"/>
              <w:ind w:firstLine="480" w:firstLineChars="200"/>
              <w:jc w:val="left"/>
              <w:rPr>
                <w:color w:val="auto"/>
                <w:sz w:val="24"/>
                <w:highlight w:val="none"/>
              </w:rPr>
            </w:pPr>
            <w:r>
              <w:rPr>
                <w:color w:val="auto"/>
                <w:sz w:val="24"/>
                <w:highlight w:val="none"/>
              </w:rPr>
              <w:t>本次评价引用陕西省生态环境厅办公室发布的《环保快报（202</w:t>
            </w:r>
            <w:r>
              <w:rPr>
                <w:rFonts w:hint="eastAsia"/>
                <w:color w:val="auto"/>
                <w:sz w:val="24"/>
                <w:highlight w:val="none"/>
              </w:rPr>
              <w:t>5</w:t>
            </w:r>
            <w:r>
              <w:rPr>
                <w:color w:val="auto"/>
                <w:sz w:val="24"/>
                <w:highlight w:val="none"/>
              </w:rPr>
              <w:t>-</w:t>
            </w:r>
            <w:r>
              <w:rPr>
                <w:rFonts w:hint="eastAsia"/>
                <w:color w:val="auto"/>
                <w:sz w:val="24"/>
                <w:highlight w:val="none"/>
              </w:rPr>
              <w:t>1</w:t>
            </w:r>
            <w:r>
              <w:rPr>
                <w:color w:val="auto"/>
                <w:sz w:val="24"/>
                <w:highlight w:val="none"/>
              </w:rPr>
              <w:t>）202</w:t>
            </w:r>
            <w:r>
              <w:rPr>
                <w:rFonts w:hint="eastAsia"/>
                <w:color w:val="auto"/>
                <w:sz w:val="24"/>
                <w:highlight w:val="none"/>
              </w:rPr>
              <w:t>4</w:t>
            </w:r>
            <w:r>
              <w:rPr>
                <w:color w:val="auto"/>
                <w:sz w:val="24"/>
                <w:highlight w:val="none"/>
              </w:rPr>
              <w:t>年12月及1</w:t>
            </w:r>
            <w:r>
              <w:rPr>
                <w:rFonts w:hint="eastAsia"/>
                <w:color w:val="auto"/>
                <w:sz w:val="24"/>
                <w:highlight w:val="none"/>
                <w:lang w:eastAsia="zh-CN"/>
              </w:rPr>
              <w:t>—</w:t>
            </w:r>
            <w:r>
              <w:rPr>
                <w:color w:val="auto"/>
                <w:sz w:val="24"/>
                <w:highlight w:val="none"/>
              </w:rPr>
              <w:t>12月全省环境空气质量状况》数据</w:t>
            </w:r>
            <w:r>
              <w:rPr>
                <w:rFonts w:hint="eastAsia"/>
                <w:color w:val="auto"/>
                <w:sz w:val="24"/>
                <w:highlight w:val="none"/>
              </w:rPr>
              <w:t>，洋县空气优良天数352天</w:t>
            </w:r>
            <w:r>
              <w:rPr>
                <w:color w:val="auto"/>
                <w:sz w:val="24"/>
                <w:highlight w:val="none"/>
              </w:rPr>
              <w:t>，见表3-1。</w:t>
            </w:r>
          </w:p>
          <w:p w14:paraId="1C4250C9">
            <w:pPr>
              <w:tabs>
                <w:tab w:val="left" w:leader="middleDot" w:pos="8399"/>
              </w:tabs>
              <w:ind w:firstLine="420"/>
              <w:jc w:val="center"/>
              <w:rPr>
                <w:b/>
                <w:color w:val="auto"/>
                <w:szCs w:val="21"/>
                <w:highlight w:val="none"/>
              </w:rPr>
            </w:pPr>
            <w:r>
              <w:rPr>
                <w:rFonts w:hint="eastAsia"/>
                <w:b/>
                <w:color w:val="auto"/>
                <w:szCs w:val="21"/>
                <w:highlight w:val="none"/>
              </w:rPr>
              <w:t>表3-1  项目所在区域环境质量现状评价表</w:t>
            </w:r>
          </w:p>
          <w:tbl>
            <w:tblPr>
              <w:tblStyle w:val="32"/>
              <w:tblW w:w="80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118"/>
              <w:gridCol w:w="1110"/>
              <w:gridCol w:w="960"/>
              <w:gridCol w:w="876"/>
              <w:gridCol w:w="1110"/>
            </w:tblGrid>
            <w:tr w14:paraId="72DBF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0EF518FD">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污染物</w:t>
                  </w:r>
                </w:p>
              </w:tc>
              <w:tc>
                <w:tcPr>
                  <w:tcW w:w="3118" w:type="dxa"/>
                  <w:vAlign w:val="center"/>
                </w:tcPr>
                <w:p w14:paraId="28FB66B4">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年评价指标</w:t>
                  </w:r>
                </w:p>
              </w:tc>
              <w:tc>
                <w:tcPr>
                  <w:tcW w:w="1110" w:type="dxa"/>
                  <w:vAlign w:val="center"/>
                </w:tcPr>
                <w:p w14:paraId="07E25E09">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现状浓度/(μg/m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960" w:type="dxa"/>
                  <w:vAlign w:val="center"/>
                </w:tcPr>
                <w:p w14:paraId="2AD58153">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标准值/(μg/m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876" w:type="dxa"/>
                  <w:vAlign w:val="center"/>
                </w:tcPr>
                <w:p w14:paraId="43C92DF8">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占标率</w:t>
                  </w:r>
                </w:p>
              </w:tc>
              <w:tc>
                <w:tcPr>
                  <w:tcW w:w="1110" w:type="dxa"/>
                  <w:vAlign w:val="center"/>
                </w:tcPr>
                <w:p w14:paraId="30A918D4">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达标情况</w:t>
                  </w:r>
                </w:p>
              </w:tc>
            </w:tr>
            <w:tr w14:paraId="26F85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01039238">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10</w:t>
                  </w:r>
                </w:p>
              </w:tc>
              <w:tc>
                <w:tcPr>
                  <w:tcW w:w="3118" w:type="dxa"/>
                  <w:vAlign w:val="center"/>
                </w:tcPr>
                <w:p w14:paraId="62727295">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5DDC2A11">
                  <w:pPr>
                    <w:widowControl/>
                    <w:jc w:val="center"/>
                    <w:textAlignment w:val="center"/>
                    <w:rPr>
                      <w:color w:val="auto"/>
                      <w:szCs w:val="21"/>
                      <w:highlight w:val="none"/>
                    </w:rPr>
                  </w:pPr>
                  <w:r>
                    <w:rPr>
                      <w:color w:val="auto"/>
                      <w:kern w:val="0"/>
                      <w:szCs w:val="21"/>
                      <w:highlight w:val="none"/>
                    </w:rPr>
                    <w:t>4</w:t>
                  </w:r>
                  <w:r>
                    <w:rPr>
                      <w:rFonts w:hint="eastAsia"/>
                      <w:color w:val="auto"/>
                      <w:kern w:val="0"/>
                      <w:szCs w:val="21"/>
                      <w:highlight w:val="none"/>
                    </w:rPr>
                    <w:t>0</w:t>
                  </w:r>
                </w:p>
              </w:tc>
              <w:tc>
                <w:tcPr>
                  <w:tcW w:w="960" w:type="dxa"/>
                  <w:vAlign w:val="center"/>
                </w:tcPr>
                <w:p w14:paraId="4761422D">
                  <w:pPr>
                    <w:widowControl/>
                    <w:jc w:val="center"/>
                    <w:textAlignment w:val="center"/>
                    <w:rPr>
                      <w:color w:val="auto"/>
                      <w:szCs w:val="21"/>
                      <w:highlight w:val="none"/>
                    </w:rPr>
                  </w:pPr>
                  <w:r>
                    <w:rPr>
                      <w:color w:val="auto"/>
                      <w:kern w:val="0"/>
                      <w:szCs w:val="21"/>
                      <w:highlight w:val="none"/>
                    </w:rPr>
                    <w:t>70</w:t>
                  </w:r>
                </w:p>
              </w:tc>
              <w:tc>
                <w:tcPr>
                  <w:tcW w:w="876" w:type="dxa"/>
                  <w:vAlign w:val="center"/>
                </w:tcPr>
                <w:p w14:paraId="36A208EC">
                  <w:pPr>
                    <w:widowControl/>
                    <w:jc w:val="center"/>
                    <w:textAlignment w:val="center"/>
                    <w:rPr>
                      <w:color w:val="auto"/>
                      <w:szCs w:val="21"/>
                      <w:highlight w:val="none"/>
                    </w:rPr>
                  </w:pPr>
                  <w:r>
                    <w:rPr>
                      <w:rFonts w:hint="eastAsia"/>
                      <w:color w:val="auto"/>
                      <w:kern w:val="0"/>
                      <w:szCs w:val="21"/>
                      <w:highlight w:val="none"/>
                    </w:rPr>
                    <w:t>57.14</w:t>
                  </w:r>
                  <w:r>
                    <w:rPr>
                      <w:color w:val="auto"/>
                      <w:kern w:val="0"/>
                      <w:szCs w:val="21"/>
                      <w:highlight w:val="none"/>
                    </w:rPr>
                    <w:t>%</w:t>
                  </w:r>
                </w:p>
              </w:tc>
              <w:tc>
                <w:tcPr>
                  <w:tcW w:w="1110" w:type="dxa"/>
                  <w:vAlign w:val="center"/>
                </w:tcPr>
                <w:p w14:paraId="06090B59">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2E055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7BD0A68B">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2.5</w:t>
                  </w:r>
                </w:p>
              </w:tc>
              <w:tc>
                <w:tcPr>
                  <w:tcW w:w="3118" w:type="dxa"/>
                  <w:vAlign w:val="center"/>
                </w:tcPr>
                <w:p w14:paraId="66483B71">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720BCAB6">
                  <w:pPr>
                    <w:widowControl/>
                    <w:jc w:val="center"/>
                    <w:textAlignment w:val="center"/>
                    <w:rPr>
                      <w:color w:val="auto"/>
                      <w:szCs w:val="21"/>
                      <w:highlight w:val="none"/>
                    </w:rPr>
                  </w:pPr>
                  <w:r>
                    <w:rPr>
                      <w:color w:val="auto"/>
                      <w:kern w:val="0"/>
                      <w:szCs w:val="21"/>
                      <w:highlight w:val="none"/>
                    </w:rPr>
                    <w:t>27</w:t>
                  </w:r>
                </w:p>
              </w:tc>
              <w:tc>
                <w:tcPr>
                  <w:tcW w:w="960" w:type="dxa"/>
                  <w:vAlign w:val="center"/>
                </w:tcPr>
                <w:p w14:paraId="0D6830F3">
                  <w:pPr>
                    <w:widowControl/>
                    <w:jc w:val="center"/>
                    <w:textAlignment w:val="center"/>
                    <w:rPr>
                      <w:color w:val="auto"/>
                      <w:szCs w:val="21"/>
                      <w:highlight w:val="none"/>
                    </w:rPr>
                  </w:pPr>
                  <w:r>
                    <w:rPr>
                      <w:color w:val="auto"/>
                      <w:kern w:val="0"/>
                      <w:szCs w:val="21"/>
                      <w:highlight w:val="none"/>
                    </w:rPr>
                    <w:t>35</w:t>
                  </w:r>
                </w:p>
              </w:tc>
              <w:tc>
                <w:tcPr>
                  <w:tcW w:w="876" w:type="dxa"/>
                  <w:vAlign w:val="center"/>
                </w:tcPr>
                <w:p w14:paraId="27A2CF6A">
                  <w:pPr>
                    <w:widowControl/>
                    <w:jc w:val="center"/>
                    <w:textAlignment w:val="center"/>
                    <w:rPr>
                      <w:color w:val="auto"/>
                      <w:szCs w:val="21"/>
                      <w:highlight w:val="none"/>
                    </w:rPr>
                  </w:pPr>
                  <w:r>
                    <w:rPr>
                      <w:color w:val="auto"/>
                      <w:kern w:val="0"/>
                      <w:szCs w:val="21"/>
                      <w:highlight w:val="none"/>
                    </w:rPr>
                    <w:t>77.14%</w:t>
                  </w:r>
                </w:p>
              </w:tc>
              <w:tc>
                <w:tcPr>
                  <w:tcW w:w="1110" w:type="dxa"/>
                  <w:vAlign w:val="center"/>
                </w:tcPr>
                <w:p w14:paraId="67639C78">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1150C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00FDFDD2">
                  <w:pPr>
                    <w:widowControl/>
                    <w:jc w:val="center"/>
                    <w:textAlignment w:val="center"/>
                    <w:rPr>
                      <w:color w:val="auto"/>
                      <w:szCs w:val="21"/>
                      <w:highlight w:val="none"/>
                    </w:rPr>
                  </w:pPr>
                  <w:r>
                    <w:rPr>
                      <w:color w:val="auto"/>
                      <w:kern w:val="0"/>
                      <w:szCs w:val="21"/>
                      <w:highlight w:val="none"/>
                    </w:rPr>
                    <w:t>SO</w:t>
                  </w:r>
                  <w:r>
                    <w:rPr>
                      <w:color w:val="auto"/>
                      <w:kern w:val="0"/>
                      <w:szCs w:val="21"/>
                      <w:highlight w:val="none"/>
                      <w:vertAlign w:val="subscript"/>
                    </w:rPr>
                    <w:t>2</w:t>
                  </w:r>
                </w:p>
              </w:tc>
              <w:tc>
                <w:tcPr>
                  <w:tcW w:w="3118" w:type="dxa"/>
                  <w:vAlign w:val="center"/>
                </w:tcPr>
                <w:p w14:paraId="2F3EB01D">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39116CE8">
                  <w:pPr>
                    <w:widowControl/>
                    <w:jc w:val="center"/>
                    <w:textAlignment w:val="center"/>
                    <w:rPr>
                      <w:color w:val="auto"/>
                      <w:szCs w:val="21"/>
                      <w:highlight w:val="none"/>
                    </w:rPr>
                  </w:pPr>
                  <w:r>
                    <w:rPr>
                      <w:rFonts w:hint="eastAsia"/>
                      <w:color w:val="auto"/>
                      <w:kern w:val="0"/>
                      <w:szCs w:val="21"/>
                      <w:highlight w:val="none"/>
                    </w:rPr>
                    <w:t>7</w:t>
                  </w:r>
                </w:p>
              </w:tc>
              <w:tc>
                <w:tcPr>
                  <w:tcW w:w="960" w:type="dxa"/>
                  <w:vAlign w:val="center"/>
                </w:tcPr>
                <w:p w14:paraId="00D982F7">
                  <w:pPr>
                    <w:widowControl/>
                    <w:jc w:val="center"/>
                    <w:textAlignment w:val="center"/>
                    <w:rPr>
                      <w:color w:val="auto"/>
                      <w:szCs w:val="21"/>
                      <w:highlight w:val="none"/>
                    </w:rPr>
                  </w:pPr>
                  <w:r>
                    <w:rPr>
                      <w:color w:val="auto"/>
                      <w:kern w:val="0"/>
                      <w:szCs w:val="21"/>
                      <w:highlight w:val="none"/>
                    </w:rPr>
                    <w:t>60</w:t>
                  </w:r>
                </w:p>
              </w:tc>
              <w:tc>
                <w:tcPr>
                  <w:tcW w:w="876" w:type="dxa"/>
                  <w:vAlign w:val="center"/>
                </w:tcPr>
                <w:p w14:paraId="7B2FE988">
                  <w:pPr>
                    <w:widowControl/>
                    <w:jc w:val="center"/>
                    <w:textAlignment w:val="center"/>
                    <w:rPr>
                      <w:color w:val="auto"/>
                      <w:szCs w:val="21"/>
                      <w:highlight w:val="none"/>
                    </w:rPr>
                  </w:pPr>
                  <w:r>
                    <w:rPr>
                      <w:color w:val="auto"/>
                      <w:kern w:val="0"/>
                      <w:szCs w:val="21"/>
                      <w:highlight w:val="none"/>
                    </w:rPr>
                    <w:t>1</w:t>
                  </w:r>
                  <w:r>
                    <w:rPr>
                      <w:rFonts w:hint="eastAsia"/>
                      <w:color w:val="auto"/>
                      <w:kern w:val="0"/>
                      <w:szCs w:val="21"/>
                      <w:highlight w:val="none"/>
                    </w:rPr>
                    <w:t>1.67</w:t>
                  </w:r>
                  <w:r>
                    <w:rPr>
                      <w:color w:val="auto"/>
                      <w:kern w:val="0"/>
                      <w:szCs w:val="21"/>
                      <w:highlight w:val="none"/>
                    </w:rPr>
                    <w:t>%</w:t>
                  </w:r>
                </w:p>
              </w:tc>
              <w:tc>
                <w:tcPr>
                  <w:tcW w:w="1110" w:type="dxa"/>
                  <w:vAlign w:val="center"/>
                </w:tcPr>
                <w:p w14:paraId="050EAD0F">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6A610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D4D7B99">
                  <w:pPr>
                    <w:widowControl/>
                    <w:jc w:val="center"/>
                    <w:textAlignment w:val="center"/>
                    <w:rPr>
                      <w:color w:val="auto"/>
                      <w:szCs w:val="21"/>
                      <w:highlight w:val="none"/>
                    </w:rPr>
                  </w:pPr>
                  <w:r>
                    <w:rPr>
                      <w:color w:val="auto"/>
                      <w:kern w:val="0"/>
                      <w:szCs w:val="21"/>
                      <w:highlight w:val="none"/>
                    </w:rPr>
                    <w:t>NO</w:t>
                  </w:r>
                  <w:r>
                    <w:rPr>
                      <w:color w:val="auto"/>
                      <w:kern w:val="0"/>
                      <w:szCs w:val="21"/>
                      <w:highlight w:val="none"/>
                      <w:vertAlign w:val="subscript"/>
                    </w:rPr>
                    <w:t>2</w:t>
                  </w:r>
                </w:p>
              </w:tc>
              <w:tc>
                <w:tcPr>
                  <w:tcW w:w="3118" w:type="dxa"/>
                  <w:vAlign w:val="center"/>
                </w:tcPr>
                <w:p w14:paraId="756AEE4D">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5462D525">
                  <w:pPr>
                    <w:widowControl/>
                    <w:jc w:val="center"/>
                    <w:textAlignment w:val="center"/>
                    <w:rPr>
                      <w:color w:val="auto"/>
                      <w:szCs w:val="21"/>
                      <w:highlight w:val="none"/>
                    </w:rPr>
                  </w:pPr>
                  <w:r>
                    <w:rPr>
                      <w:color w:val="auto"/>
                      <w:kern w:val="0"/>
                      <w:szCs w:val="21"/>
                      <w:highlight w:val="none"/>
                    </w:rPr>
                    <w:t>14</w:t>
                  </w:r>
                </w:p>
              </w:tc>
              <w:tc>
                <w:tcPr>
                  <w:tcW w:w="960" w:type="dxa"/>
                  <w:vAlign w:val="center"/>
                </w:tcPr>
                <w:p w14:paraId="50F64706">
                  <w:pPr>
                    <w:widowControl/>
                    <w:jc w:val="center"/>
                    <w:textAlignment w:val="center"/>
                    <w:rPr>
                      <w:color w:val="auto"/>
                      <w:szCs w:val="21"/>
                      <w:highlight w:val="none"/>
                    </w:rPr>
                  </w:pPr>
                  <w:r>
                    <w:rPr>
                      <w:color w:val="auto"/>
                      <w:kern w:val="0"/>
                      <w:szCs w:val="21"/>
                      <w:highlight w:val="none"/>
                    </w:rPr>
                    <w:t>40</w:t>
                  </w:r>
                </w:p>
              </w:tc>
              <w:tc>
                <w:tcPr>
                  <w:tcW w:w="876" w:type="dxa"/>
                  <w:vAlign w:val="center"/>
                </w:tcPr>
                <w:p w14:paraId="22F4FFBC">
                  <w:pPr>
                    <w:widowControl/>
                    <w:jc w:val="center"/>
                    <w:textAlignment w:val="center"/>
                    <w:rPr>
                      <w:color w:val="auto"/>
                      <w:szCs w:val="21"/>
                      <w:highlight w:val="none"/>
                    </w:rPr>
                  </w:pPr>
                  <w:r>
                    <w:rPr>
                      <w:color w:val="auto"/>
                      <w:kern w:val="0"/>
                      <w:szCs w:val="21"/>
                      <w:highlight w:val="none"/>
                    </w:rPr>
                    <w:t>35.00%</w:t>
                  </w:r>
                </w:p>
              </w:tc>
              <w:tc>
                <w:tcPr>
                  <w:tcW w:w="1110" w:type="dxa"/>
                  <w:vAlign w:val="center"/>
                </w:tcPr>
                <w:p w14:paraId="1C006776">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43929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543586D5">
                  <w:pPr>
                    <w:widowControl/>
                    <w:jc w:val="center"/>
                    <w:textAlignment w:val="center"/>
                    <w:rPr>
                      <w:color w:val="auto"/>
                      <w:szCs w:val="21"/>
                      <w:highlight w:val="none"/>
                    </w:rPr>
                  </w:pPr>
                  <w:r>
                    <w:rPr>
                      <w:color w:val="auto"/>
                      <w:kern w:val="0"/>
                      <w:szCs w:val="21"/>
                      <w:highlight w:val="none"/>
                    </w:rPr>
                    <w:t>CO</w:t>
                  </w:r>
                </w:p>
              </w:tc>
              <w:tc>
                <w:tcPr>
                  <w:tcW w:w="3118" w:type="dxa"/>
                  <w:vAlign w:val="center"/>
                </w:tcPr>
                <w:p w14:paraId="52A1BB1A">
                  <w:pPr>
                    <w:widowControl/>
                    <w:jc w:val="center"/>
                    <w:textAlignment w:val="center"/>
                    <w:rPr>
                      <w:color w:val="auto"/>
                      <w:szCs w:val="21"/>
                      <w:highlight w:val="none"/>
                    </w:rPr>
                  </w:pPr>
                  <w:r>
                    <w:rPr>
                      <w:rFonts w:hint="eastAsia" w:ascii="宋体" w:hAnsi="宋体" w:cs="宋体"/>
                      <w:color w:val="auto"/>
                      <w:kern w:val="0"/>
                      <w:szCs w:val="21"/>
                      <w:highlight w:val="none"/>
                    </w:rPr>
                    <w:t>保证率日平均第</w:t>
                  </w:r>
                  <w:r>
                    <w:rPr>
                      <w:rStyle w:val="138"/>
                      <w:color w:val="auto"/>
                      <w:sz w:val="21"/>
                      <w:szCs w:val="21"/>
                      <w:highlight w:val="none"/>
                    </w:rPr>
                    <w:t>95</w:t>
                  </w:r>
                  <w:r>
                    <w:rPr>
                      <w:rFonts w:hint="eastAsia" w:ascii="宋体" w:hAnsi="宋体" w:cs="宋体"/>
                      <w:color w:val="auto"/>
                      <w:kern w:val="0"/>
                      <w:szCs w:val="21"/>
                      <w:highlight w:val="none"/>
                    </w:rPr>
                    <w:t>百分位数</w:t>
                  </w:r>
                </w:p>
              </w:tc>
              <w:tc>
                <w:tcPr>
                  <w:tcW w:w="1110" w:type="dxa"/>
                  <w:vAlign w:val="center"/>
                </w:tcPr>
                <w:p w14:paraId="69E73DE9">
                  <w:pPr>
                    <w:widowControl/>
                    <w:jc w:val="center"/>
                    <w:textAlignment w:val="center"/>
                    <w:rPr>
                      <w:color w:val="auto"/>
                      <w:szCs w:val="21"/>
                      <w:highlight w:val="none"/>
                    </w:rPr>
                  </w:pPr>
                  <w:r>
                    <w:rPr>
                      <w:color w:val="auto"/>
                      <w:kern w:val="0"/>
                      <w:szCs w:val="21"/>
                      <w:highlight w:val="none"/>
                    </w:rPr>
                    <w:t>1200</w:t>
                  </w:r>
                </w:p>
              </w:tc>
              <w:tc>
                <w:tcPr>
                  <w:tcW w:w="960" w:type="dxa"/>
                  <w:vAlign w:val="center"/>
                </w:tcPr>
                <w:p w14:paraId="43838DE8">
                  <w:pPr>
                    <w:widowControl/>
                    <w:jc w:val="center"/>
                    <w:textAlignment w:val="center"/>
                    <w:rPr>
                      <w:color w:val="auto"/>
                      <w:szCs w:val="21"/>
                      <w:highlight w:val="none"/>
                    </w:rPr>
                  </w:pPr>
                  <w:r>
                    <w:rPr>
                      <w:color w:val="auto"/>
                      <w:kern w:val="0"/>
                      <w:szCs w:val="21"/>
                      <w:highlight w:val="none"/>
                    </w:rPr>
                    <w:t>4000</w:t>
                  </w:r>
                </w:p>
              </w:tc>
              <w:tc>
                <w:tcPr>
                  <w:tcW w:w="876" w:type="dxa"/>
                  <w:vAlign w:val="center"/>
                </w:tcPr>
                <w:p w14:paraId="679A4A88">
                  <w:pPr>
                    <w:widowControl/>
                    <w:jc w:val="center"/>
                    <w:textAlignment w:val="center"/>
                    <w:rPr>
                      <w:color w:val="auto"/>
                      <w:szCs w:val="21"/>
                      <w:highlight w:val="none"/>
                    </w:rPr>
                  </w:pPr>
                  <w:r>
                    <w:rPr>
                      <w:color w:val="auto"/>
                      <w:kern w:val="0"/>
                      <w:szCs w:val="21"/>
                      <w:highlight w:val="none"/>
                    </w:rPr>
                    <w:t>30.00%</w:t>
                  </w:r>
                </w:p>
              </w:tc>
              <w:tc>
                <w:tcPr>
                  <w:tcW w:w="1110" w:type="dxa"/>
                  <w:vAlign w:val="center"/>
                </w:tcPr>
                <w:p w14:paraId="744E8943">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3D13F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2BCE58D">
                  <w:pPr>
                    <w:widowControl/>
                    <w:jc w:val="center"/>
                    <w:textAlignment w:val="center"/>
                    <w:rPr>
                      <w:color w:val="auto"/>
                      <w:szCs w:val="21"/>
                      <w:highlight w:val="none"/>
                    </w:rPr>
                  </w:pPr>
                  <w:r>
                    <w:rPr>
                      <w:color w:val="auto"/>
                      <w:kern w:val="0"/>
                      <w:szCs w:val="21"/>
                      <w:highlight w:val="none"/>
                    </w:rPr>
                    <w:t>O</w:t>
                  </w:r>
                  <w:r>
                    <w:rPr>
                      <w:color w:val="auto"/>
                      <w:kern w:val="0"/>
                      <w:szCs w:val="21"/>
                      <w:highlight w:val="none"/>
                      <w:vertAlign w:val="subscript"/>
                    </w:rPr>
                    <w:t>3</w:t>
                  </w:r>
                </w:p>
              </w:tc>
              <w:tc>
                <w:tcPr>
                  <w:tcW w:w="3118" w:type="dxa"/>
                  <w:vAlign w:val="center"/>
                </w:tcPr>
                <w:p w14:paraId="533AE217">
                  <w:pPr>
                    <w:widowControl/>
                    <w:jc w:val="center"/>
                    <w:textAlignment w:val="center"/>
                    <w:rPr>
                      <w:color w:val="auto"/>
                      <w:szCs w:val="21"/>
                      <w:highlight w:val="none"/>
                    </w:rPr>
                  </w:pPr>
                  <w:r>
                    <w:rPr>
                      <w:rStyle w:val="138"/>
                      <w:color w:val="auto"/>
                      <w:sz w:val="21"/>
                      <w:szCs w:val="21"/>
                      <w:highlight w:val="none"/>
                    </w:rPr>
                    <w:t>90%</w:t>
                  </w:r>
                  <w:r>
                    <w:rPr>
                      <w:rFonts w:hint="eastAsia" w:ascii="宋体" w:hAnsi="宋体" w:cs="宋体"/>
                      <w:color w:val="auto"/>
                      <w:kern w:val="0"/>
                      <w:szCs w:val="21"/>
                      <w:highlight w:val="none"/>
                    </w:rPr>
                    <w:t>保证率</w:t>
                  </w:r>
                  <w:r>
                    <w:rPr>
                      <w:rStyle w:val="138"/>
                      <w:color w:val="auto"/>
                      <w:sz w:val="21"/>
                      <w:szCs w:val="21"/>
                      <w:highlight w:val="none"/>
                    </w:rPr>
                    <w:t>8</w:t>
                  </w:r>
                  <w:r>
                    <w:rPr>
                      <w:rFonts w:hint="eastAsia" w:ascii="宋体" w:hAnsi="宋体" w:cs="宋体"/>
                      <w:color w:val="auto"/>
                      <w:kern w:val="0"/>
                      <w:szCs w:val="21"/>
                      <w:highlight w:val="none"/>
                    </w:rPr>
                    <w:t>小时平均质量浓度</w:t>
                  </w:r>
                </w:p>
              </w:tc>
              <w:tc>
                <w:tcPr>
                  <w:tcW w:w="1110" w:type="dxa"/>
                  <w:vAlign w:val="center"/>
                </w:tcPr>
                <w:p w14:paraId="59B75125">
                  <w:pPr>
                    <w:widowControl/>
                    <w:jc w:val="center"/>
                    <w:textAlignment w:val="center"/>
                    <w:rPr>
                      <w:color w:val="auto"/>
                      <w:szCs w:val="21"/>
                      <w:highlight w:val="none"/>
                    </w:rPr>
                  </w:pPr>
                  <w:r>
                    <w:rPr>
                      <w:color w:val="auto"/>
                      <w:kern w:val="0"/>
                      <w:szCs w:val="21"/>
                      <w:highlight w:val="none"/>
                    </w:rPr>
                    <w:t>12</w:t>
                  </w:r>
                  <w:r>
                    <w:rPr>
                      <w:rFonts w:hint="eastAsia"/>
                      <w:color w:val="auto"/>
                      <w:kern w:val="0"/>
                      <w:szCs w:val="21"/>
                      <w:highlight w:val="none"/>
                    </w:rPr>
                    <w:t>0</w:t>
                  </w:r>
                </w:p>
              </w:tc>
              <w:tc>
                <w:tcPr>
                  <w:tcW w:w="960" w:type="dxa"/>
                  <w:vAlign w:val="center"/>
                </w:tcPr>
                <w:p w14:paraId="004639D9">
                  <w:pPr>
                    <w:widowControl/>
                    <w:jc w:val="center"/>
                    <w:textAlignment w:val="center"/>
                    <w:rPr>
                      <w:color w:val="auto"/>
                      <w:szCs w:val="21"/>
                      <w:highlight w:val="none"/>
                    </w:rPr>
                  </w:pPr>
                  <w:r>
                    <w:rPr>
                      <w:color w:val="auto"/>
                      <w:kern w:val="0"/>
                      <w:szCs w:val="21"/>
                      <w:highlight w:val="none"/>
                    </w:rPr>
                    <w:t>160</w:t>
                  </w:r>
                </w:p>
              </w:tc>
              <w:tc>
                <w:tcPr>
                  <w:tcW w:w="876" w:type="dxa"/>
                  <w:vAlign w:val="center"/>
                </w:tcPr>
                <w:p w14:paraId="340C4604">
                  <w:pPr>
                    <w:widowControl/>
                    <w:jc w:val="center"/>
                    <w:textAlignment w:val="center"/>
                    <w:rPr>
                      <w:color w:val="auto"/>
                      <w:szCs w:val="21"/>
                      <w:highlight w:val="none"/>
                    </w:rPr>
                  </w:pPr>
                  <w:r>
                    <w:rPr>
                      <w:color w:val="auto"/>
                      <w:kern w:val="0"/>
                      <w:szCs w:val="21"/>
                      <w:highlight w:val="none"/>
                    </w:rPr>
                    <w:t>7</w:t>
                  </w:r>
                  <w:r>
                    <w:rPr>
                      <w:rFonts w:hint="eastAsia"/>
                      <w:color w:val="auto"/>
                      <w:kern w:val="0"/>
                      <w:szCs w:val="21"/>
                      <w:highlight w:val="none"/>
                    </w:rPr>
                    <w:t>5.00</w:t>
                  </w:r>
                  <w:r>
                    <w:rPr>
                      <w:color w:val="auto"/>
                      <w:kern w:val="0"/>
                      <w:szCs w:val="21"/>
                      <w:highlight w:val="none"/>
                    </w:rPr>
                    <w:t>%</w:t>
                  </w:r>
                </w:p>
              </w:tc>
              <w:tc>
                <w:tcPr>
                  <w:tcW w:w="1110" w:type="dxa"/>
                  <w:vAlign w:val="center"/>
                </w:tcPr>
                <w:p w14:paraId="430D8684">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bl>
          <w:p w14:paraId="7E8E34BC">
            <w:pPr>
              <w:snapToGrid w:val="0"/>
              <w:spacing w:line="360" w:lineRule="auto"/>
              <w:ind w:firstLine="480" w:firstLineChars="200"/>
              <w:rPr>
                <w:color w:val="auto"/>
                <w:sz w:val="24"/>
                <w:highlight w:val="none"/>
              </w:rPr>
            </w:pPr>
            <w:r>
              <w:rPr>
                <w:rFonts w:hint="eastAsia"/>
                <w:color w:val="auto"/>
                <w:sz w:val="24"/>
                <w:highlight w:val="none"/>
              </w:rPr>
              <w:t>从20</w:t>
            </w:r>
            <w:r>
              <w:rPr>
                <w:color w:val="auto"/>
                <w:sz w:val="24"/>
                <w:highlight w:val="none"/>
              </w:rPr>
              <w:t>2</w:t>
            </w:r>
            <w:r>
              <w:rPr>
                <w:rFonts w:hint="eastAsia"/>
                <w:color w:val="auto"/>
                <w:sz w:val="24"/>
                <w:highlight w:val="none"/>
              </w:rPr>
              <w:t>4年环境空气质量监测数据来看，上述污染物在对应评价指标下的现状浓度均达标。</w:t>
            </w:r>
          </w:p>
          <w:p w14:paraId="6D5E354B">
            <w:pPr>
              <w:adjustRightInd w:val="0"/>
              <w:snapToGrid w:val="0"/>
              <w:spacing w:line="360" w:lineRule="auto"/>
              <w:ind w:firstLine="482" w:firstLineChars="200"/>
              <w:rPr>
                <w:color w:val="auto"/>
                <w:sz w:val="24"/>
                <w:highlight w:val="none"/>
              </w:rPr>
            </w:pPr>
            <w:r>
              <w:rPr>
                <w:b/>
                <w:bCs/>
                <w:color w:val="auto"/>
                <w:sz w:val="24"/>
                <w:highlight w:val="none"/>
              </w:rPr>
              <w:t>2、</w:t>
            </w:r>
            <w:r>
              <w:rPr>
                <w:rFonts w:hint="eastAsia"/>
                <w:b/>
                <w:bCs/>
                <w:color w:val="auto"/>
                <w:sz w:val="24"/>
                <w:highlight w:val="none"/>
              </w:rPr>
              <w:t>特征</w:t>
            </w:r>
            <w:r>
              <w:rPr>
                <w:b/>
                <w:bCs/>
                <w:color w:val="auto"/>
                <w:sz w:val="24"/>
                <w:highlight w:val="none"/>
              </w:rPr>
              <w:t>污染物</w:t>
            </w:r>
          </w:p>
          <w:p w14:paraId="1E6BE7B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kern w:val="0"/>
                <w:sz w:val="24"/>
                <w:lang w:eastAsia="zh-CN"/>
              </w:rPr>
            </w:pPr>
            <w:r>
              <w:rPr>
                <w:color w:val="auto"/>
                <w:sz w:val="24"/>
                <w:highlight w:val="none"/>
              </w:rPr>
              <w:t>本项目</w:t>
            </w:r>
            <w:r>
              <w:rPr>
                <w:rFonts w:hint="eastAsia"/>
                <w:color w:val="auto"/>
                <w:sz w:val="24"/>
                <w:highlight w:val="none"/>
              </w:rPr>
              <w:t>运营期特征</w:t>
            </w:r>
            <w:r>
              <w:rPr>
                <w:color w:val="auto"/>
                <w:sz w:val="24"/>
                <w:highlight w:val="none"/>
              </w:rPr>
              <w:t>污染物为</w:t>
            </w:r>
            <w:r>
              <w:rPr>
                <w:rFonts w:hint="eastAsia"/>
                <w:color w:val="auto"/>
                <w:sz w:val="24"/>
                <w:highlight w:val="none"/>
              </w:rPr>
              <w:t>TSP</w:t>
            </w:r>
            <w:r>
              <w:rPr>
                <w:color w:val="auto"/>
                <w:sz w:val="24"/>
                <w:highlight w:val="none"/>
              </w:rPr>
              <w:t>，</w:t>
            </w:r>
            <w:r>
              <w:rPr>
                <w:rFonts w:hint="default" w:ascii="Times New Roman" w:hAnsi="Times New Roman" w:eastAsia="宋体" w:cs="Times New Roman"/>
                <w:kern w:val="0"/>
                <w:sz w:val="24"/>
              </w:rPr>
              <w:t>本次项目引用《</w:t>
            </w:r>
            <w:r>
              <w:rPr>
                <w:rFonts w:hint="eastAsia"/>
                <w:color w:val="auto"/>
                <w:sz w:val="24"/>
                <w:highlight w:val="none"/>
              </w:rPr>
              <w:t>30万吨天然彩砂加工项目（重大变动）</w:t>
            </w:r>
            <w:r>
              <w:rPr>
                <w:rFonts w:hint="eastAsia" w:ascii="Times New Roman" w:hAnsi="Times New Roman" w:eastAsia="宋体" w:cs="Times New Roman"/>
                <w:kern w:val="0"/>
                <w:sz w:val="24"/>
                <w:lang w:val="en-US" w:eastAsia="zh-CN"/>
              </w:rPr>
              <w:t>环境质量现状监测</w:t>
            </w:r>
            <w:r>
              <w:rPr>
                <w:rFonts w:hint="default"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2025年</w:t>
            </w:r>
            <w:r>
              <w:rPr>
                <w:rFonts w:hint="eastAsia" w:cs="Times New Roman"/>
                <w:kern w:val="0"/>
                <w:sz w:val="24"/>
                <w:lang w:val="en-US" w:eastAsia="zh-CN"/>
              </w:rPr>
              <w:t>2</w:t>
            </w:r>
            <w:r>
              <w:rPr>
                <w:rFonts w:hint="eastAsia" w:ascii="Times New Roman" w:hAnsi="Times New Roman" w:eastAsia="宋体" w:cs="Times New Roman"/>
                <w:kern w:val="0"/>
                <w:sz w:val="24"/>
                <w:lang w:val="en-US" w:eastAsia="zh-CN"/>
              </w:rPr>
              <w:t>月</w:t>
            </w:r>
            <w:r>
              <w:rPr>
                <w:rFonts w:hint="eastAsia" w:cs="Times New Roman"/>
                <w:kern w:val="0"/>
                <w:sz w:val="24"/>
                <w:lang w:val="en-US" w:eastAsia="zh-CN"/>
              </w:rPr>
              <w:t>20</w:t>
            </w:r>
            <w:r>
              <w:rPr>
                <w:rFonts w:hint="eastAsia" w:ascii="Times New Roman" w:hAnsi="Times New Roman" w:eastAsia="宋体" w:cs="Times New Roman"/>
                <w:kern w:val="0"/>
                <w:sz w:val="24"/>
                <w:lang w:val="en-US" w:eastAsia="zh-CN"/>
              </w:rPr>
              <w:t>日</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中的监测数据。监测点位位于本项目</w:t>
            </w:r>
            <w:r>
              <w:rPr>
                <w:rFonts w:hint="eastAsia" w:ascii="Times New Roman" w:hAnsi="Times New Roman" w:eastAsia="宋体" w:cs="Times New Roman"/>
                <w:kern w:val="0"/>
                <w:sz w:val="24"/>
                <w:highlight w:val="none"/>
                <w:lang w:val="en-US" w:eastAsia="zh-CN"/>
              </w:rPr>
              <w:t>东南</w:t>
            </w:r>
            <w:r>
              <w:rPr>
                <w:rFonts w:hint="default" w:ascii="Times New Roman" w:hAnsi="Times New Roman" w:eastAsia="宋体" w:cs="Times New Roman"/>
                <w:kern w:val="0"/>
                <w:sz w:val="24"/>
                <w:highlight w:val="none"/>
              </w:rPr>
              <w:t>侧</w:t>
            </w:r>
            <w:r>
              <w:rPr>
                <w:rFonts w:hint="eastAsia" w:ascii="Times New Roman" w:hAnsi="Times New Roman" w:eastAsia="宋体" w:cs="Times New Roman"/>
                <w:kern w:val="0"/>
                <w:sz w:val="24"/>
                <w:highlight w:val="none"/>
                <w:lang w:eastAsia="zh-CN"/>
              </w:rPr>
              <w:t>，</w:t>
            </w:r>
            <w:r>
              <w:rPr>
                <w:rFonts w:hint="default" w:ascii="Times New Roman" w:hAnsi="Times New Roman" w:eastAsia="宋体" w:cs="Times New Roman"/>
                <w:kern w:val="0"/>
                <w:sz w:val="24"/>
                <w:highlight w:val="none"/>
              </w:rPr>
              <w:t>最近距离约为</w:t>
            </w:r>
            <w:r>
              <w:rPr>
                <w:rFonts w:hint="eastAsia" w:ascii="Times New Roman" w:hAnsi="Times New Roman" w:eastAsia="宋体" w:cs="Times New Roman"/>
                <w:kern w:val="0"/>
                <w:sz w:val="24"/>
                <w:highlight w:val="none"/>
                <w:lang w:val="en-US" w:eastAsia="zh-CN"/>
              </w:rPr>
              <w:t>1.</w:t>
            </w:r>
            <w:r>
              <w:rPr>
                <w:rFonts w:hint="eastAsia" w:cs="Times New Roman"/>
                <w:kern w:val="0"/>
                <w:sz w:val="24"/>
                <w:highlight w:val="none"/>
                <w:lang w:val="en-US" w:eastAsia="zh-CN"/>
              </w:rPr>
              <w:t>22</w:t>
            </w:r>
            <w:r>
              <w:rPr>
                <w:rFonts w:hint="eastAsia" w:ascii="Times New Roman" w:hAnsi="Times New Roman" w:eastAsia="宋体" w:cs="Times New Roman"/>
                <w:kern w:val="0"/>
                <w:sz w:val="24"/>
                <w:highlight w:val="none"/>
                <w:lang w:val="en-US" w:eastAsia="zh-CN"/>
              </w:rPr>
              <w:t xml:space="preserve"> k</w:t>
            </w:r>
            <w:r>
              <w:rPr>
                <w:rFonts w:hint="default" w:ascii="Times New Roman" w:hAnsi="Times New Roman" w:eastAsia="宋体" w:cs="Times New Roman"/>
                <w:kern w:val="0"/>
                <w:sz w:val="24"/>
                <w:highlight w:val="none"/>
              </w:rPr>
              <w:t>m＜5 km</w:t>
            </w:r>
            <w:r>
              <w:rPr>
                <w:rFonts w:hint="default" w:ascii="Times New Roman" w:hAnsi="Times New Roman" w:eastAsia="宋体" w:cs="Times New Roman"/>
                <w:kern w:val="0"/>
                <w:sz w:val="24"/>
              </w:rPr>
              <w:t>，监测时限未超过三年，符合《建设项目环境影响报告表编制技术指南》（污染影响类）（试行）中质量数据有效性的相关要求。引用监测点位图见附图</w:t>
            </w:r>
            <w:r>
              <w:rPr>
                <w:rFonts w:hint="eastAsia" w:cs="Times New Roman"/>
                <w:kern w:val="0"/>
                <w:sz w:val="24"/>
                <w:lang w:val="en-US" w:eastAsia="zh-CN"/>
              </w:rPr>
              <w:t>5</w:t>
            </w:r>
            <w:r>
              <w:rPr>
                <w:rFonts w:hint="default" w:ascii="Times New Roman" w:hAnsi="Times New Roman" w:eastAsia="宋体" w:cs="Times New Roman"/>
                <w:kern w:val="0"/>
                <w:sz w:val="24"/>
              </w:rPr>
              <w:t>，</w:t>
            </w:r>
            <w:r>
              <w:rPr>
                <w:rFonts w:hint="default" w:ascii="Times New Roman" w:hAnsi="Times New Roman" w:eastAsia="宋体" w:cs="Times New Roman"/>
                <w:kern w:val="0"/>
                <w:sz w:val="24"/>
                <w:lang w:val="en-US" w:eastAsia="zh-CN"/>
              </w:rPr>
              <w:t>监测</w:t>
            </w:r>
            <w:r>
              <w:rPr>
                <w:rFonts w:hint="default" w:ascii="Times New Roman" w:hAnsi="Times New Roman" w:eastAsia="宋体" w:cs="Times New Roman"/>
                <w:kern w:val="0"/>
                <w:sz w:val="24"/>
              </w:rPr>
              <w:t>结果如下</w:t>
            </w:r>
            <w:r>
              <w:rPr>
                <w:rFonts w:hint="default" w:ascii="Times New Roman" w:hAnsi="Times New Roman" w:eastAsia="宋体" w:cs="Times New Roman"/>
                <w:kern w:val="0"/>
                <w:sz w:val="24"/>
                <w:lang w:eastAsia="zh-CN"/>
              </w:rPr>
              <w:t>。</w:t>
            </w:r>
          </w:p>
          <w:p w14:paraId="1CE7D575">
            <w:pPr>
              <w:tabs>
                <w:tab w:val="left" w:leader="middleDot" w:pos="8399"/>
              </w:tabs>
              <w:ind w:firstLine="422"/>
              <w:jc w:val="center"/>
              <w:rPr>
                <w:b/>
                <w:bCs/>
                <w:color w:val="auto"/>
                <w:highlight w:val="none"/>
              </w:rPr>
            </w:pPr>
            <w:r>
              <w:rPr>
                <w:b/>
                <w:bCs/>
                <w:color w:val="auto"/>
                <w:highlight w:val="none"/>
              </w:rPr>
              <w:t>表</w:t>
            </w:r>
            <w:r>
              <w:rPr>
                <w:rFonts w:hint="eastAsia"/>
                <w:b/>
                <w:bCs/>
                <w:color w:val="auto"/>
                <w:highlight w:val="none"/>
              </w:rPr>
              <w:t>3-2</w:t>
            </w:r>
            <w:r>
              <w:rPr>
                <w:b/>
                <w:bCs/>
                <w:color w:val="auto"/>
                <w:highlight w:val="none"/>
              </w:rPr>
              <w:t xml:space="preserve">  </w:t>
            </w:r>
            <w:r>
              <w:rPr>
                <w:rFonts w:hint="eastAsia"/>
                <w:b/>
                <w:bCs/>
                <w:color w:val="auto"/>
                <w:highlight w:val="none"/>
              </w:rPr>
              <w:t>特征污染物补充监测点位基本信息表</w:t>
            </w:r>
          </w:p>
          <w:tbl>
            <w:tblPr>
              <w:tblStyle w:val="32"/>
              <w:tblW w:w="80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237"/>
              <w:gridCol w:w="1164"/>
              <w:gridCol w:w="886"/>
              <w:gridCol w:w="1514"/>
              <w:gridCol w:w="1076"/>
              <w:gridCol w:w="1095"/>
            </w:tblGrid>
            <w:tr w14:paraId="5BA3C3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vMerge w:val="restart"/>
                  <w:tcBorders>
                    <w:tl2br w:val="nil"/>
                    <w:tr2bl w:val="nil"/>
                  </w:tcBorders>
                  <w:vAlign w:val="center"/>
                </w:tcPr>
                <w:p w14:paraId="708A3567">
                  <w:pPr>
                    <w:pStyle w:val="8"/>
                    <w:ind w:firstLine="0"/>
                    <w:jc w:val="center"/>
                    <w:rPr>
                      <w:b w:val="0"/>
                      <w:bCs/>
                      <w:color w:val="auto"/>
                      <w:sz w:val="21"/>
                      <w:szCs w:val="21"/>
                      <w:highlight w:val="none"/>
                    </w:rPr>
                  </w:pPr>
                  <w:r>
                    <w:rPr>
                      <w:rFonts w:hint="eastAsia"/>
                      <w:b w:val="0"/>
                      <w:bCs/>
                      <w:color w:val="auto"/>
                      <w:sz w:val="21"/>
                      <w:szCs w:val="21"/>
                      <w:highlight w:val="none"/>
                    </w:rPr>
                    <w:t>监测点</w:t>
                  </w:r>
                </w:p>
                <w:p w14:paraId="3DA652DC">
                  <w:pPr>
                    <w:pStyle w:val="8"/>
                    <w:ind w:firstLine="0"/>
                    <w:jc w:val="center"/>
                    <w:rPr>
                      <w:b w:val="0"/>
                      <w:bCs/>
                      <w:color w:val="auto"/>
                      <w:sz w:val="21"/>
                      <w:szCs w:val="21"/>
                      <w:highlight w:val="none"/>
                    </w:rPr>
                  </w:pPr>
                  <w:r>
                    <w:rPr>
                      <w:rFonts w:hint="eastAsia"/>
                      <w:b w:val="0"/>
                      <w:bCs/>
                      <w:color w:val="auto"/>
                      <w:sz w:val="21"/>
                      <w:szCs w:val="21"/>
                      <w:highlight w:val="none"/>
                    </w:rPr>
                    <w:t>名称</w:t>
                  </w:r>
                </w:p>
              </w:tc>
              <w:tc>
                <w:tcPr>
                  <w:tcW w:w="2401" w:type="dxa"/>
                  <w:gridSpan w:val="2"/>
                  <w:tcBorders>
                    <w:tl2br w:val="nil"/>
                    <w:tr2bl w:val="nil"/>
                  </w:tcBorders>
                  <w:vAlign w:val="center"/>
                </w:tcPr>
                <w:p w14:paraId="7851B833">
                  <w:pPr>
                    <w:pStyle w:val="8"/>
                    <w:ind w:firstLine="0"/>
                    <w:jc w:val="center"/>
                    <w:rPr>
                      <w:b w:val="0"/>
                      <w:bCs/>
                      <w:color w:val="auto"/>
                      <w:sz w:val="21"/>
                      <w:szCs w:val="21"/>
                      <w:highlight w:val="none"/>
                    </w:rPr>
                  </w:pPr>
                  <w:r>
                    <w:rPr>
                      <w:rFonts w:hint="eastAsia"/>
                      <w:b w:val="0"/>
                      <w:bCs/>
                      <w:color w:val="auto"/>
                      <w:sz w:val="21"/>
                      <w:szCs w:val="21"/>
                      <w:highlight w:val="none"/>
                    </w:rPr>
                    <w:t>监测点坐标/m</w:t>
                  </w:r>
                </w:p>
              </w:tc>
              <w:tc>
                <w:tcPr>
                  <w:tcW w:w="886" w:type="dxa"/>
                  <w:vMerge w:val="restart"/>
                  <w:tcBorders>
                    <w:tl2br w:val="nil"/>
                    <w:tr2bl w:val="nil"/>
                  </w:tcBorders>
                  <w:vAlign w:val="center"/>
                </w:tcPr>
                <w:p w14:paraId="65E52F26">
                  <w:pPr>
                    <w:pStyle w:val="8"/>
                    <w:ind w:firstLine="0"/>
                    <w:jc w:val="center"/>
                    <w:rPr>
                      <w:b w:val="0"/>
                      <w:bCs/>
                      <w:color w:val="auto"/>
                      <w:sz w:val="21"/>
                      <w:szCs w:val="21"/>
                      <w:highlight w:val="none"/>
                    </w:rPr>
                  </w:pPr>
                  <w:r>
                    <w:rPr>
                      <w:rFonts w:hint="eastAsia"/>
                      <w:b w:val="0"/>
                      <w:bCs/>
                      <w:color w:val="auto"/>
                      <w:sz w:val="21"/>
                      <w:szCs w:val="21"/>
                      <w:highlight w:val="none"/>
                    </w:rPr>
                    <w:t>监测</w:t>
                  </w:r>
                </w:p>
                <w:p w14:paraId="05A755C3">
                  <w:pPr>
                    <w:pStyle w:val="8"/>
                    <w:ind w:firstLine="0"/>
                    <w:jc w:val="center"/>
                    <w:rPr>
                      <w:b w:val="0"/>
                      <w:bCs/>
                      <w:color w:val="auto"/>
                      <w:sz w:val="21"/>
                      <w:szCs w:val="21"/>
                      <w:highlight w:val="none"/>
                    </w:rPr>
                  </w:pPr>
                  <w:r>
                    <w:rPr>
                      <w:rFonts w:hint="eastAsia"/>
                      <w:b w:val="0"/>
                      <w:bCs/>
                      <w:color w:val="auto"/>
                      <w:sz w:val="21"/>
                      <w:szCs w:val="21"/>
                      <w:highlight w:val="none"/>
                    </w:rPr>
                    <w:t>因子</w:t>
                  </w:r>
                </w:p>
              </w:tc>
              <w:tc>
                <w:tcPr>
                  <w:tcW w:w="1514" w:type="dxa"/>
                  <w:vMerge w:val="restart"/>
                  <w:tcBorders>
                    <w:tl2br w:val="nil"/>
                    <w:tr2bl w:val="nil"/>
                  </w:tcBorders>
                  <w:vAlign w:val="center"/>
                </w:tcPr>
                <w:p w14:paraId="6C66ADF9">
                  <w:pPr>
                    <w:pStyle w:val="8"/>
                    <w:ind w:firstLine="0"/>
                    <w:jc w:val="center"/>
                    <w:rPr>
                      <w:b w:val="0"/>
                      <w:bCs/>
                      <w:color w:val="auto"/>
                      <w:sz w:val="21"/>
                      <w:szCs w:val="21"/>
                      <w:highlight w:val="none"/>
                    </w:rPr>
                  </w:pPr>
                  <w:r>
                    <w:rPr>
                      <w:rFonts w:hint="eastAsia"/>
                      <w:b w:val="0"/>
                      <w:bCs/>
                      <w:color w:val="auto"/>
                      <w:sz w:val="21"/>
                      <w:szCs w:val="21"/>
                      <w:highlight w:val="none"/>
                    </w:rPr>
                    <w:t>监测时段</w:t>
                  </w:r>
                </w:p>
              </w:tc>
              <w:tc>
                <w:tcPr>
                  <w:tcW w:w="1076" w:type="dxa"/>
                  <w:vMerge w:val="restart"/>
                  <w:tcBorders>
                    <w:tl2br w:val="nil"/>
                    <w:tr2bl w:val="nil"/>
                  </w:tcBorders>
                  <w:vAlign w:val="center"/>
                </w:tcPr>
                <w:p w14:paraId="370477B2">
                  <w:pPr>
                    <w:pStyle w:val="8"/>
                    <w:ind w:firstLine="0"/>
                    <w:jc w:val="center"/>
                    <w:rPr>
                      <w:b w:val="0"/>
                      <w:bCs/>
                      <w:color w:val="auto"/>
                      <w:sz w:val="21"/>
                      <w:szCs w:val="21"/>
                      <w:highlight w:val="none"/>
                    </w:rPr>
                  </w:pPr>
                  <w:r>
                    <w:rPr>
                      <w:rFonts w:hint="eastAsia"/>
                      <w:b w:val="0"/>
                      <w:bCs/>
                      <w:color w:val="auto"/>
                      <w:sz w:val="21"/>
                      <w:szCs w:val="21"/>
                      <w:highlight w:val="none"/>
                    </w:rPr>
                    <w:t>相对厂址的方位</w:t>
                  </w:r>
                </w:p>
              </w:tc>
              <w:tc>
                <w:tcPr>
                  <w:tcW w:w="1095" w:type="dxa"/>
                  <w:vMerge w:val="restart"/>
                  <w:tcBorders>
                    <w:tl2br w:val="nil"/>
                    <w:tr2bl w:val="nil"/>
                  </w:tcBorders>
                  <w:vAlign w:val="center"/>
                </w:tcPr>
                <w:p w14:paraId="12C36149">
                  <w:pPr>
                    <w:pStyle w:val="8"/>
                    <w:ind w:firstLine="0"/>
                    <w:jc w:val="center"/>
                    <w:rPr>
                      <w:b w:val="0"/>
                      <w:bCs/>
                      <w:color w:val="auto"/>
                      <w:sz w:val="21"/>
                      <w:szCs w:val="21"/>
                      <w:highlight w:val="none"/>
                    </w:rPr>
                  </w:pPr>
                  <w:r>
                    <w:rPr>
                      <w:rFonts w:hint="eastAsia"/>
                      <w:b w:val="0"/>
                      <w:bCs/>
                      <w:color w:val="auto"/>
                      <w:sz w:val="21"/>
                      <w:szCs w:val="21"/>
                      <w:highlight w:val="none"/>
                    </w:rPr>
                    <w:t>相对厂界距离/m</w:t>
                  </w:r>
                </w:p>
              </w:tc>
            </w:tr>
            <w:tr w14:paraId="778862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vMerge w:val="continue"/>
                  <w:tcBorders>
                    <w:tl2br w:val="nil"/>
                    <w:tr2bl w:val="nil"/>
                  </w:tcBorders>
                  <w:vAlign w:val="center"/>
                </w:tcPr>
                <w:p w14:paraId="7F7E65B1">
                  <w:pPr>
                    <w:pStyle w:val="8"/>
                    <w:ind w:firstLine="0"/>
                    <w:jc w:val="center"/>
                    <w:rPr>
                      <w:color w:val="auto"/>
                      <w:highlight w:val="none"/>
                    </w:rPr>
                  </w:pPr>
                </w:p>
              </w:tc>
              <w:tc>
                <w:tcPr>
                  <w:tcW w:w="1237" w:type="dxa"/>
                  <w:tcBorders>
                    <w:tl2br w:val="nil"/>
                    <w:tr2bl w:val="nil"/>
                  </w:tcBorders>
                  <w:vAlign w:val="center"/>
                </w:tcPr>
                <w:p w14:paraId="7323AFBA">
                  <w:pPr>
                    <w:pStyle w:val="8"/>
                    <w:ind w:firstLine="0"/>
                    <w:jc w:val="center"/>
                    <w:rPr>
                      <w:b w:val="0"/>
                      <w:bCs/>
                      <w:color w:val="auto"/>
                      <w:sz w:val="21"/>
                      <w:szCs w:val="21"/>
                      <w:highlight w:val="none"/>
                    </w:rPr>
                  </w:pPr>
                  <w:r>
                    <w:rPr>
                      <w:rFonts w:hint="eastAsia"/>
                      <w:b w:val="0"/>
                      <w:bCs/>
                      <w:color w:val="auto"/>
                      <w:sz w:val="21"/>
                      <w:szCs w:val="21"/>
                      <w:highlight w:val="none"/>
                    </w:rPr>
                    <w:t>X</w:t>
                  </w:r>
                </w:p>
              </w:tc>
              <w:tc>
                <w:tcPr>
                  <w:tcW w:w="1164" w:type="dxa"/>
                  <w:tcBorders>
                    <w:tl2br w:val="nil"/>
                    <w:tr2bl w:val="nil"/>
                  </w:tcBorders>
                  <w:vAlign w:val="center"/>
                </w:tcPr>
                <w:p w14:paraId="3096001D">
                  <w:pPr>
                    <w:pStyle w:val="8"/>
                    <w:ind w:firstLine="0"/>
                    <w:jc w:val="center"/>
                    <w:rPr>
                      <w:b w:val="0"/>
                      <w:bCs/>
                      <w:color w:val="auto"/>
                      <w:sz w:val="21"/>
                      <w:szCs w:val="21"/>
                      <w:highlight w:val="none"/>
                    </w:rPr>
                  </w:pPr>
                  <w:r>
                    <w:rPr>
                      <w:rFonts w:hint="eastAsia"/>
                      <w:b w:val="0"/>
                      <w:bCs/>
                      <w:color w:val="auto"/>
                      <w:sz w:val="21"/>
                      <w:szCs w:val="21"/>
                      <w:highlight w:val="none"/>
                    </w:rPr>
                    <w:t>Y</w:t>
                  </w:r>
                </w:p>
              </w:tc>
              <w:tc>
                <w:tcPr>
                  <w:tcW w:w="886" w:type="dxa"/>
                  <w:vMerge w:val="continue"/>
                  <w:tcBorders>
                    <w:tl2br w:val="nil"/>
                    <w:tr2bl w:val="nil"/>
                  </w:tcBorders>
                  <w:vAlign w:val="center"/>
                </w:tcPr>
                <w:p w14:paraId="6D497C3D">
                  <w:pPr>
                    <w:pStyle w:val="8"/>
                    <w:ind w:firstLine="0"/>
                    <w:jc w:val="center"/>
                    <w:rPr>
                      <w:color w:val="auto"/>
                      <w:highlight w:val="none"/>
                    </w:rPr>
                  </w:pPr>
                </w:p>
              </w:tc>
              <w:tc>
                <w:tcPr>
                  <w:tcW w:w="1514" w:type="dxa"/>
                  <w:vMerge w:val="continue"/>
                  <w:tcBorders>
                    <w:tl2br w:val="nil"/>
                    <w:tr2bl w:val="nil"/>
                  </w:tcBorders>
                  <w:vAlign w:val="center"/>
                </w:tcPr>
                <w:p w14:paraId="5006EA26">
                  <w:pPr>
                    <w:pStyle w:val="8"/>
                    <w:ind w:firstLine="0"/>
                    <w:jc w:val="center"/>
                    <w:rPr>
                      <w:color w:val="auto"/>
                      <w:highlight w:val="none"/>
                    </w:rPr>
                  </w:pPr>
                </w:p>
              </w:tc>
              <w:tc>
                <w:tcPr>
                  <w:tcW w:w="1076" w:type="dxa"/>
                  <w:vMerge w:val="continue"/>
                  <w:tcBorders>
                    <w:tl2br w:val="nil"/>
                    <w:tr2bl w:val="nil"/>
                  </w:tcBorders>
                  <w:vAlign w:val="center"/>
                </w:tcPr>
                <w:p w14:paraId="3851796C">
                  <w:pPr>
                    <w:pStyle w:val="8"/>
                    <w:ind w:firstLine="0"/>
                    <w:jc w:val="center"/>
                    <w:rPr>
                      <w:color w:val="auto"/>
                      <w:highlight w:val="none"/>
                    </w:rPr>
                  </w:pPr>
                </w:p>
              </w:tc>
              <w:tc>
                <w:tcPr>
                  <w:tcW w:w="1095" w:type="dxa"/>
                  <w:vMerge w:val="continue"/>
                  <w:tcBorders>
                    <w:tl2br w:val="nil"/>
                    <w:tr2bl w:val="nil"/>
                  </w:tcBorders>
                  <w:vAlign w:val="center"/>
                </w:tcPr>
                <w:p w14:paraId="09B889C1">
                  <w:pPr>
                    <w:pStyle w:val="8"/>
                    <w:ind w:firstLine="0"/>
                    <w:jc w:val="center"/>
                    <w:rPr>
                      <w:color w:val="auto"/>
                      <w:highlight w:val="none"/>
                    </w:rPr>
                  </w:pPr>
                </w:p>
              </w:tc>
            </w:tr>
            <w:tr w14:paraId="3F511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tcBorders>
                    <w:tl2br w:val="nil"/>
                    <w:tr2bl w:val="nil"/>
                  </w:tcBorders>
                  <w:vAlign w:val="center"/>
                </w:tcPr>
                <w:p w14:paraId="464AA359">
                  <w:pPr>
                    <w:adjustRightInd w:val="0"/>
                    <w:snapToGrid w:val="0"/>
                    <w:jc w:val="center"/>
                    <w:rPr>
                      <w:color w:val="auto"/>
                      <w:highlight w:val="none"/>
                    </w:rPr>
                  </w:pPr>
                  <w:r>
                    <w:rPr>
                      <w:rFonts w:hint="eastAsia"/>
                      <w:color w:val="auto"/>
                      <w:highlight w:val="none"/>
                    </w:rPr>
                    <w:t>01</w:t>
                  </w:r>
                  <w:r>
                    <w:rPr>
                      <w:color w:val="auto"/>
                      <w:highlight w:val="none"/>
                    </w:rPr>
                    <w:t>项目地</w:t>
                  </w:r>
                  <w:r>
                    <w:rPr>
                      <w:rFonts w:hint="eastAsia"/>
                      <w:color w:val="auto"/>
                      <w:highlight w:val="none"/>
                      <w:lang w:val="en-US" w:eastAsia="zh-CN"/>
                    </w:rPr>
                    <w:t>下</w:t>
                  </w:r>
                  <w:r>
                    <w:rPr>
                      <w:color w:val="auto"/>
                      <w:highlight w:val="none"/>
                    </w:rPr>
                    <w:t>风向</w:t>
                  </w:r>
                </w:p>
              </w:tc>
              <w:tc>
                <w:tcPr>
                  <w:tcW w:w="1237" w:type="dxa"/>
                  <w:tcBorders>
                    <w:tl2br w:val="nil"/>
                    <w:tr2bl w:val="nil"/>
                  </w:tcBorders>
                  <w:vAlign w:val="center"/>
                </w:tcPr>
                <w:p w14:paraId="23E3C9B7">
                  <w:pPr>
                    <w:jc w:val="center"/>
                    <w:rPr>
                      <w:rFonts w:hint="default" w:eastAsia="宋体"/>
                      <w:color w:val="auto"/>
                      <w:highlight w:val="none"/>
                      <w:lang w:val="en-US" w:eastAsia="zh-CN"/>
                    </w:rPr>
                  </w:pPr>
                  <w:r>
                    <w:rPr>
                      <w:rFonts w:hint="eastAsia"/>
                      <w:color w:val="auto"/>
                      <w:highlight w:val="none"/>
                    </w:rPr>
                    <w:t>7322</w:t>
                  </w:r>
                  <w:r>
                    <w:rPr>
                      <w:rFonts w:hint="eastAsia"/>
                      <w:color w:val="auto"/>
                      <w:highlight w:val="none"/>
                      <w:lang w:val="en-US" w:eastAsia="zh-CN"/>
                    </w:rPr>
                    <w:t>15</w:t>
                  </w:r>
                </w:p>
              </w:tc>
              <w:tc>
                <w:tcPr>
                  <w:tcW w:w="1164" w:type="dxa"/>
                  <w:tcBorders>
                    <w:tl2br w:val="nil"/>
                    <w:tr2bl w:val="nil"/>
                  </w:tcBorders>
                  <w:vAlign w:val="center"/>
                </w:tcPr>
                <w:p w14:paraId="04F313E2">
                  <w:pPr>
                    <w:jc w:val="center"/>
                    <w:rPr>
                      <w:rFonts w:hint="default" w:eastAsia="宋体"/>
                      <w:color w:val="auto"/>
                      <w:highlight w:val="none"/>
                      <w:lang w:val="en-US" w:eastAsia="zh-CN"/>
                    </w:rPr>
                  </w:pPr>
                  <w:r>
                    <w:rPr>
                      <w:rFonts w:hint="eastAsia"/>
                      <w:color w:val="auto"/>
                      <w:highlight w:val="none"/>
                    </w:rPr>
                    <w:t>36778</w:t>
                  </w:r>
                  <w:r>
                    <w:rPr>
                      <w:rFonts w:hint="eastAsia"/>
                      <w:color w:val="auto"/>
                      <w:highlight w:val="none"/>
                      <w:lang w:val="en-US" w:eastAsia="zh-CN"/>
                    </w:rPr>
                    <w:t>78</w:t>
                  </w:r>
                </w:p>
              </w:tc>
              <w:tc>
                <w:tcPr>
                  <w:tcW w:w="886" w:type="dxa"/>
                  <w:tcBorders>
                    <w:tl2br w:val="nil"/>
                    <w:tr2bl w:val="nil"/>
                  </w:tcBorders>
                  <w:vAlign w:val="center"/>
                </w:tcPr>
                <w:p w14:paraId="5F5DDB8A">
                  <w:pPr>
                    <w:pStyle w:val="8"/>
                    <w:ind w:firstLine="0"/>
                    <w:jc w:val="center"/>
                    <w:rPr>
                      <w:bCs w:val="0"/>
                      <w:color w:val="auto"/>
                      <w:sz w:val="21"/>
                      <w:szCs w:val="24"/>
                      <w:highlight w:val="none"/>
                    </w:rPr>
                  </w:pPr>
                  <w:r>
                    <w:rPr>
                      <w:rFonts w:hint="eastAsia"/>
                      <w:bCs w:val="0"/>
                      <w:color w:val="auto"/>
                      <w:sz w:val="21"/>
                      <w:szCs w:val="24"/>
                      <w:highlight w:val="none"/>
                    </w:rPr>
                    <w:t>TSP</w:t>
                  </w:r>
                </w:p>
              </w:tc>
              <w:tc>
                <w:tcPr>
                  <w:tcW w:w="1514" w:type="dxa"/>
                  <w:tcBorders>
                    <w:tl2br w:val="nil"/>
                    <w:tr2bl w:val="nil"/>
                  </w:tcBorders>
                  <w:vAlign w:val="center"/>
                </w:tcPr>
                <w:p w14:paraId="212E637A">
                  <w:pPr>
                    <w:pStyle w:val="8"/>
                    <w:ind w:firstLine="0"/>
                    <w:jc w:val="center"/>
                    <w:rPr>
                      <w:bCs w:val="0"/>
                      <w:color w:val="auto"/>
                      <w:sz w:val="21"/>
                      <w:szCs w:val="24"/>
                      <w:highlight w:val="none"/>
                    </w:rPr>
                  </w:pPr>
                  <w:r>
                    <w:rPr>
                      <w:rFonts w:hint="eastAsia"/>
                      <w:bCs w:val="0"/>
                      <w:color w:val="auto"/>
                      <w:sz w:val="21"/>
                      <w:szCs w:val="24"/>
                      <w:highlight w:val="none"/>
                    </w:rPr>
                    <w:t>2025.1.6</w:t>
                  </w:r>
                  <w:r>
                    <w:rPr>
                      <w:rFonts w:hint="eastAsia"/>
                      <w:bCs w:val="0"/>
                      <w:color w:val="auto"/>
                      <w:sz w:val="21"/>
                      <w:szCs w:val="24"/>
                      <w:highlight w:val="none"/>
                      <w:lang w:val="en-US" w:eastAsia="zh-CN"/>
                    </w:rPr>
                    <w:t>~</w:t>
                  </w:r>
                  <w:r>
                    <w:rPr>
                      <w:rFonts w:hint="eastAsia"/>
                      <w:bCs w:val="0"/>
                      <w:color w:val="auto"/>
                      <w:sz w:val="21"/>
                      <w:szCs w:val="24"/>
                      <w:highlight w:val="none"/>
                    </w:rPr>
                    <w:t>1.8</w:t>
                  </w:r>
                </w:p>
              </w:tc>
              <w:tc>
                <w:tcPr>
                  <w:tcW w:w="1076" w:type="dxa"/>
                  <w:tcBorders>
                    <w:tl2br w:val="nil"/>
                    <w:tr2bl w:val="nil"/>
                  </w:tcBorders>
                  <w:vAlign w:val="center"/>
                </w:tcPr>
                <w:p w14:paraId="0F77E021">
                  <w:pPr>
                    <w:pStyle w:val="8"/>
                    <w:ind w:firstLine="0"/>
                    <w:jc w:val="center"/>
                    <w:rPr>
                      <w:bCs w:val="0"/>
                      <w:color w:val="auto"/>
                      <w:sz w:val="21"/>
                      <w:szCs w:val="24"/>
                      <w:highlight w:val="none"/>
                    </w:rPr>
                  </w:pPr>
                  <w:r>
                    <w:rPr>
                      <w:rFonts w:hint="eastAsia"/>
                      <w:bCs w:val="0"/>
                      <w:color w:val="auto"/>
                      <w:sz w:val="21"/>
                      <w:szCs w:val="21"/>
                      <w:highlight w:val="none"/>
                      <w:lang w:val="en-US" w:eastAsia="zh-CN"/>
                    </w:rPr>
                    <w:t>东南</w:t>
                  </w:r>
                  <w:r>
                    <w:rPr>
                      <w:color w:val="auto"/>
                      <w:sz w:val="21"/>
                      <w:szCs w:val="21"/>
                      <w:highlight w:val="none"/>
                    </w:rPr>
                    <w:t>侧</w:t>
                  </w:r>
                </w:p>
              </w:tc>
              <w:tc>
                <w:tcPr>
                  <w:tcW w:w="1095" w:type="dxa"/>
                  <w:tcBorders>
                    <w:tl2br w:val="nil"/>
                    <w:tr2bl w:val="nil"/>
                  </w:tcBorders>
                  <w:vAlign w:val="center"/>
                </w:tcPr>
                <w:p w14:paraId="3F5D8C8C">
                  <w:pPr>
                    <w:pStyle w:val="8"/>
                    <w:ind w:firstLine="0"/>
                    <w:jc w:val="center"/>
                    <w:rPr>
                      <w:rFonts w:hint="default" w:eastAsia="宋体"/>
                      <w:bCs w:val="0"/>
                      <w:color w:val="auto"/>
                      <w:sz w:val="21"/>
                      <w:szCs w:val="24"/>
                      <w:highlight w:val="none"/>
                      <w:lang w:val="en-US" w:eastAsia="zh-CN"/>
                    </w:rPr>
                  </w:pPr>
                  <w:r>
                    <w:rPr>
                      <w:rFonts w:hint="eastAsia"/>
                      <w:bCs w:val="0"/>
                      <w:color w:val="auto"/>
                      <w:sz w:val="21"/>
                      <w:szCs w:val="24"/>
                      <w:highlight w:val="none"/>
                      <w:lang w:val="en-US" w:eastAsia="zh-CN"/>
                    </w:rPr>
                    <w:t>1220</w:t>
                  </w:r>
                </w:p>
              </w:tc>
            </w:tr>
          </w:tbl>
          <w:p w14:paraId="16C32387">
            <w:pPr>
              <w:tabs>
                <w:tab w:val="left" w:leader="middleDot" w:pos="8399"/>
              </w:tabs>
              <w:jc w:val="center"/>
              <w:rPr>
                <w:b/>
                <w:bCs/>
                <w:color w:val="auto"/>
                <w:highlight w:val="none"/>
              </w:rPr>
            </w:pPr>
          </w:p>
          <w:p w14:paraId="0E75BD20">
            <w:pPr>
              <w:tabs>
                <w:tab w:val="left" w:leader="middleDot" w:pos="8399"/>
              </w:tabs>
              <w:jc w:val="center"/>
              <w:rPr>
                <w:b/>
                <w:bCs/>
                <w:color w:val="auto"/>
                <w:highlight w:val="none"/>
              </w:rPr>
            </w:pPr>
          </w:p>
          <w:p w14:paraId="724ADDA4">
            <w:pPr>
              <w:tabs>
                <w:tab w:val="left" w:leader="middleDot" w:pos="8399"/>
              </w:tabs>
              <w:jc w:val="center"/>
              <w:rPr>
                <w:b/>
                <w:bCs/>
                <w:color w:val="auto"/>
                <w:highlight w:val="none"/>
              </w:rPr>
            </w:pPr>
            <w:r>
              <w:rPr>
                <w:b/>
                <w:bCs/>
                <w:color w:val="auto"/>
                <w:highlight w:val="none"/>
              </w:rPr>
              <w:t>表</w:t>
            </w:r>
            <w:r>
              <w:rPr>
                <w:rFonts w:hint="eastAsia"/>
                <w:b/>
                <w:bCs/>
                <w:color w:val="auto"/>
                <w:highlight w:val="none"/>
              </w:rPr>
              <w:t>3-3</w:t>
            </w:r>
            <w:r>
              <w:rPr>
                <w:b/>
                <w:bCs/>
                <w:color w:val="auto"/>
                <w:highlight w:val="none"/>
              </w:rPr>
              <w:t xml:space="preserve">  </w:t>
            </w:r>
            <w:r>
              <w:rPr>
                <w:rFonts w:hint="eastAsia"/>
                <w:b/>
                <w:bCs/>
                <w:color w:val="auto"/>
                <w:highlight w:val="none"/>
              </w:rPr>
              <w:t>特征污染物</w:t>
            </w:r>
            <w:r>
              <w:rPr>
                <w:b/>
                <w:bCs/>
                <w:color w:val="auto"/>
                <w:highlight w:val="none"/>
              </w:rPr>
              <w:t>现状监测结果</w:t>
            </w:r>
          </w:p>
          <w:tbl>
            <w:tblPr>
              <w:tblStyle w:val="32"/>
              <w:tblW w:w="809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7"/>
              <w:gridCol w:w="865"/>
              <w:gridCol w:w="670"/>
              <w:gridCol w:w="1293"/>
              <w:gridCol w:w="1474"/>
              <w:gridCol w:w="1217"/>
              <w:gridCol w:w="722"/>
              <w:gridCol w:w="756"/>
            </w:tblGrid>
            <w:tr w14:paraId="4120C6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tcBorders>
                    <w:tl2br w:val="nil"/>
                    <w:tr2bl w:val="nil"/>
                  </w:tcBorders>
                  <w:vAlign w:val="center"/>
                </w:tcPr>
                <w:p w14:paraId="5F93D420">
                  <w:pPr>
                    <w:pStyle w:val="8"/>
                    <w:ind w:firstLine="0"/>
                    <w:jc w:val="center"/>
                    <w:rPr>
                      <w:b w:val="0"/>
                      <w:bCs w:val="0"/>
                      <w:color w:val="auto"/>
                      <w:sz w:val="21"/>
                      <w:szCs w:val="21"/>
                      <w:highlight w:val="none"/>
                    </w:rPr>
                  </w:pPr>
                  <w:r>
                    <w:rPr>
                      <w:b w:val="0"/>
                      <w:bCs w:val="0"/>
                      <w:color w:val="auto"/>
                      <w:sz w:val="21"/>
                      <w:szCs w:val="21"/>
                      <w:highlight w:val="none"/>
                    </w:rPr>
                    <w:t>监测点</w:t>
                  </w:r>
                </w:p>
              </w:tc>
              <w:tc>
                <w:tcPr>
                  <w:tcW w:w="865" w:type="dxa"/>
                  <w:tcBorders>
                    <w:tl2br w:val="nil"/>
                    <w:tr2bl w:val="nil"/>
                  </w:tcBorders>
                  <w:vAlign w:val="center"/>
                </w:tcPr>
                <w:p w14:paraId="6EDA7BDB">
                  <w:pPr>
                    <w:pStyle w:val="8"/>
                    <w:ind w:firstLine="0"/>
                    <w:jc w:val="center"/>
                    <w:rPr>
                      <w:b w:val="0"/>
                      <w:bCs w:val="0"/>
                      <w:color w:val="auto"/>
                      <w:sz w:val="21"/>
                      <w:szCs w:val="21"/>
                      <w:highlight w:val="none"/>
                    </w:rPr>
                  </w:pPr>
                  <w:r>
                    <w:rPr>
                      <w:b w:val="0"/>
                      <w:bCs w:val="0"/>
                      <w:color w:val="auto"/>
                      <w:sz w:val="21"/>
                      <w:szCs w:val="21"/>
                      <w:highlight w:val="none"/>
                    </w:rPr>
                    <w:t>污染物</w:t>
                  </w:r>
                </w:p>
              </w:tc>
              <w:tc>
                <w:tcPr>
                  <w:tcW w:w="670" w:type="dxa"/>
                  <w:tcBorders>
                    <w:tl2br w:val="nil"/>
                    <w:tr2bl w:val="nil"/>
                  </w:tcBorders>
                  <w:vAlign w:val="center"/>
                </w:tcPr>
                <w:p w14:paraId="3882727D">
                  <w:pPr>
                    <w:pStyle w:val="8"/>
                    <w:ind w:firstLine="0"/>
                    <w:jc w:val="center"/>
                    <w:rPr>
                      <w:b w:val="0"/>
                      <w:bCs w:val="0"/>
                      <w:color w:val="auto"/>
                      <w:sz w:val="21"/>
                      <w:szCs w:val="21"/>
                      <w:highlight w:val="none"/>
                    </w:rPr>
                  </w:pPr>
                  <w:r>
                    <w:rPr>
                      <w:b w:val="0"/>
                      <w:bCs w:val="0"/>
                      <w:color w:val="auto"/>
                      <w:sz w:val="21"/>
                      <w:szCs w:val="21"/>
                      <w:highlight w:val="none"/>
                    </w:rPr>
                    <w:t>平均时间</w:t>
                  </w:r>
                </w:p>
              </w:tc>
              <w:tc>
                <w:tcPr>
                  <w:tcW w:w="1293" w:type="dxa"/>
                  <w:tcBorders>
                    <w:tl2br w:val="nil"/>
                    <w:tr2bl w:val="nil"/>
                  </w:tcBorders>
                  <w:vAlign w:val="center"/>
                </w:tcPr>
                <w:p w14:paraId="05E7D18C">
                  <w:pPr>
                    <w:pStyle w:val="8"/>
                    <w:ind w:firstLine="0"/>
                    <w:jc w:val="center"/>
                    <w:rPr>
                      <w:b w:val="0"/>
                      <w:bCs w:val="0"/>
                      <w:color w:val="auto"/>
                      <w:sz w:val="21"/>
                      <w:szCs w:val="21"/>
                      <w:highlight w:val="none"/>
                    </w:rPr>
                  </w:pPr>
                  <w:r>
                    <w:rPr>
                      <w:b w:val="0"/>
                      <w:bCs w:val="0"/>
                      <w:color w:val="auto"/>
                      <w:sz w:val="21"/>
                      <w:szCs w:val="21"/>
                      <w:highlight w:val="none"/>
                    </w:rPr>
                    <w:t>评价标准（mg/m</w:t>
                  </w:r>
                  <w:r>
                    <w:rPr>
                      <w:b w:val="0"/>
                      <w:bCs w:val="0"/>
                      <w:color w:val="auto"/>
                      <w:sz w:val="21"/>
                      <w:szCs w:val="21"/>
                      <w:highlight w:val="none"/>
                      <w:vertAlign w:val="superscript"/>
                    </w:rPr>
                    <w:t>3</w:t>
                  </w:r>
                  <w:r>
                    <w:rPr>
                      <w:b w:val="0"/>
                      <w:bCs w:val="0"/>
                      <w:color w:val="auto"/>
                      <w:sz w:val="21"/>
                      <w:szCs w:val="21"/>
                      <w:highlight w:val="none"/>
                    </w:rPr>
                    <w:t>）</w:t>
                  </w:r>
                </w:p>
              </w:tc>
              <w:tc>
                <w:tcPr>
                  <w:tcW w:w="1474" w:type="dxa"/>
                  <w:tcBorders>
                    <w:tl2br w:val="nil"/>
                    <w:tr2bl w:val="nil"/>
                  </w:tcBorders>
                  <w:vAlign w:val="center"/>
                </w:tcPr>
                <w:p w14:paraId="43D0F50B">
                  <w:pPr>
                    <w:pStyle w:val="8"/>
                    <w:ind w:firstLine="0"/>
                    <w:jc w:val="center"/>
                    <w:rPr>
                      <w:b w:val="0"/>
                      <w:bCs w:val="0"/>
                      <w:color w:val="auto"/>
                      <w:sz w:val="21"/>
                      <w:szCs w:val="21"/>
                      <w:highlight w:val="none"/>
                    </w:rPr>
                  </w:pPr>
                  <w:r>
                    <w:rPr>
                      <w:b w:val="0"/>
                      <w:bCs w:val="0"/>
                      <w:color w:val="auto"/>
                      <w:sz w:val="21"/>
                      <w:szCs w:val="21"/>
                      <w:highlight w:val="none"/>
                    </w:rPr>
                    <w:t>监测浓度范围（mg/m</w:t>
                  </w:r>
                  <w:r>
                    <w:rPr>
                      <w:b w:val="0"/>
                      <w:bCs w:val="0"/>
                      <w:color w:val="auto"/>
                      <w:sz w:val="21"/>
                      <w:szCs w:val="21"/>
                      <w:highlight w:val="none"/>
                      <w:vertAlign w:val="superscript"/>
                    </w:rPr>
                    <w:t>3</w:t>
                  </w:r>
                  <w:r>
                    <w:rPr>
                      <w:b w:val="0"/>
                      <w:bCs w:val="0"/>
                      <w:color w:val="auto"/>
                      <w:sz w:val="21"/>
                      <w:szCs w:val="21"/>
                      <w:highlight w:val="none"/>
                    </w:rPr>
                    <w:t>）</w:t>
                  </w:r>
                </w:p>
              </w:tc>
              <w:tc>
                <w:tcPr>
                  <w:tcW w:w="1217" w:type="dxa"/>
                  <w:tcBorders>
                    <w:tl2br w:val="nil"/>
                    <w:tr2bl w:val="nil"/>
                  </w:tcBorders>
                  <w:vAlign w:val="center"/>
                </w:tcPr>
                <w:p w14:paraId="44A1FE17">
                  <w:pPr>
                    <w:pStyle w:val="8"/>
                    <w:ind w:firstLine="0"/>
                    <w:jc w:val="center"/>
                    <w:rPr>
                      <w:b w:val="0"/>
                      <w:bCs w:val="0"/>
                      <w:color w:val="auto"/>
                      <w:sz w:val="21"/>
                      <w:szCs w:val="21"/>
                      <w:highlight w:val="none"/>
                    </w:rPr>
                  </w:pPr>
                  <w:r>
                    <w:rPr>
                      <w:b w:val="0"/>
                      <w:bCs w:val="0"/>
                      <w:color w:val="auto"/>
                      <w:sz w:val="21"/>
                      <w:szCs w:val="21"/>
                      <w:highlight w:val="none"/>
                    </w:rPr>
                    <w:t>最大浓度占标率/%</w:t>
                  </w:r>
                </w:p>
              </w:tc>
              <w:tc>
                <w:tcPr>
                  <w:tcW w:w="722" w:type="dxa"/>
                  <w:tcBorders>
                    <w:tl2br w:val="nil"/>
                    <w:tr2bl w:val="nil"/>
                  </w:tcBorders>
                  <w:vAlign w:val="center"/>
                </w:tcPr>
                <w:p w14:paraId="6ACF7FB3">
                  <w:pPr>
                    <w:pStyle w:val="8"/>
                    <w:ind w:firstLine="0"/>
                    <w:jc w:val="center"/>
                    <w:rPr>
                      <w:b w:val="0"/>
                      <w:bCs w:val="0"/>
                      <w:color w:val="auto"/>
                      <w:sz w:val="21"/>
                      <w:szCs w:val="21"/>
                      <w:highlight w:val="none"/>
                    </w:rPr>
                  </w:pPr>
                  <w:r>
                    <w:rPr>
                      <w:b w:val="0"/>
                      <w:bCs w:val="0"/>
                      <w:color w:val="auto"/>
                      <w:sz w:val="21"/>
                      <w:szCs w:val="21"/>
                      <w:highlight w:val="none"/>
                    </w:rPr>
                    <w:t>超标率/%</w:t>
                  </w:r>
                </w:p>
              </w:tc>
              <w:tc>
                <w:tcPr>
                  <w:tcW w:w="756" w:type="dxa"/>
                  <w:tcBorders>
                    <w:tl2br w:val="nil"/>
                    <w:tr2bl w:val="nil"/>
                  </w:tcBorders>
                  <w:vAlign w:val="center"/>
                </w:tcPr>
                <w:p w14:paraId="279B0A9E">
                  <w:pPr>
                    <w:pStyle w:val="8"/>
                    <w:ind w:firstLine="0"/>
                    <w:jc w:val="center"/>
                    <w:rPr>
                      <w:b w:val="0"/>
                      <w:bCs w:val="0"/>
                      <w:color w:val="auto"/>
                      <w:sz w:val="21"/>
                      <w:szCs w:val="21"/>
                      <w:highlight w:val="none"/>
                    </w:rPr>
                  </w:pPr>
                  <w:r>
                    <w:rPr>
                      <w:b w:val="0"/>
                      <w:bCs w:val="0"/>
                      <w:color w:val="auto"/>
                      <w:sz w:val="21"/>
                      <w:szCs w:val="21"/>
                      <w:highlight w:val="none"/>
                    </w:rPr>
                    <w:t>达标情况</w:t>
                  </w:r>
                </w:p>
              </w:tc>
            </w:tr>
            <w:tr w14:paraId="0A89A2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tcBorders>
                    <w:tl2br w:val="nil"/>
                    <w:tr2bl w:val="nil"/>
                  </w:tcBorders>
                  <w:vAlign w:val="center"/>
                </w:tcPr>
                <w:p w14:paraId="10896911">
                  <w:pPr>
                    <w:adjustRightInd w:val="0"/>
                    <w:snapToGrid w:val="0"/>
                    <w:jc w:val="center"/>
                    <w:rPr>
                      <w:color w:val="auto"/>
                      <w:highlight w:val="none"/>
                    </w:rPr>
                  </w:pPr>
                  <w:r>
                    <w:rPr>
                      <w:rFonts w:hint="eastAsia"/>
                      <w:color w:val="auto"/>
                      <w:highlight w:val="none"/>
                    </w:rPr>
                    <w:t>01</w:t>
                  </w:r>
                  <w:r>
                    <w:rPr>
                      <w:color w:val="auto"/>
                      <w:highlight w:val="none"/>
                    </w:rPr>
                    <w:t>项目地</w:t>
                  </w:r>
                  <w:r>
                    <w:rPr>
                      <w:rFonts w:hint="eastAsia"/>
                      <w:color w:val="auto"/>
                      <w:highlight w:val="none"/>
                      <w:lang w:val="en-US" w:eastAsia="zh-CN"/>
                    </w:rPr>
                    <w:t>下</w:t>
                  </w:r>
                  <w:r>
                    <w:rPr>
                      <w:color w:val="auto"/>
                      <w:highlight w:val="none"/>
                    </w:rPr>
                    <w:t>风向</w:t>
                  </w:r>
                </w:p>
              </w:tc>
              <w:tc>
                <w:tcPr>
                  <w:tcW w:w="865" w:type="dxa"/>
                  <w:tcBorders>
                    <w:tl2br w:val="nil"/>
                    <w:tr2bl w:val="nil"/>
                  </w:tcBorders>
                  <w:vAlign w:val="center"/>
                </w:tcPr>
                <w:p w14:paraId="5AD2C155">
                  <w:pPr>
                    <w:pStyle w:val="124"/>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TSP</w:t>
                  </w:r>
                </w:p>
              </w:tc>
              <w:tc>
                <w:tcPr>
                  <w:tcW w:w="670" w:type="dxa"/>
                  <w:tcBorders>
                    <w:tl2br w:val="nil"/>
                    <w:tr2bl w:val="nil"/>
                  </w:tcBorders>
                  <w:vAlign w:val="center"/>
                </w:tcPr>
                <w:p w14:paraId="6AD39FC7">
                  <w:pPr>
                    <w:jc w:val="center"/>
                    <w:rPr>
                      <w:color w:val="auto"/>
                      <w:highlight w:val="none"/>
                    </w:rPr>
                  </w:pPr>
                  <w:r>
                    <w:rPr>
                      <w:color w:val="auto"/>
                      <w:highlight w:val="none"/>
                    </w:rPr>
                    <w:t>24h</w:t>
                  </w:r>
                </w:p>
              </w:tc>
              <w:tc>
                <w:tcPr>
                  <w:tcW w:w="1293" w:type="dxa"/>
                  <w:tcBorders>
                    <w:tl2br w:val="nil"/>
                    <w:tr2bl w:val="nil"/>
                  </w:tcBorders>
                  <w:vAlign w:val="center"/>
                </w:tcPr>
                <w:p w14:paraId="4B9386D5">
                  <w:pPr>
                    <w:pStyle w:val="8"/>
                    <w:ind w:firstLine="0"/>
                    <w:jc w:val="center"/>
                    <w:rPr>
                      <w:color w:val="auto"/>
                      <w:sz w:val="21"/>
                      <w:szCs w:val="24"/>
                      <w:highlight w:val="none"/>
                    </w:rPr>
                  </w:pPr>
                  <w:r>
                    <w:rPr>
                      <w:color w:val="auto"/>
                      <w:sz w:val="21"/>
                      <w:szCs w:val="24"/>
                      <w:highlight w:val="none"/>
                    </w:rPr>
                    <w:t>0.3</w:t>
                  </w:r>
                </w:p>
              </w:tc>
              <w:tc>
                <w:tcPr>
                  <w:tcW w:w="1474" w:type="dxa"/>
                  <w:tcBorders>
                    <w:tl2br w:val="nil"/>
                    <w:tr2bl w:val="nil"/>
                  </w:tcBorders>
                  <w:vAlign w:val="center"/>
                </w:tcPr>
                <w:p w14:paraId="334C906A">
                  <w:pPr>
                    <w:pStyle w:val="8"/>
                    <w:ind w:firstLine="0"/>
                    <w:jc w:val="center"/>
                    <w:rPr>
                      <w:color w:val="auto"/>
                      <w:sz w:val="21"/>
                      <w:szCs w:val="24"/>
                      <w:highlight w:val="none"/>
                    </w:rPr>
                  </w:pPr>
                  <w:r>
                    <w:rPr>
                      <w:color w:val="auto"/>
                      <w:sz w:val="21"/>
                      <w:szCs w:val="24"/>
                      <w:highlight w:val="none"/>
                    </w:rPr>
                    <w:t>0.1</w:t>
                  </w:r>
                  <w:r>
                    <w:rPr>
                      <w:rFonts w:hint="eastAsia"/>
                      <w:color w:val="auto"/>
                      <w:sz w:val="21"/>
                      <w:szCs w:val="24"/>
                      <w:highlight w:val="none"/>
                    </w:rPr>
                    <w:t>03~0.108</w:t>
                  </w:r>
                </w:p>
              </w:tc>
              <w:tc>
                <w:tcPr>
                  <w:tcW w:w="1217" w:type="dxa"/>
                  <w:tcBorders>
                    <w:tl2br w:val="nil"/>
                    <w:tr2bl w:val="nil"/>
                  </w:tcBorders>
                  <w:vAlign w:val="center"/>
                </w:tcPr>
                <w:p w14:paraId="66448365">
                  <w:pPr>
                    <w:pStyle w:val="8"/>
                    <w:ind w:firstLine="0"/>
                    <w:jc w:val="center"/>
                    <w:rPr>
                      <w:color w:val="auto"/>
                      <w:sz w:val="21"/>
                      <w:szCs w:val="24"/>
                      <w:highlight w:val="none"/>
                    </w:rPr>
                  </w:pPr>
                  <w:r>
                    <w:rPr>
                      <w:rFonts w:hint="eastAsia"/>
                      <w:color w:val="auto"/>
                      <w:sz w:val="21"/>
                      <w:szCs w:val="24"/>
                      <w:highlight w:val="none"/>
                    </w:rPr>
                    <w:t>36</w:t>
                  </w:r>
                </w:p>
              </w:tc>
              <w:tc>
                <w:tcPr>
                  <w:tcW w:w="722" w:type="dxa"/>
                  <w:tcBorders>
                    <w:tl2br w:val="nil"/>
                    <w:tr2bl w:val="nil"/>
                  </w:tcBorders>
                  <w:vAlign w:val="center"/>
                </w:tcPr>
                <w:p w14:paraId="1B2D2159">
                  <w:pPr>
                    <w:pStyle w:val="8"/>
                    <w:ind w:firstLine="0"/>
                    <w:jc w:val="center"/>
                    <w:rPr>
                      <w:color w:val="auto"/>
                      <w:sz w:val="21"/>
                      <w:szCs w:val="24"/>
                      <w:highlight w:val="none"/>
                    </w:rPr>
                  </w:pPr>
                  <w:r>
                    <w:rPr>
                      <w:rFonts w:hint="eastAsia"/>
                      <w:color w:val="auto"/>
                      <w:sz w:val="21"/>
                      <w:szCs w:val="24"/>
                      <w:highlight w:val="none"/>
                    </w:rPr>
                    <w:t>0</w:t>
                  </w:r>
                </w:p>
              </w:tc>
              <w:tc>
                <w:tcPr>
                  <w:tcW w:w="756" w:type="dxa"/>
                  <w:tcBorders>
                    <w:tl2br w:val="nil"/>
                    <w:tr2bl w:val="nil"/>
                  </w:tcBorders>
                  <w:vAlign w:val="center"/>
                </w:tcPr>
                <w:p w14:paraId="17CD3894">
                  <w:pPr>
                    <w:pStyle w:val="8"/>
                    <w:ind w:firstLine="0"/>
                    <w:jc w:val="center"/>
                    <w:rPr>
                      <w:color w:val="auto"/>
                      <w:sz w:val="21"/>
                      <w:szCs w:val="24"/>
                      <w:highlight w:val="none"/>
                    </w:rPr>
                  </w:pPr>
                  <w:r>
                    <w:rPr>
                      <w:rFonts w:hint="eastAsia"/>
                      <w:color w:val="auto"/>
                      <w:sz w:val="21"/>
                      <w:szCs w:val="24"/>
                      <w:highlight w:val="none"/>
                    </w:rPr>
                    <w:t>达标</w:t>
                  </w:r>
                </w:p>
              </w:tc>
            </w:tr>
          </w:tbl>
          <w:p w14:paraId="4BABE430">
            <w:pPr>
              <w:pStyle w:val="40"/>
              <w:rPr>
                <w:rFonts w:ascii="Times New Roman" w:hAnsi="Times New Roman"/>
                <w:color w:val="auto"/>
                <w:highlight w:val="none"/>
              </w:rPr>
            </w:pPr>
            <w:r>
              <w:rPr>
                <w:rFonts w:ascii="Times New Roman" w:hAnsi="Times New Roman"/>
                <w:color w:val="auto"/>
                <w:highlight w:val="none"/>
              </w:rPr>
              <w:t>根据监测结果可知，项目区域TSP浓度满足《环境空气质量标准》</w:t>
            </w:r>
            <w:r>
              <w:rPr>
                <w:rFonts w:hint="eastAsia" w:ascii="Times New Roman" w:hAnsi="Times New Roman"/>
                <w:color w:val="auto"/>
                <w:highlight w:val="none"/>
              </w:rPr>
              <w:t>（</w:t>
            </w:r>
            <w:r>
              <w:rPr>
                <w:rFonts w:ascii="Times New Roman" w:hAnsi="Times New Roman"/>
                <w:color w:val="auto"/>
                <w:highlight w:val="none"/>
              </w:rPr>
              <w:t>GB</w:t>
            </w:r>
            <w:r>
              <w:rPr>
                <w:rFonts w:hint="eastAsia" w:ascii="Times New Roman" w:hAnsi="Times New Roman"/>
                <w:color w:val="auto"/>
                <w:highlight w:val="none"/>
                <w:lang w:val="en-US" w:eastAsia="zh-CN"/>
              </w:rPr>
              <w:t xml:space="preserve"> </w:t>
            </w:r>
            <w:r>
              <w:rPr>
                <w:rFonts w:ascii="Times New Roman" w:hAnsi="Times New Roman"/>
                <w:color w:val="auto"/>
                <w:highlight w:val="none"/>
              </w:rPr>
              <w:t>3095­2012</w:t>
            </w:r>
            <w:r>
              <w:rPr>
                <w:rFonts w:hint="eastAsia" w:ascii="Times New Roman" w:hAnsi="Times New Roman"/>
                <w:color w:val="auto"/>
                <w:highlight w:val="none"/>
              </w:rPr>
              <w:t>）</w:t>
            </w:r>
            <w:r>
              <w:rPr>
                <w:rFonts w:ascii="Times New Roman" w:hAnsi="Times New Roman"/>
                <w:color w:val="auto"/>
                <w:highlight w:val="none"/>
              </w:rPr>
              <w:t>的二级标准限值要求。</w:t>
            </w:r>
          </w:p>
          <w:p w14:paraId="7C1C76AF">
            <w:pPr>
              <w:spacing w:line="360" w:lineRule="auto"/>
              <w:ind w:firstLine="482" w:firstLineChars="200"/>
              <w:rPr>
                <w:b/>
                <w:bCs/>
                <w:color w:val="auto"/>
                <w:sz w:val="24"/>
                <w:highlight w:val="none"/>
              </w:rPr>
            </w:pPr>
            <w:r>
              <w:rPr>
                <w:rFonts w:hint="eastAsia"/>
                <w:b/>
                <w:bCs/>
                <w:color w:val="auto"/>
                <w:sz w:val="24"/>
                <w:highlight w:val="none"/>
              </w:rPr>
              <w:t>（二）地表水环境质量现状</w:t>
            </w:r>
          </w:p>
          <w:p w14:paraId="55D50FAB">
            <w:pPr>
              <w:spacing w:line="360" w:lineRule="auto"/>
              <w:ind w:firstLine="480" w:firstLineChars="200"/>
              <w:rPr>
                <w:color w:val="auto"/>
                <w:sz w:val="24"/>
                <w:highlight w:val="none"/>
              </w:rPr>
            </w:pPr>
            <w:r>
              <w:rPr>
                <w:rFonts w:hint="eastAsia"/>
                <w:color w:val="auto"/>
                <w:kern w:val="0"/>
                <w:sz w:val="24"/>
                <w:highlight w:val="none"/>
              </w:rPr>
              <w:t>本项目最近地表水体为汉江，</w:t>
            </w:r>
            <w:r>
              <w:rPr>
                <w:color w:val="auto"/>
                <w:sz w:val="24"/>
                <w:highlight w:val="none"/>
              </w:rPr>
              <w:t>根据</w:t>
            </w:r>
            <w:r>
              <w:rPr>
                <w:rFonts w:hint="eastAsia"/>
                <w:color w:val="auto"/>
                <w:sz w:val="24"/>
                <w:highlight w:val="none"/>
              </w:rPr>
              <w:t>汉中市生态环境局</w:t>
            </w:r>
            <w:r>
              <w:rPr>
                <w:color w:val="auto"/>
                <w:sz w:val="24"/>
                <w:highlight w:val="none"/>
              </w:rPr>
              <w:t>202</w:t>
            </w:r>
            <w:r>
              <w:rPr>
                <w:rFonts w:hint="eastAsia"/>
                <w:color w:val="auto"/>
                <w:sz w:val="24"/>
                <w:highlight w:val="none"/>
              </w:rPr>
              <w:t>5</w:t>
            </w:r>
            <w:r>
              <w:rPr>
                <w:color w:val="auto"/>
                <w:sz w:val="24"/>
                <w:highlight w:val="none"/>
              </w:rPr>
              <w:t>年</w:t>
            </w:r>
            <w:r>
              <w:rPr>
                <w:rFonts w:hint="eastAsia"/>
                <w:color w:val="auto"/>
                <w:sz w:val="24"/>
                <w:highlight w:val="none"/>
              </w:rPr>
              <w:t>第</w:t>
            </w:r>
            <w:r>
              <w:rPr>
                <w:rFonts w:hint="eastAsia"/>
                <w:color w:val="auto"/>
                <w:sz w:val="24"/>
                <w:highlight w:val="none"/>
                <w:lang w:val="en-US" w:eastAsia="zh-CN"/>
              </w:rPr>
              <w:t>6</w:t>
            </w:r>
            <w:r>
              <w:rPr>
                <w:rFonts w:hint="eastAsia"/>
                <w:color w:val="auto"/>
                <w:sz w:val="24"/>
                <w:highlight w:val="none"/>
              </w:rPr>
              <w:t>期</w:t>
            </w:r>
            <w:r>
              <w:rPr>
                <w:color w:val="auto"/>
                <w:sz w:val="24"/>
                <w:highlight w:val="none"/>
              </w:rPr>
              <w:t>环境质量通报可知，</w:t>
            </w:r>
            <w:r>
              <w:rPr>
                <w:rFonts w:hint="eastAsia"/>
                <w:color w:val="auto"/>
                <w:sz w:val="24"/>
                <w:highlight w:val="none"/>
              </w:rPr>
              <w:t>旧汉江大桥和蒙家渡监测</w:t>
            </w:r>
            <w:r>
              <w:rPr>
                <w:color w:val="auto"/>
                <w:sz w:val="24"/>
                <w:highlight w:val="none"/>
              </w:rPr>
              <w:t>断面处</w:t>
            </w:r>
            <w:r>
              <w:rPr>
                <w:rFonts w:hint="eastAsia"/>
                <w:color w:val="auto"/>
                <w:sz w:val="24"/>
                <w:highlight w:val="none"/>
              </w:rPr>
              <w:t>水质类别均为</w:t>
            </w:r>
            <w:r>
              <w:rPr>
                <w:rFonts w:hint="eastAsia" w:ascii="宋体" w:hAnsi="宋体" w:cs="宋体"/>
                <w:color w:val="auto"/>
                <w:sz w:val="24"/>
                <w:highlight w:val="none"/>
              </w:rPr>
              <w:t>Ⅱ</w:t>
            </w:r>
            <w:r>
              <w:rPr>
                <w:rFonts w:hint="eastAsia"/>
                <w:color w:val="auto"/>
                <w:sz w:val="24"/>
                <w:highlight w:val="none"/>
              </w:rPr>
              <w:t>类</w:t>
            </w:r>
            <w:r>
              <w:rPr>
                <w:color w:val="auto"/>
                <w:sz w:val="24"/>
                <w:highlight w:val="none"/>
              </w:rPr>
              <w:t>，</w:t>
            </w:r>
            <w:r>
              <w:rPr>
                <w:rFonts w:hint="eastAsia"/>
                <w:color w:val="auto"/>
                <w:sz w:val="24"/>
                <w:highlight w:val="none"/>
              </w:rPr>
              <w:t>本项目</w:t>
            </w:r>
            <w:r>
              <w:rPr>
                <w:color w:val="auto"/>
                <w:sz w:val="24"/>
                <w:highlight w:val="none"/>
              </w:rPr>
              <w:t>位于</w:t>
            </w:r>
            <w:r>
              <w:rPr>
                <w:rFonts w:hint="eastAsia"/>
                <w:color w:val="auto"/>
                <w:sz w:val="24"/>
                <w:highlight w:val="none"/>
              </w:rPr>
              <w:t>两个</w:t>
            </w:r>
            <w:r>
              <w:rPr>
                <w:color w:val="auto"/>
                <w:sz w:val="24"/>
                <w:highlight w:val="none"/>
              </w:rPr>
              <w:t>监测断面</w:t>
            </w:r>
            <w:r>
              <w:rPr>
                <w:rFonts w:hint="eastAsia"/>
                <w:color w:val="auto"/>
                <w:sz w:val="24"/>
                <w:highlight w:val="none"/>
              </w:rPr>
              <w:t>之间。</w:t>
            </w:r>
            <w:r>
              <w:rPr>
                <w:color w:val="auto"/>
                <w:sz w:val="24"/>
                <w:highlight w:val="none"/>
              </w:rPr>
              <w:t>通过类比分析，</w:t>
            </w:r>
            <w:r>
              <w:rPr>
                <w:rFonts w:hint="eastAsia"/>
                <w:color w:val="auto"/>
                <w:sz w:val="24"/>
                <w:highlight w:val="none"/>
              </w:rPr>
              <w:t>项目所在区域</w:t>
            </w:r>
            <w:r>
              <w:rPr>
                <w:color w:val="auto"/>
                <w:sz w:val="24"/>
                <w:highlight w:val="none"/>
              </w:rPr>
              <w:t>水质满足《地表水环境质量标准》（GB</w:t>
            </w:r>
            <w:r>
              <w:rPr>
                <w:rFonts w:hint="eastAsia"/>
                <w:color w:val="auto"/>
                <w:sz w:val="24"/>
                <w:highlight w:val="none"/>
                <w:lang w:val="en-US" w:eastAsia="zh-CN"/>
              </w:rPr>
              <w:t xml:space="preserve"> </w:t>
            </w:r>
            <w:r>
              <w:rPr>
                <w:color w:val="auto"/>
                <w:sz w:val="24"/>
                <w:highlight w:val="none"/>
              </w:rPr>
              <w:t>3838-2002）Ⅱ类水质要求。</w:t>
            </w:r>
          </w:p>
          <w:p w14:paraId="3AF465BC">
            <w:pPr>
              <w:spacing w:line="360" w:lineRule="auto"/>
              <w:ind w:firstLine="482" w:firstLineChars="200"/>
              <w:rPr>
                <w:b/>
                <w:bCs/>
                <w:color w:val="auto"/>
                <w:sz w:val="24"/>
                <w:highlight w:val="none"/>
              </w:rPr>
            </w:pPr>
            <w:r>
              <w:rPr>
                <w:rFonts w:hint="eastAsia"/>
                <w:b/>
                <w:bCs/>
                <w:color w:val="auto"/>
                <w:sz w:val="24"/>
                <w:highlight w:val="none"/>
              </w:rPr>
              <w:t>（三）声环境质量现状</w:t>
            </w:r>
          </w:p>
          <w:p w14:paraId="061CD7D5">
            <w:pPr>
              <w:pStyle w:val="46"/>
              <w:spacing w:line="360" w:lineRule="auto"/>
              <w:ind w:firstLine="480" w:firstLineChars="200"/>
              <w:jc w:val="both"/>
              <w:rPr>
                <w:color w:val="auto"/>
                <w:highlight w:val="none"/>
              </w:rPr>
            </w:pPr>
            <w:r>
              <w:rPr>
                <w:rFonts w:hint="eastAsia"/>
                <w:color w:val="auto"/>
                <w:highlight w:val="none"/>
              </w:rPr>
              <w:t>本项目</w:t>
            </w:r>
            <w:r>
              <w:rPr>
                <w:rFonts w:hint="eastAsia" w:ascii="Times New Roman" w:cs="Times New Roman"/>
                <w:color w:val="auto"/>
                <w:kern w:val="2"/>
                <w:highlight w:val="none"/>
              </w:rPr>
              <w:t>50</w:t>
            </w:r>
            <w:r>
              <w:rPr>
                <w:rFonts w:hint="eastAsia" w:ascii="Times New Roman" w:cs="Times New Roman"/>
                <w:color w:val="auto"/>
                <w:kern w:val="2"/>
                <w:highlight w:val="none"/>
                <w:lang w:val="en-US" w:eastAsia="zh-CN"/>
              </w:rPr>
              <w:t xml:space="preserve"> </w:t>
            </w:r>
            <w:r>
              <w:rPr>
                <w:rFonts w:hint="eastAsia" w:ascii="Times New Roman" w:cs="Times New Roman"/>
                <w:color w:val="auto"/>
                <w:kern w:val="2"/>
                <w:highlight w:val="none"/>
              </w:rPr>
              <w:t>m</w:t>
            </w:r>
            <w:r>
              <w:rPr>
                <w:rFonts w:hint="eastAsia"/>
                <w:color w:val="auto"/>
                <w:highlight w:val="none"/>
              </w:rPr>
              <w:t>范围内无声环境保护目标，故本次不进行声环境质量现状监测。</w:t>
            </w:r>
          </w:p>
          <w:p w14:paraId="4452B1D8">
            <w:pPr>
              <w:spacing w:line="360" w:lineRule="auto"/>
              <w:ind w:firstLine="482" w:firstLineChars="200"/>
              <w:rPr>
                <w:b/>
                <w:bCs/>
                <w:color w:val="auto"/>
                <w:sz w:val="24"/>
                <w:highlight w:val="none"/>
              </w:rPr>
            </w:pPr>
            <w:r>
              <w:rPr>
                <w:rFonts w:hint="eastAsia"/>
                <w:b/>
                <w:bCs/>
                <w:color w:val="auto"/>
                <w:sz w:val="24"/>
                <w:highlight w:val="none"/>
              </w:rPr>
              <w:t>（四）生态环境质量现状</w:t>
            </w:r>
          </w:p>
          <w:p w14:paraId="5B2066CE">
            <w:pPr>
              <w:autoSpaceDE w:val="0"/>
              <w:autoSpaceDN w:val="0"/>
              <w:adjustRightInd w:val="0"/>
              <w:snapToGrid w:val="0"/>
              <w:spacing w:line="360" w:lineRule="auto"/>
              <w:ind w:firstLine="480" w:firstLineChars="200"/>
              <w:jc w:val="left"/>
              <w:rPr>
                <w:color w:val="auto"/>
                <w:highlight w:val="none"/>
              </w:rPr>
            </w:pPr>
            <w:r>
              <w:rPr>
                <w:rFonts w:hint="eastAsia"/>
                <w:color w:val="auto"/>
                <w:sz w:val="24"/>
                <w:highlight w:val="none"/>
              </w:rPr>
              <w:t>本项目位于产业园区内，利用现有厂区</w:t>
            </w:r>
            <w:r>
              <w:rPr>
                <w:rFonts w:hint="eastAsia"/>
                <w:color w:val="auto"/>
                <w:sz w:val="24"/>
                <w:highlight w:val="none"/>
                <w:lang w:val="en-US" w:eastAsia="zh-CN"/>
              </w:rPr>
              <w:t>占地</w:t>
            </w:r>
            <w:r>
              <w:rPr>
                <w:rFonts w:hint="eastAsia"/>
                <w:color w:val="auto"/>
                <w:sz w:val="24"/>
                <w:highlight w:val="none"/>
              </w:rPr>
              <w:t>进行建设，无新增占地</w:t>
            </w:r>
            <w:r>
              <w:rPr>
                <w:rFonts w:hint="eastAsia"/>
                <w:color w:val="auto"/>
                <w:sz w:val="24"/>
                <w:highlight w:val="none"/>
                <w:lang w:eastAsia="zh-CN"/>
              </w:rPr>
              <w:t>，</w:t>
            </w:r>
            <w:r>
              <w:rPr>
                <w:rFonts w:hint="eastAsia"/>
                <w:color w:val="auto"/>
                <w:sz w:val="24"/>
                <w:highlight w:val="none"/>
              </w:rPr>
              <w:t>用地范围内无生态环境保护目标。</w:t>
            </w:r>
          </w:p>
        </w:tc>
      </w:tr>
      <w:tr w14:paraId="54DDA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1" w:hRule="atLeast"/>
          <w:jc w:val="center"/>
        </w:trPr>
        <w:tc>
          <w:tcPr>
            <w:tcW w:w="678" w:type="dxa"/>
            <w:vAlign w:val="center"/>
          </w:tcPr>
          <w:p w14:paraId="42547E1C">
            <w:pPr>
              <w:adjustRightInd w:val="0"/>
              <w:snapToGrid w:val="0"/>
              <w:jc w:val="center"/>
              <w:rPr>
                <w:rFonts w:ascii="宋体" w:hAnsi="宋体" w:cs="宋体"/>
                <w:color w:val="auto"/>
                <w:kern w:val="0"/>
                <w:sz w:val="24"/>
                <w:highlight w:val="none"/>
              </w:rPr>
            </w:pPr>
          </w:p>
          <w:p w14:paraId="03276CC2">
            <w:pPr>
              <w:adjustRightInd w:val="0"/>
              <w:snapToGrid w:val="0"/>
              <w:jc w:val="center"/>
              <w:rPr>
                <w:rFonts w:ascii="宋体" w:hAnsi="宋体" w:cs="宋体"/>
                <w:color w:val="auto"/>
                <w:kern w:val="0"/>
                <w:sz w:val="24"/>
                <w:highlight w:val="none"/>
              </w:rPr>
            </w:pPr>
          </w:p>
          <w:p w14:paraId="109913F7">
            <w:pPr>
              <w:adjustRightInd w:val="0"/>
              <w:snapToGrid w:val="0"/>
              <w:jc w:val="center"/>
              <w:rPr>
                <w:rFonts w:ascii="宋体" w:hAnsi="宋体" w:cs="宋体"/>
                <w:color w:val="auto"/>
                <w:kern w:val="0"/>
                <w:sz w:val="24"/>
                <w:highlight w:val="none"/>
              </w:rPr>
            </w:pPr>
          </w:p>
          <w:p w14:paraId="089105EB">
            <w:pPr>
              <w:adjustRightInd w:val="0"/>
              <w:snapToGrid w:val="0"/>
              <w:jc w:val="center"/>
              <w:rPr>
                <w:rFonts w:ascii="宋体" w:hAnsi="宋体" w:cs="宋体"/>
                <w:color w:val="auto"/>
                <w:kern w:val="0"/>
                <w:sz w:val="24"/>
                <w:highlight w:val="none"/>
              </w:rPr>
            </w:pPr>
          </w:p>
          <w:p w14:paraId="56CF3779">
            <w:pPr>
              <w:adjustRightInd w:val="0"/>
              <w:snapToGrid w:val="0"/>
              <w:jc w:val="center"/>
              <w:rPr>
                <w:rFonts w:ascii="宋体" w:hAnsi="宋体" w:cs="宋体"/>
                <w:color w:val="auto"/>
                <w:kern w:val="0"/>
                <w:sz w:val="24"/>
                <w:highlight w:val="none"/>
              </w:rPr>
            </w:pPr>
          </w:p>
          <w:p w14:paraId="1FEB2AEC">
            <w:pPr>
              <w:adjustRightInd w:val="0"/>
              <w:snapToGrid w:val="0"/>
              <w:jc w:val="center"/>
              <w:rPr>
                <w:rFonts w:ascii="宋体" w:hAnsi="宋体" w:cs="宋体"/>
                <w:color w:val="auto"/>
                <w:kern w:val="0"/>
                <w:sz w:val="24"/>
                <w:highlight w:val="none"/>
              </w:rPr>
            </w:pPr>
          </w:p>
          <w:p w14:paraId="1DBD05C8">
            <w:pPr>
              <w:adjustRightInd w:val="0"/>
              <w:snapToGrid w:val="0"/>
              <w:jc w:val="center"/>
              <w:rPr>
                <w:rFonts w:ascii="宋体" w:hAnsi="宋体" w:cs="宋体"/>
                <w:color w:val="auto"/>
                <w:kern w:val="0"/>
                <w:sz w:val="24"/>
                <w:highlight w:val="none"/>
              </w:rPr>
            </w:pPr>
          </w:p>
          <w:p w14:paraId="43BA2A0D">
            <w:pPr>
              <w:adjustRightInd w:val="0"/>
              <w:snapToGrid w:val="0"/>
              <w:jc w:val="center"/>
              <w:rPr>
                <w:rFonts w:ascii="宋体" w:hAnsi="宋体" w:cs="宋体"/>
                <w:color w:val="auto"/>
                <w:kern w:val="0"/>
                <w:sz w:val="24"/>
                <w:highlight w:val="none"/>
              </w:rPr>
            </w:pPr>
          </w:p>
          <w:p w14:paraId="6F421F3A">
            <w:pPr>
              <w:adjustRightInd w:val="0"/>
              <w:snapToGrid w:val="0"/>
              <w:jc w:val="center"/>
              <w:rPr>
                <w:rFonts w:ascii="宋体" w:hAnsi="宋体" w:cs="宋体"/>
                <w:color w:val="auto"/>
                <w:kern w:val="0"/>
                <w:sz w:val="24"/>
                <w:highlight w:val="none"/>
              </w:rPr>
            </w:pPr>
          </w:p>
          <w:p w14:paraId="100C1C29">
            <w:pPr>
              <w:adjustRightInd w:val="0"/>
              <w:snapToGrid w:val="0"/>
              <w:jc w:val="center"/>
              <w:rPr>
                <w:rFonts w:ascii="宋体" w:hAnsi="宋体" w:cs="宋体"/>
                <w:color w:val="auto"/>
                <w:kern w:val="0"/>
                <w:sz w:val="24"/>
                <w:highlight w:val="none"/>
              </w:rPr>
            </w:pPr>
          </w:p>
          <w:p w14:paraId="60E5BE9D">
            <w:pPr>
              <w:adjustRightInd w:val="0"/>
              <w:snapToGrid w:val="0"/>
              <w:jc w:val="center"/>
              <w:rPr>
                <w:rFonts w:ascii="宋体" w:hAnsi="宋体" w:cs="宋体"/>
                <w:color w:val="auto"/>
                <w:kern w:val="0"/>
                <w:sz w:val="24"/>
                <w:highlight w:val="none"/>
              </w:rPr>
            </w:pPr>
          </w:p>
          <w:p w14:paraId="5A3969FA">
            <w:pPr>
              <w:adjustRightInd w:val="0"/>
              <w:snapToGrid w:val="0"/>
              <w:jc w:val="center"/>
              <w:rPr>
                <w:rFonts w:ascii="宋体" w:hAnsi="宋体" w:cs="宋体"/>
                <w:color w:val="auto"/>
                <w:kern w:val="0"/>
                <w:sz w:val="24"/>
                <w:highlight w:val="none"/>
              </w:rPr>
            </w:pPr>
          </w:p>
          <w:p w14:paraId="057789BB">
            <w:pPr>
              <w:adjustRightInd w:val="0"/>
              <w:snapToGrid w:val="0"/>
              <w:jc w:val="center"/>
              <w:rPr>
                <w:rFonts w:ascii="宋体" w:hAnsi="宋体" w:cs="宋体"/>
                <w:color w:val="auto"/>
                <w:kern w:val="0"/>
                <w:sz w:val="24"/>
                <w:highlight w:val="none"/>
              </w:rPr>
            </w:pPr>
          </w:p>
          <w:p w14:paraId="01CC88CF">
            <w:pPr>
              <w:adjustRightInd w:val="0"/>
              <w:snapToGrid w:val="0"/>
              <w:jc w:val="center"/>
              <w:rPr>
                <w:rFonts w:ascii="宋体" w:hAnsi="宋体" w:cs="宋体"/>
                <w:color w:val="auto"/>
                <w:kern w:val="0"/>
                <w:sz w:val="24"/>
                <w:highlight w:val="none"/>
              </w:rPr>
            </w:pPr>
          </w:p>
          <w:p w14:paraId="607AE179">
            <w:pPr>
              <w:adjustRightInd w:val="0"/>
              <w:snapToGrid w:val="0"/>
              <w:jc w:val="center"/>
              <w:rPr>
                <w:rFonts w:ascii="宋体" w:hAnsi="宋体" w:cs="宋体"/>
                <w:color w:val="auto"/>
                <w:kern w:val="0"/>
                <w:sz w:val="24"/>
                <w:highlight w:val="none"/>
              </w:rPr>
            </w:pPr>
          </w:p>
          <w:p w14:paraId="4A4CCCC6">
            <w:pPr>
              <w:adjustRightInd w:val="0"/>
              <w:snapToGrid w:val="0"/>
              <w:jc w:val="center"/>
              <w:rPr>
                <w:rFonts w:ascii="宋体" w:hAnsi="宋体" w:cs="宋体"/>
                <w:color w:val="auto"/>
                <w:kern w:val="0"/>
                <w:sz w:val="24"/>
                <w:highlight w:val="none"/>
              </w:rPr>
            </w:pPr>
          </w:p>
          <w:p w14:paraId="6239A2D1">
            <w:pPr>
              <w:adjustRightInd w:val="0"/>
              <w:snapToGrid w:val="0"/>
              <w:jc w:val="center"/>
              <w:rPr>
                <w:rFonts w:ascii="宋体" w:hAnsi="宋体" w:cs="宋体"/>
                <w:color w:val="auto"/>
                <w:kern w:val="0"/>
                <w:sz w:val="24"/>
                <w:highlight w:val="none"/>
              </w:rPr>
            </w:pPr>
          </w:p>
          <w:p w14:paraId="79530166">
            <w:pPr>
              <w:adjustRightInd w:val="0"/>
              <w:snapToGrid w:val="0"/>
              <w:jc w:val="center"/>
              <w:rPr>
                <w:rFonts w:ascii="宋体" w:hAnsi="宋体" w:cs="宋体"/>
                <w:color w:val="auto"/>
                <w:kern w:val="0"/>
                <w:sz w:val="24"/>
                <w:highlight w:val="none"/>
              </w:rPr>
            </w:pPr>
          </w:p>
          <w:p w14:paraId="70578FB8">
            <w:pPr>
              <w:adjustRightInd w:val="0"/>
              <w:snapToGrid w:val="0"/>
              <w:jc w:val="center"/>
              <w:rPr>
                <w:rFonts w:ascii="宋体" w:hAnsi="宋体" w:cs="宋体"/>
                <w:color w:val="auto"/>
                <w:kern w:val="0"/>
                <w:sz w:val="24"/>
                <w:highlight w:val="none"/>
              </w:rPr>
            </w:pPr>
          </w:p>
          <w:p w14:paraId="62F6D5AC">
            <w:pPr>
              <w:adjustRightInd w:val="0"/>
              <w:snapToGrid w:val="0"/>
              <w:jc w:val="center"/>
              <w:rPr>
                <w:rFonts w:ascii="宋体" w:hAnsi="宋体" w:cs="宋体"/>
                <w:color w:val="auto"/>
                <w:kern w:val="0"/>
                <w:sz w:val="24"/>
                <w:highlight w:val="none"/>
              </w:rPr>
            </w:pPr>
          </w:p>
          <w:p w14:paraId="75427A80">
            <w:pPr>
              <w:adjustRightInd w:val="0"/>
              <w:snapToGrid w:val="0"/>
              <w:jc w:val="center"/>
              <w:rPr>
                <w:rFonts w:ascii="宋体" w:hAnsi="宋体" w:cs="宋体"/>
                <w:color w:val="auto"/>
                <w:kern w:val="0"/>
                <w:sz w:val="24"/>
                <w:highlight w:val="none"/>
              </w:rPr>
            </w:pPr>
          </w:p>
          <w:p w14:paraId="1794A6A4">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14:paraId="38A6928A">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保护</w:t>
            </w:r>
          </w:p>
          <w:p w14:paraId="418F5548">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目标</w:t>
            </w:r>
          </w:p>
          <w:p w14:paraId="75779233">
            <w:pPr>
              <w:adjustRightInd w:val="0"/>
              <w:snapToGrid w:val="0"/>
              <w:rPr>
                <w:rFonts w:ascii="宋体" w:hAnsi="宋体" w:cs="宋体"/>
                <w:color w:val="auto"/>
                <w:kern w:val="0"/>
                <w:szCs w:val="21"/>
                <w:highlight w:val="none"/>
              </w:rPr>
            </w:pPr>
          </w:p>
        </w:tc>
        <w:tc>
          <w:tcPr>
            <w:tcW w:w="8312" w:type="dxa"/>
          </w:tcPr>
          <w:p w14:paraId="7A93133F">
            <w:pPr>
              <w:adjustRightInd w:val="0"/>
              <w:snapToGrid w:val="0"/>
              <w:spacing w:line="360" w:lineRule="auto"/>
              <w:ind w:firstLine="482" w:firstLineChars="200"/>
              <w:jc w:val="left"/>
              <w:rPr>
                <w:color w:val="auto"/>
                <w:highlight w:val="none"/>
              </w:rPr>
            </w:pPr>
            <w:r>
              <w:rPr>
                <w:rFonts w:hint="eastAsia"/>
                <w:b/>
                <w:bCs/>
                <w:color w:val="auto"/>
                <w:sz w:val="24"/>
                <w:highlight w:val="none"/>
              </w:rPr>
              <w:t>一、大气环境保护目标</w:t>
            </w:r>
          </w:p>
          <w:p w14:paraId="1944F6D8">
            <w:pPr>
              <w:pStyle w:val="41"/>
              <w:spacing w:line="360" w:lineRule="auto"/>
              <w:ind w:firstLine="480" w:firstLineChars="200"/>
              <w:rPr>
                <w:color w:val="auto"/>
                <w:highlight w:val="none"/>
              </w:rPr>
            </w:pPr>
            <w:r>
              <w:rPr>
                <w:rFonts w:hint="eastAsia"/>
                <w:color w:val="auto"/>
                <w:highlight w:val="none"/>
              </w:rPr>
              <w:t>本</w:t>
            </w:r>
            <w:r>
              <w:rPr>
                <w:rFonts w:hint="eastAsia"/>
                <w:color w:val="auto"/>
                <w:highlight w:val="none"/>
                <w:lang w:val="en-US" w:eastAsia="zh-CN"/>
              </w:rPr>
              <w:t>项目</w:t>
            </w:r>
            <w:r>
              <w:rPr>
                <w:rFonts w:hint="eastAsia"/>
                <w:color w:val="auto"/>
                <w:highlight w:val="none"/>
              </w:rPr>
              <w:t>在原厂区内进行</w:t>
            </w:r>
            <w:r>
              <w:rPr>
                <w:rFonts w:hint="eastAsia"/>
                <w:color w:val="auto"/>
                <w:highlight w:val="none"/>
                <w:lang w:val="en-US" w:eastAsia="zh-CN"/>
              </w:rPr>
              <w:t>建设</w:t>
            </w:r>
            <w:r>
              <w:rPr>
                <w:rFonts w:hint="eastAsia"/>
                <w:color w:val="auto"/>
                <w:highlight w:val="none"/>
              </w:rPr>
              <w:t>，不新增占地。经调查，厂区周边</w:t>
            </w:r>
            <w:r>
              <w:rPr>
                <w:rFonts w:hint="eastAsia" w:ascii="Times New Roman" w:hAnsi="Times New Roman" w:cs="Times New Roman"/>
                <w:color w:val="auto"/>
                <w:highlight w:val="none"/>
              </w:rPr>
              <w:t>500m</w:t>
            </w:r>
            <w:r>
              <w:rPr>
                <w:rFonts w:hint="eastAsia"/>
                <w:color w:val="auto"/>
                <w:highlight w:val="none"/>
              </w:rPr>
              <w:t>范围内无风景名胜区等敏感区，主要分布有园区企业及戚氏村住户，</w:t>
            </w:r>
            <w:r>
              <w:rPr>
                <w:color w:val="auto"/>
                <w:highlight w:val="none"/>
              </w:rPr>
              <w:t>项目外环境关系相对简单</w:t>
            </w:r>
            <w:r>
              <w:rPr>
                <w:rFonts w:hint="eastAsia"/>
                <w:color w:val="auto"/>
                <w:highlight w:val="none"/>
              </w:rPr>
              <w:t>，四邻关系情况如下：</w:t>
            </w:r>
          </w:p>
          <w:p w14:paraId="746BB705">
            <w:pPr>
              <w:spacing w:line="360" w:lineRule="auto"/>
              <w:ind w:firstLine="540" w:firstLineChars="225"/>
              <w:rPr>
                <w:rFonts w:hint="default" w:ascii="Times New Roman" w:hAnsi="Times New Roman" w:eastAsia="宋体"/>
                <w:sz w:val="24"/>
                <w:lang w:val="en-US" w:eastAsia="zh-CN" w:bidi="ar"/>
              </w:rPr>
            </w:pPr>
            <w:r>
              <w:rPr>
                <w:rFonts w:ascii="Times New Roman" w:hAnsi="Times New Roman"/>
                <w:sz w:val="24"/>
                <w:lang w:bidi="ar"/>
              </w:rPr>
              <w:t>东侧为</w:t>
            </w:r>
            <w:r>
              <w:rPr>
                <w:rFonts w:hint="eastAsia" w:ascii="Times New Roman" w:hAnsi="Times New Roman"/>
                <w:sz w:val="24"/>
                <w:lang w:bidi="ar"/>
              </w:rPr>
              <w:t>耕地</w:t>
            </w:r>
            <w:r>
              <w:rPr>
                <w:rFonts w:ascii="Times New Roman" w:hAnsi="Times New Roman"/>
                <w:sz w:val="24"/>
                <w:lang w:bidi="ar"/>
              </w:rPr>
              <w:t>；西侧为</w:t>
            </w:r>
            <w:r>
              <w:rPr>
                <w:rFonts w:hint="eastAsia" w:ascii="Times New Roman" w:hAnsi="Times New Roman"/>
                <w:sz w:val="24"/>
                <w:lang w:bidi="ar"/>
              </w:rPr>
              <w:t>沃特新材料公司</w:t>
            </w:r>
            <w:r>
              <w:rPr>
                <w:rFonts w:ascii="Times New Roman" w:hAnsi="Times New Roman"/>
                <w:sz w:val="24"/>
                <w:lang w:bidi="ar"/>
              </w:rPr>
              <w:t>；北侧</w:t>
            </w:r>
            <w:r>
              <w:rPr>
                <w:rFonts w:hint="eastAsia" w:ascii="Times New Roman" w:hAnsi="Times New Roman"/>
                <w:sz w:val="24"/>
                <w:lang w:bidi="ar"/>
              </w:rPr>
              <w:t>为西成高铁</w:t>
            </w:r>
            <w:r>
              <w:rPr>
                <w:rFonts w:hint="eastAsia"/>
                <w:sz w:val="24"/>
                <w:lang w:eastAsia="zh-CN" w:bidi="ar"/>
              </w:rPr>
              <w:t>，</w:t>
            </w:r>
            <w:r>
              <w:rPr>
                <w:rFonts w:hint="eastAsia" w:ascii="Times New Roman" w:hAnsi="Times New Roman"/>
                <w:sz w:val="24"/>
                <w:lang w:bidi="ar"/>
              </w:rPr>
              <w:t>西北侧3</w:t>
            </w:r>
            <w:r>
              <w:rPr>
                <w:rFonts w:hint="eastAsia"/>
                <w:sz w:val="24"/>
                <w:lang w:val="en-US" w:eastAsia="zh-CN" w:bidi="ar"/>
              </w:rPr>
              <w:t>86</w:t>
            </w:r>
            <w:r>
              <w:rPr>
                <w:rFonts w:ascii="Times New Roman" w:hAnsi="Times New Roman"/>
                <w:sz w:val="24"/>
                <w:lang w:bidi="ar"/>
              </w:rPr>
              <w:t>m处为</w:t>
            </w:r>
            <w:r>
              <w:rPr>
                <w:rFonts w:hint="eastAsia" w:ascii="Times New Roman" w:hAnsi="Times New Roman"/>
                <w:sz w:val="24"/>
                <w:lang w:bidi="ar"/>
              </w:rPr>
              <w:t>七眼泉村</w:t>
            </w:r>
            <w:r>
              <w:rPr>
                <w:rFonts w:ascii="Times New Roman" w:hAnsi="Times New Roman"/>
                <w:sz w:val="24"/>
                <w:lang w:bidi="ar"/>
              </w:rPr>
              <w:t>住户；南侧为</w:t>
            </w:r>
            <w:r>
              <w:rPr>
                <w:rFonts w:hint="eastAsia" w:ascii="Times New Roman" w:hAnsi="Times New Roman"/>
                <w:sz w:val="24"/>
                <w:lang w:bidi="ar"/>
              </w:rPr>
              <w:t>中铁十四局桥梁预制厂</w:t>
            </w:r>
            <w:r>
              <w:rPr>
                <w:rFonts w:ascii="Times New Roman" w:hAnsi="Times New Roman"/>
                <w:sz w:val="24"/>
                <w:lang w:bidi="ar"/>
              </w:rPr>
              <w:t>。</w:t>
            </w:r>
            <w:r>
              <w:rPr>
                <w:rFonts w:hint="eastAsia" w:ascii="Times New Roman" w:hAnsi="Times New Roman" w:eastAsia="宋体" w:cs="Times New Roman"/>
                <w:sz w:val="24"/>
                <w:lang w:bidi="ar"/>
              </w:rPr>
              <w:t>该项目大气环境保护目标如</w:t>
            </w:r>
            <w:r>
              <w:rPr>
                <w:rFonts w:hint="eastAsia" w:ascii="Times New Roman" w:hAnsi="Times New Roman" w:eastAsia="宋体" w:cs="Times New Roman"/>
                <w:sz w:val="24"/>
                <w:lang w:bidi="ar"/>
              </w:rPr>
              <w:fldChar w:fldCharType="begin"/>
            </w:r>
            <w:r>
              <w:rPr>
                <w:rFonts w:hint="eastAsia" w:ascii="Times New Roman" w:hAnsi="Times New Roman" w:eastAsia="宋体" w:cs="Times New Roman"/>
                <w:sz w:val="24"/>
                <w:lang w:bidi="ar"/>
              </w:rPr>
              <w:instrText xml:space="preserve"> REF _Ref287340937 \h  \* MERGEFORMAT </w:instrText>
            </w:r>
            <w:r>
              <w:rPr>
                <w:rFonts w:hint="eastAsia" w:ascii="Times New Roman" w:hAnsi="Times New Roman" w:eastAsia="宋体" w:cs="Times New Roman"/>
                <w:sz w:val="24"/>
                <w:lang w:bidi="ar"/>
              </w:rPr>
              <w:fldChar w:fldCharType="separate"/>
            </w:r>
            <w:r>
              <w:rPr>
                <w:rFonts w:hint="eastAsia" w:ascii="Times New Roman" w:hAnsi="Times New Roman" w:eastAsia="宋体" w:cs="Times New Roman"/>
                <w:sz w:val="24"/>
                <w:lang w:bidi="ar"/>
              </w:rPr>
              <w:t>表</w:t>
            </w:r>
            <w:r>
              <w:rPr>
                <w:rFonts w:hint="eastAsia" w:ascii="Times New Roman" w:hAnsi="Times New Roman" w:eastAsia="宋体" w:cs="Times New Roman"/>
                <w:sz w:val="24"/>
                <w:lang w:bidi="ar"/>
              </w:rPr>
              <w:fldChar w:fldCharType="end"/>
            </w:r>
            <w:r>
              <w:rPr>
                <w:rFonts w:hint="eastAsia" w:ascii="Times New Roman" w:hAnsi="Times New Roman" w:eastAsia="宋体" w:cs="Times New Roman"/>
                <w:sz w:val="24"/>
                <w:lang w:bidi="ar"/>
              </w:rPr>
              <w:t>3-4所示</w:t>
            </w:r>
            <w:r>
              <w:rPr>
                <w:rFonts w:hint="eastAsia" w:cs="Times New Roman"/>
                <w:sz w:val="24"/>
                <w:lang w:eastAsia="zh-CN" w:bidi="ar"/>
              </w:rPr>
              <w:t>，</w:t>
            </w:r>
            <w:r>
              <w:rPr>
                <w:rFonts w:hint="eastAsia" w:ascii="Times New Roman" w:hAnsi="Times New Roman" w:eastAsia="宋体" w:cs="Times New Roman"/>
                <w:sz w:val="24"/>
                <w:lang w:bidi="ar"/>
              </w:rPr>
              <w:t>大气环境保护目标</w:t>
            </w:r>
            <w:r>
              <w:rPr>
                <w:rFonts w:hint="eastAsia" w:ascii="Times New Roman" w:hAnsi="Times New Roman" w:eastAsia="宋体" w:cs="Times New Roman"/>
                <w:sz w:val="24"/>
                <w:lang w:val="en-US" w:eastAsia="zh-CN" w:bidi="ar"/>
              </w:rPr>
              <w:t>图见附图</w:t>
            </w:r>
            <w:r>
              <w:rPr>
                <w:rFonts w:hint="eastAsia" w:cs="Times New Roman"/>
                <w:sz w:val="24"/>
                <w:lang w:val="en-US" w:eastAsia="zh-CN" w:bidi="ar"/>
              </w:rPr>
              <w:t>6</w:t>
            </w:r>
            <w:r>
              <w:rPr>
                <w:rFonts w:hint="eastAsia" w:ascii="Times New Roman" w:hAnsi="Times New Roman" w:eastAsia="宋体" w:cs="Times New Roman"/>
                <w:sz w:val="24"/>
                <w:lang w:val="en-US" w:eastAsia="zh-CN" w:bidi="ar"/>
              </w:rPr>
              <w:t>。</w:t>
            </w:r>
          </w:p>
          <w:p w14:paraId="24095FD8">
            <w:pPr>
              <w:tabs>
                <w:tab w:val="left" w:leader="middleDot" w:pos="8399"/>
              </w:tabs>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rPr>
              <w:t>3-4</w:t>
            </w:r>
            <w:r>
              <w:rPr>
                <w:rFonts w:ascii="Times New Roman" w:hAnsi="Times New Roman" w:eastAsia="宋体" w:cs="Times New Roman"/>
                <w:b/>
                <w:bCs/>
                <w:color w:val="auto"/>
                <w:highlight w:val="none"/>
              </w:rPr>
              <w:t xml:space="preserve">  项目主要大气环境保护目标一览表</w:t>
            </w:r>
          </w:p>
          <w:tbl>
            <w:tblPr>
              <w:tblStyle w:val="32"/>
              <w:tblW w:w="813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6"/>
              <w:gridCol w:w="1041"/>
              <w:gridCol w:w="1112"/>
              <w:gridCol w:w="1636"/>
              <w:gridCol w:w="772"/>
              <w:gridCol w:w="993"/>
              <w:gridCol w:w="992"/>
              <w:gridCol w:w="1202"/>
            </w:tblGrid>
            <w:tr w14:paraId="7CAD4E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9" w:hRule="atLeast"/>
                <w:jc w:val="center"/>
              </w:trPr>
              <w:tc>
                <w:tcPr>
                  <w:tcW w:w="386" w:type="dxa"/>
                  <w:vMerge w:val="restart"/>
                  <w:tcBorders>
                    <w:tl2br w:val="nil"/>
                    <w:tr2bl w:val="nil"/>
                  </w:tcBorders>
                  <w:noWrap w:val="0"/>
                  <w:vAlign w:val="center"/>
                </w:tcPr>
                <w:p w14:paraId="3C991B9B">
                  <w:pPr>
                    <w:widowControl/>
                    <w:spacing w:line="240" w:lineRule="exact"/>
                    <w:jc w:val="center"/>
                    <w:rPr>
                      <w:rFonts w:ascii="Times New Roman" w:hAnsi="Times New Roman"/>
                      <w:kern w:val="0"/>
                      <w:sz w:val="21"/>
                      <w:szCs w:val="21"/>
                    </w:rPr>
                  </w:pPr>
                  <w:r>
                    <w:rPr>
                      <w:rFonts w:ascii="Times New Roman" w:hAnsi="Times New Roman"/>
                      <w:kern w:val="0"/>
                      <w:sz w:val="21"/>
                      <w:szCs w:val="21"/>
                    </w:rPr>
                    <w:t>名称</w:t>
                  </w:r>
                </w:p>
              </w:tc>
              <w:tc>
                <w:tcPr>
                  <w:tcW w:w="2153" w:type="dxa"/>
                  <w:gridSpan w:val="2"/>
                  <w:tcBorders>
                    <w:tl2br w:val="nil"/>
                    <w:tr2bl w:val="nil"/>
                  </w:tcBorders>
                  <w:noWrap w:val="0"/>
                  <w:vAlign w:val="center"/>
                </w:tcPr>
                <w:p w14:paraId="3E1B8F3B">
                  <w:pPr>
                    <w:spacing w:before="63" w:beforeLines="20" w:after="63" w:afterLines="20"/>
                    <w:jc w:val="center"/>
                    <w:rPr>
                      <w:rFonts w:ascii="Times New Roman" w:hAnsi="Times New Roman"/>
                      <w:kern w:val="0"/>
                      <w:sz w:val="21"/>
                      <w:szCs w:val="21"/>
                    </w:rPr>
                  </w:pPr>
                  <w:r>
                    <w:rPr>
                      <w:rFonts w:ascii="Times New Roman" w:hAnsi="Times New Roman"/>
                      <w:kern w:val="0"/>
                      <w:sz w:val="21"/>
                      <w:szCs w:val="21"/>
                    </w:rPr>
                    <w:t>坐标/m</w:t>
                  </w:r>
                </w:p>
              </w:tc>
              <w:tc>
                <w:tcPr>
                  <w:tcW w:w="1636" w:type="dxa"/>
                  <w:vMerge w:val="restart"/>
                  <w:tcBorders>
                    <w:tl2br w:val="nil"/>
                    <w:tr2bl w:val="nil"/>
                  </w:tcBorders>
                  <w:noWrap w:val="0"/>
                  <w:vAlign w:val="center"/>
                </w:tcPr>
                <w:p w14:paraId="543E58C4">
                  <w:pPr>
                    <w:widowControl/>
                    <w:spacing w:line="240" w:lineRule="exact"/>
                    <w:jc w:val="center"/>
                    <w:rPr>
                      <w:rFonts w:ascii="Times New Roman" w:hAnsi="Times New Roman"/>
                      <w:kern w:val="0"/>
                      <w:sz w:val="21"/>
                      <w:szCs w:val="21"/>
                    </w:rPr>
                  </w:pPr>
                  <w:r>
                    <w:rPr>
                      <w:rFonts w:ascii="Times New Roman" w:hAnsi="Times New Roman"/>
                      <w:kern w:val="0"/>
                      <w:sz w:val="21"/>
                      <w:szCs w:val="21"/>
                    </w:rPr>
                    <w:t>保护对象</w:t>
                  </w:r>
                </w:p>
              </w:tc>
              <w:tc>
                <w:tcPr>
                  <w:tcW w:w="772" w:type="dxa"/>
                  <w:vMerge w:val="restart"/>
                  <w:tcBorders>
                    <w:tl2br w:val="nil"/>
                    <w:tr2bl w:val="nil"/>
                  </w:tcBorders>
                  <w:noWrap w:val="0"/>
                  <w:vAlign w:val="center"/>
                </w:tcPr>
                <w:p w14:paraId="5FB5BFC8">
                  <w:pPr>
                    <w:spacing w:line="240" w:lineRule="exact"/>
                    <w:jc w:val="center"/>
                    <w:rPr>
                      <w:rFonts w:hint="eastAsia" w:ascii="Times New Roman" w:hAnsi="Times New Roman"/>
                      <w:sz w:val="21"/>
                      <w:szCs w:val="21"/>
                    </w:rPr>
                  </w:pPr>
                  <w:r>
                    <w:rPr>
                      <w:rFonts w:ascii="Times New Roman" w:hAnsi="Times New Roman"/>
                      <w:sz w:val="21"/>
                      <w:szCs w:val="21"/>
                    </w:rPr>
                    <w:t>保护</w:t>
                  </w:r>
                </w:p>
                <w:p w14:paraId="707CEA67">
                  <w:pPr>
                    <w:spacing w:line="240" w:lineRule="exact"/>
                    <w:jc w:val="center"/>
                    <w:rPr>
                      <w:rFonts w:ascii="Times New Roman" w:hAnsi="Times New Roman"/>
                      <w:sz w:val="21"/>
                      <w:szCs w:val="21"/>
                    </w:rPr>
                  </w:pPr>
                  <w:r>
                    <w:rPr>
                      <w:rFonts w:ascii="Times New Roman" w:hAnsi="Times New Roman"/>
                      <w:sz w:val="21"/>
                      <w:szCs w:val="21"/>
                    </w:rPr>
                    <w:t>内容</w:t>
                  </w:r>
                </w:p>
              </w:tc>
              <w:tc>
                <w:tcPr>
                  <w:tcW w:w="993" w:type="dxa"/>
                  <w:vMerge w:val="restart"/>
                  <w:tcBorders>
                    <w:tl2br w:val="nil"/>
                    <w:tr2bl w:val="nil"/>
                  </w:tcBorders>
                  <w:noWrap w:val="0"/>
                  <w:vAlign w:val="center"/>
                </w:tcPr>
                <w:p w14:paraId="42BE9A00">
                  <w:pPr>
                    <w:spacing w:line="240" w:lineRule="exact"/>
                    <w:jc w:val="center"/>
                    <w:rPr>
                      <w:rFonts w:hint="eastAsia" w:ascii="Times New Roman" w:hAnsi="Times New Roman"/>
                      <w:sz w:val="21"/>
                      <w:szCs w:val="21"/>
                    </w:rPr>
                  </w:pPr>
                  <w:r>
                    <w:rPr>
                      <w:rFonts w:ascii="Times New Roman" w:hAnsi="Times New Roman"/>
                      <w:sz w:val="21"/>
                      <w:szCs w:val="21"/>
                    </w:rPr>
                    <w:t>环境</w:t>
                  </w:r>
                </w:p>
                <w:p w14:paraId="7066939B">
                  <w:pPr>
                    <w:spacing w:line="240" w:lineRule="exact"/>
                    <w:jc w:val="center"/>
                    <w:rPr>
                      <w:rFonts w:ascii="Times New Roman" w:hAnsi="Times New Roman"/>
                      <w:sz w:val="21"/>
                      <w:szCs w:val="21"/>
                    </w:rPr>
                  </w:pPr>
                  <w:r>
                    <w:rPr>
                      <w:rFonts w:ascii="Times New Roman" w:hAnsi="Times New Roman"/>
                      <w:sz w:val="21"/>
                      <w:szCs w:val="21"/>
                    </w:rPr>
                    <w:t>功能区</w:t>
                  </w:r>
                </w:p>
              </w:tc>
              <w:tc>
                <w:tcPr>
                  <w:tcW w:w="992" w:type="dxa"/>
                  <w:vMerge w:val="restart"/>
                  <w:tcBorders>
                    <w:tl2br w:val="nil"/>
                    <w:tr2bl w:val="nil"/>
                  </w:tcBorders>
                  <w:noWrap w:val="0"/>
                  <w:vAlign w:val="center"/>
                </w:tcPr>
                <w:p w14:paraId="50DB89AD">
                  <w:pPr>
                    <w:spacing w:line="240" w:lineRule="exact"/>
                    <w:jc w:val="center"/>
                    <w:rPr>
                      <w:rFonts w:ascii="Times New Roman" w:hAnsi="Times New Roman"/>
                      <w:sz w:val="21"/>
                      <w:szCs w:val="21"/>
                    </w:rPr>
                  </w:pPr>
                  <w:r>
                    <w:rPr>
                      <w:rFonts w:ascii="Times New Roman" w:hAnsi="Times New Roman"/>
                      <w:sz w:val="21"/>
                      <w:szCs w:val="21"/>
                    </w:rPr>
                    <w:t>相对生产区方位</w:t>
                  </w:r>
                </w:p>
              </w:tc>
              <w:tc>
                <w:tcPr>
                  <w:tcW w:w="1202" w:type="dxa"/>
                  <w:vMerge w:val="restart"/>
                  <w:tcBorders>
                    <w:tl2br w:val="nil"/>
                    <w:tr2bl w:val="nil"/>
                  </w:tcBorders>
                  <w:noWrap w:val="0"/>
                  <w:vAlign w:val="center"/>
                </w:tcPr>
                <w:p w14:paraId="3AFCDCAD">
                  <w:pPr>
                    <w:spacing w:line="240" w:lineRule="exact"/>
                    <w:jc w:val="center"/>
                    <w:rPr>
                      <w:rFonts w:ascii="Times New Roman" w:hAnsi="Times New Roman"/>
                      <w:sz w:val="21"/>
                      <w:szCs w:val="21"/>
                    </w:rPr>
                  </w:pPr>
                  <w:r>
                    <w:rPr>
                      <w:rFonts w:ascii="Times New Roman" w:hAnsi="Times New Roman"/>
                      <w:sz w:val="21"/>
                      <w:szCs w:val="21"/>
                    </w:rPr>
                    <w:t>相对厂界</w:t>
                  </w:r>
                  <w:r>
                    <w:rPr>
                      <w:rFonts w:hint="eastAsia" w:ascii="Times New Roman" w:hAnsi="Times New Roman"/>
                      <w:sz w:val="21"/>
                      <w:szCs w:val="21"/>
                      <w:lang w:val="en-US" w:eastAsia="zh-CN"/>
                    </w:rPr>
                    <w:t>最近</w:t>
                  </w:r>
                  <w:r>
                    <w:rPr>
                      <w:rFonts w:ascii="Times New Roman" w:hAnsi="Times New Roman"/>
                      <w:sz w:val="21"/>
                      <w:szCs w:val="21"/>
                    </w:rPr>
                    <w:t>距离（m）</w:t>
                  </w:r>
                </w:p>
              </w:tc>
            </w:tr>
            <w:tr w14:paraId="540407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386" w:type="dxa"/>
                  <w:vMerge w:val="continue"/>
                  <w:tcBorders>
                    <w:tl2br w:val="nil"/>
                    <w:tr2bl w:val="nil"/>
                  </w:tcBorders>
                  <w:noWrap w:val="0"/>
                  <w:vAlign w:val="center"/>
                </w:tcPr>
                <w:p w14:paraId="0B48FBDF">
                  <w:pPr>
                    <w:widowControl/>
                    <w:spacing w:line="240" w:lineRule="exact"/>
                    <w:jc w:val="center"/>
                    <w:rPr>
                      <w:rFonts w:ascii="Times New Roman" w:hAnsi="Times New Roman"/>
                      <w:kern w:val="0"/>
                      <w:sz w:val="21"/>
                      <w:szCs w:val="21"/>
                    </w:rPr>
                  </w:pPr>
                </w:p>
              </w:tc>
              <w:tc>
                <w:tcPr>
                  <w:tcW w:w="1041" w:type="dxa"/>
                  <w:tcBorders>
                    <w:tl2br w:val="nil"/>
                    <w:tr2bl w:val="nil"/>
                  </w:tcBorders>
                  <w:noWrap w:val="0"/>
                  <w:vAlign w:val="center"/>
                </w:tcPr>
                <w:p w14:paraId="0A2CDDF9">
                  <w:pPr>
                    <w:spacing w:before="63" w:beforeLines="20" w:after="63" w:afterLines="20"/>
                    <w:jc w:val="center"/>
                    <w:rPr>
                      <w:rFonts w:ascii="Times New Roman" w:hAnsi="Times New Roman"/>
                      <w:kern w:val="0"/>
                      <w:sz w:val="21"/>
                      <w:szCs w:val="21"/>
                    </w:rPr>
                  </w:pPr>
                  <w:r>
                    <w:rPr>
                      <w:rFonts w:ascii="Times New Roman" w:hAnsi="Times New Roman"/>
                      <w:kern w:val="0"/>
                      <w:sz w:val="21"/>
                      <w:szCs w:val="21"/>
                    </w:rPr>
                    <w:t>X</w:t>
                  </w:r>
                </w:p>
              </w:tc>
              <w:tc>
                <w:tcPr>
                  <w:tcW w:w="1112" w:type="dxa"/>
                  <w:tcBorders>
                    <w:tl2br w:val="nil"/>
                    <w:tr2bl w:val="nil"/>
                  </w:tcBorders>
                  <w:noWrap w:val="0"/>
                  <w:vAlign w:val="center"/>
                </w:tcPr>
                <w:p w14:paraId="37285DDC">
                  <w:pPr>
                    <w:spacing w:before="63" w:beforeLines="20" w:after="63" w:afterLines="20"/>
                    <w:jc w:val="center"/>
                    <w:rPr>
                      <w:rFonts w:ascii="Times New Roman" w:hAnsi="Times New Roman"/>
                      <w:kern w:val="0"/>
                      <w:sz w:val="21"/>
                      <w:szCs w:val="21"/>
                    </w:rPr>
                  </w:pPr>
                  <w:r>
                    <w:rPr>
                      <w:rFonts w:ascii="Times New Roman" w:hAnsi="Times New Roman"/>
                      <w:kern w:val="0"/>
                      <w:sz w:val="21"/>
                      <w:szCs w:val="21"/>
                    </w:rPr>
                    <w:t>Y</w:t>
                  </w:r>
                </w:p>
              </w:tc>
              <w:tc>
                <w:tcPr>
                  <w:tcW w:w="1636" w:type="dxa"/>
                  <w:vMerge w:val="continue"/>
                  <w:tcBorders>
                    <w:tl2br w:val="nil"/>
                    <w:tr2bl w:val="nil"/>
                  </w:tcBorders>
                  <w:noWrap w:val="0"/>
                  <w:vAlign w:val="center"/>
                </w:tcPr>
                <w:p w14:paraId="3E504AAB">
                  <w:pPr>
                    <w:spacing w:line="240" w:lineRule="exact"/>
                    <w:jc w:val="center"/>
                    <w:rPr>
                      <w:rFonts w:ascii="Times New Roman" w:hAnsi="Times New Roman"/>
                      <w:sz w:val="21"/>
                      <w:szCs w:val="21"/>
                    </w:rPr>
                  </w:pPr>
                </w:p>
              </w:tc>
              <w:tc>
                <w:tcPr>
                  <w:tcW w:w="772" w:type="dxa"/>
                  <w:vMerge w:val="continue"/>
                  <w:tcBorders>
                    <w:tl2br w:val="nil"/>
                    <w:tr2bl w:val="nil"/>
                  </w:tcBorders>
                  <w:noWrap w:val="0"/>
                  <w:vAlign w:val="center"/>
                </w:tcPr>
                <w:p w14:paraId="17222F31">
                  <w:pPr>
                    <w:spacing w:line="240" w:lineRule="exact"/>
                    <w:jc w:val="center"/>
                    <w:rPr>
                      <w:rFonts w:ascii="Times New Roman" w:hAnsi="Times New Roman"/>
                      <w:sz w:val="21"/>
                      <w:szCs w:val="21"/>
                    </w:rPr>
                  </w:pPr>
                </w:p>
              </w:tc>
              <w:tc>
                <w:tcPr>
                  <w:tcW w:w="993" w:type="dxa"/>
                  <w:vMerge w:val="continue"/>
                  <w:tcBorders>
                    <w:tl2br w:val="nil"/>
                    <w:tr2bl w:val="nil"/>
                  </w:tcBorders>
                  <w:noWrap w:val="0"/>
                  <w:vAlign w:val="center"/>
                </w:tcPr>
                <w:p w14:paraId="623AC56B">
                  <w:pPr>
                    <w:spacing w:line="240" w:lineRule="exact"/>
                    <w:jc w:val="center"/>
                    <w:rPr>
                      <w:rFonts w:ascii="Times New Roman" w:hAnsi="Times New Roman"/>
                      <w:sz w:val="21"/>
                      <w:szCs w:val="21"/>
                    </w:rPr>
                  </w:pPr>
                </w:p>
              </w:tc>
              <w:tc>
                <w:tcPr>
                  <w:tcW w:w="992" w:type="dxa"/>
                  <w:vMerge w:val="continue"/>
                  <w:tcBorders>
                    <w:tl2br w:val="nil"/>
                    <w:tr2bl w:val="nil"/>
                  </w:tcBorders>
                  <w:noWrap w:val="0"/>
                  <w:vAlign w:val="center"/>
                </w:tcPr>
                <w:p w14:paraId="19EBA9E5">
                  <w:pPr>
                    <w:spacing w:line="240" w:lineRule="exact"/>
                    <w:jc w:val="center"/>
                    <w:rPr>
                      <w:rFonts w:ascii="Times New Roman" w:hAnsi="Times New Roman"/>
                      <w:sz w:val="21"/>
                      <w:szCs w:val="21"/>
                    </w:rPr>
                  </w:pPr>
                </w:p>
              </w:tc>
              <w:tc>
                <w:tcPr>
                  <w:tcW w:w="1202" w:type="dxa"/>
                  <w:vMerge w:val="continue"/>
                  <w:tcBorders>
                    <w:tl2br w:val="nil"/>
                    <w:tr2bl w:val="nil"/>
                  </w:tcBorders>
                  <w:noWrap w:val="0"/>
                  <w:vAlign w:val="center"/>
                </w:tcPr>
                <w:p w14:paraId="46C88000">
                  <w:pPr>
                    <w:spacing w:line="240" w:lineRule="exact"/>
                    <w:jc w:val="center"/>
                    <w:rPr>
                      <w:rFonts w:ascii="Times New Roman" w:hAnsi="Times New Roman"/>
                      <w:sz w:val="21"/>
                      <w:szCs w:val="21"/>
                    </w:rPr>
                  </w:pPr>
                </w:p>
              </w:tc>
            </w:tr>
            <w:tr w14:paraId="5D3E3E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386" w:type="dxa"/>
                  <w:tcBorders>
                    <w:tl2br w:val="nil"/>
                    <w:tr2bl w:val="nil"/>
                  </w:tcBorders>
                  <w:noWrap w:val="0"/>
                  <w:vAlign w:val="center"/>
                </w:tcPr>
                <w:p w14:paraId="710EB2CA">
                  <w:pPr>
                    <w:spacing w:before="94" w:beforeLines="30" w:after="94" w:afterLines="30" w:line="240" w:lineRule="exact"/>
                    <w:jc w:val="center"/>
                    <w:rPr>
                      <w:rFonts w:ascii="Times New Roman" w:hAnsi="Times New Roman"/>
                      <w:sz w:val="21"/>
                      <w:szCs w:val="21"/>
                    </w:rPr>
                  </w:pPr>
                  <w:r>
                    <w:rPr>
                      <w:rFonts w:ascii="Times New Roman" w:hAnsi="Times New Roman"/>
                      <w:sz w:val="21"/>
                      <w:szCs w:val="21"/>
                    </w:rPr>
                    <w:t>1</w:t>
                  </w:r>
                </w:p>
              </w:tc>
              <w:tc>
                <w:tcPr>
                  <w:tcW w:w="1041" w:type="dxa"/>
                  <w:tcBorders>
                    <w:tl2br w:val="nil"/>
                    <w:tr2bl w:val="nil"/>
                  </w:tcBorders>
                  <w:noWrap w:val="0"/>
                  <w:vAlign w:val="center"/>
                </w:tcPr>
                <w:p w14:paraId="5C524ABC">
                  <w:pPr>
                    <w:spacing w:before="94" w:beforeLines="30" w:after="94" w:afterLines="30" w:line="240" w:lineRule="exact"/>
                    <w:jc w:val="center"/>
                    <w:rPr>
                      <w:rFonts w:hint="eastAsia" w:ascii="Times New Roman" w:hAnsi="Times New Roman" w:eastAsia="宋体"/>
                      <w:sz w:val="21"/>
                      <w:szCs w:val="21"/>
                      <w:lang w:eastAsia="zh-CN"/>
                    </w:rPr>
                  </w:pPr>
                  <w:r>
                    <w:rPr>
                      <w:rFonts w:hint="eastAsia" w:ascii="Times New Roman" w:hAnsi="Times New Roman"/>
                      <w:sz w:val="21"/>
                      <w:szCs w:val="21"/>
                    </w:rPr>
                    <w:t>73032</w:t>
                  </w:r>
                  <w:r>
                    <w:rPr>
                      <w:rFonts w:hint="eastAsia"/>
                      <w:sz w:val="21"/>
                      <w:szCs w:val="21"/>
                      <w:lang w:val="en-US" w:eastAsia="zh-CN"/>
                    </w:rPr>
                    <w:t>9</w:t>
                  </w:r>
                </w:p>
              </w:tc>
              <w:tc>
                <w:tcPr>
                  <w:tcW w:w="1112" w:type="dxa"/>
                  <w:tcBorders>
                    <w:tl2br w:val="nil"/>
                    <w:tr2bl w:val="nil"/>
                  </w:tcBorders>
                  <w:noWrap w:val="0"/>
                  <w:vAlign w:val="center"/>
                </w:tcPr>
                <w:p w14:paraId="18D93CC8">
                  <w:pPr>
                    <w:spacing w:before="94" w:beforeLines="30" w:after="94" w:afterLines="30" w:line="240" w:lineRule="exact"/>
                    <w:jc w:val="center"/>
                    <w:rPr>
                      <w:rFonts w:hint="default" w:ascii="Times New Roman" w:hAnsi="Times New Roman" w:eastAsia="宋体"/>
                      <w:sz w:val="21"/>
                      <w:szCs w:val="21"/>
                      <w:lang w:val="en-US" w:eastAsia="zh-CN"/>
                    </w:rPr>
                  </w:pPr>
                  <w:r>
                    <w:rPr>
                      <w:rFonts w:hint="eastAsia" w:ascii="Times New Roman" w:hAnsi="Times New Roman"/>
                      <w:sz w:val="21"/>
                      <w:szCs w:val="21"/>
                    </w:rPr>
                    <w:t>3678</w:t>
                  </w:r>
                  <w:r>
                    <w:rPr>
                      <w:rFonts w:hint="eastAsia"/>
                      <w:sz w:val="21"/>
                      <w:szCs w:val="21"/>
                      <w:lang w:val="en-US" w:eastAsia="zh-CN"/>
                    </w:rPr>
                    <w:t>478</w:t>
                  </w:r>
                </w:p>
              </w:tc>
              <w:tc>
                <w:tcPr>
                  <w:tcW w:w="1636" w:type="dxa"/>
                  <w:tcBorders>
                    <w:tl2br w:val="nil"/>
                    <w:tr2bl w:val="nil"/>
                  </w:tcBorders>
                  <w:noWrap w:val="0"/>
                  <w:vAlign w:val="center"/>
                </w:tcPr>
                <w:p w14:paraId="16816D75">
                  <w:pPr>
                    <w:pStyle w:val="141"/>
                    <w:snapToGrid w:val="0"/>
                    <w:spacing w:before="0" w:line="240" w:lineRule="exact"/>
                    <w:rPr>
                      <w:rFonts w:ascii="Times New Roman" w:hAnsi="Times New Roman"/>
                      <w:w w:val="100"/>
                      <w:sz w:val="21"/>
                      <w:szCs w:val="21"/>
                    </w:rPr>
                  </w:pPr>
                  <w:r>
                    <w:rPr>
                      <w:rFonts w:hint="eastAsia" w:ascii="Times New Roman" w:hAnsi="Times New Roman"/>
                      <w:w w:val="100"/>
                      <w:sz w:val="21"/>
                      <w:szCs w:val="21"/>
                    </w:rPr>
                    <w:t>七眼泉村</w:t>
                  </w:r>
                  <w:r>
                    <w:rPr>
                      <w:rFonts w:ascii="Times New Roman" w:hAnsi="Times New Roman"/>
                      <w:w w:val="100"/>
                      <w:sz w:val="21"/>
                      <w:szCs w:val="21"/>
                    </w:rPr>
                    <w:t>住户</w:t>
                  </w:r>
                </w:p>
                <w:p w14:paraId="39A556AB">
                  <w:pPr>
                    <w:pStyle w:val="141"/>
                    <w:snapToGrid w:val="0"/>
                    <w:spacing w:before="0" w:line="240" w:lineRule="exact"/>
                    <w:rPr>
                      <w:rFonts w:ascii="Times New Roman" w:hAnsi="Times New Roman"/>
                      <w:w w:val="100"/>
                      <w:sz w:val="21"/>
                      <w:szCs w:val="21"/>
                    </w:rPr>
                  </w:pPr>
                  <w:r>
                    <w:rPr>
                      <w:rFonts w:ascii="Times New Roman" w:hAnsi="Times New Roman"/>
                      <w:w w:val="100"/>
                      <w:sz w:val="21"/>
                      <w:szCs w:val="21"/>
                    </w:rPr>
                    <w:t>约</w:t>
                  </w:r>
                  <w:r>
                    <w:rPr>
                      <w:rFonts w:hint="eastAsia" w:ascii="Times New Roman" w:hAnsi="Times New Roman"/>
                      <w:w w:val="100"/>
                      <w:sz w:val="21"/>
                      <w:szCs w:val="21"/>
                    </w:rPr>
                    <w:t>300</w:t>
                  </w:r>
                  <w:r>
                    <w:rPr>
                      <w:rFonts w:ascii="Times New Roman" w:hAnsi="Times New Roman"/>
                      <w:w w:val="100"/>
                      <w:sz w:val="21"/>
                      <w:szCs w:val="21"/>
                    </w:rPr>
                    <w:t>户</w:t>
                  </w:r>
                  <w:r>
                    <w:rPr>
                      <w:rFonts w:hint="eastAsia" w:ascii="Times New Roman" w:hAnsi="Times New Roman"/>
                      <w:w w:val="100"/>
                      <w:sz w:val="21"/>
                      <w:szCs w:val="21"/>
                    </w:rPr>
                    <w:t>1050</w:t>
                  </w:r>
                  <w:r>
                    <w:rPr>
                      <w:rFonts w:ascii="Times New Roman" w:hAnsi="Times New Roman"/>
                      <w:w w:val="100"/>
                      <w:sz w:val="21"/>
                      <w:szCs w:val="21"/>
                    </w:rPr>
                    <w:t>人</w:t>
                  </w:r>
                </w:p>
              </w:tc>
              <w:tc>
                <w:tcPr>
                  <w:tcW w:w="772" w:type="dxa"/>
                  <w:tcBorders>
                    <w:tl2br w:val="nil"/>
                    <w:tr2bl w:val="nil"/>
                  </w:tcBorders>
                  <w:noWrap w:val="0"/>
                  <w:vAlign w:val="center"/>
                </w:tcPr>
                <w:p w14:paraId="32CCEA3A">
                  <w:pPr>
                    <w:spacing w:before="94" w:beforeLines="30" w:after="94" w:afterLines="30" w:line="240" w:lineRule="exact"/>
                    <w:jc w:val="center"/>
                    <w:rPr>
                      <w:rFonts w:ascii="Times New Roman" w:hAnsi="Times New Roman"/>
                      <w:sz w:val="21"/>
                      <w:szCs w:val="21"/>
                    </w:rPr>
                  </w:pPr>
                  <w:r>
                    <w:rPr>
                      <w:rFonts w:ascii="Times New Roman" w:hAnsi="Times New Roman"/>
                      <w:sz w:val="21"/>
                      <w:szCs w:val="21"/>
                    </w:rPr>
                    <w:t>人群</w:t>
                  </w:r>
                </w:p>
              </w:tc>
              <w:tc>
                <w:tcPr>
                  <w:tcW w:w="993" w:type="dxa"/>
                  <w:vMerge w:val="restart"/>
                  <w:tcBorders>
                    <w:tl2br w:val="nil"/>
                    <w:tr2bl w:val="nil"/>
                  </w:tcBorders>
                  <w:noWrap w:val="0"/>
                  <w:vAlign w:val="center"/>
                </w:tcPr>
                <w:p w14:paraId="4DC00795">
                  <w:pPr>
                    <w:spacing w:before="94" w:beforeLines="30" w:after="94" w:afterLines="30" w:line="240" w:lineRule="exact"/>
                    <w:jc w:val="center"/>
                    <w:rPr>
                      <w:rFonts w:ascii="Times New Roman" w:hAnsi="Times New Roman"/>
                      <w:sz w:val="21"/>
                      <w:szCs w:val="21"/>
                    </w:rPr>
                  </w:pPr>
                  <w:r>
                    <w:rPr>
                      <w:rFonts w:ascii="Times New Roman" w:hAnsi="Times New Roman"/>
                      <w:sz w:val="21"/>
                      <w:szCs w:val="21"/>
                    </w:rPr>
                    <w:t>空气二类功能区</w:t>
                  </w:r>
                </w:p>
              </w:tc>
              <w:tc>
                <w:tcPr>
                  <w:tcW w:w="992" w:type="dxa"/>
                  <w:tcBorders>
                    <w:tl2br w:val="nil"/>
                    <w:tr2bl w:val="nil"/>
                  </w:tcBorders>
                  <w:noWrap w:val="0"/>
                  <w:vAlign w:val="center"/>
                </w:tcPr>
                <w:p w14:paraId="117C3A00">
                  <w:pPr>
                    <w:spacing w:before="94" w:beforeLines="30" w:after="94" w:afterLines="30" w:line="240" w:lineRule="exact"/>
                    <w:jc w:val="center"/>
                    <w:rPr>
                      <w:rFonts w:hint="eastAsia" w:ascii="Times New Roman" w:hAnsi="Times New Roman"/>
                      <w:sz w:val="21"/>
                      <w:szCs w:val="21"/>
                    </w:rPr>
                  </w:pPr>
                  <w:r>
                    <w:rPr>
                      <w:rFonts w:hint="eastAsia" w:ascii="Times New Roman" w:hAnsi="Times New Roman"/>
                      <w:sz w:val="21"/>
                      <w:szCs w:val="21"/>
                    </w:rPr>
                    <w:t>NW</w:t>
                  </w:r>
                </w:p>
              </w:tc>
              <w:tc>
                <w:tcPr>
                  <w:tcW w:w="1202" w:type="dxa"/>
                  <w:tcBorders>
                    <w:tl2br w:val="nil"/>
                    <w:tr2bl w:val="nil"/>
                  </w:tcBorders>
                  <w:noWrap w:val="0"/>
                  <w:vAlign w:val="center"/>
                </w:tcPr>
                <w:p w14:paraId="48797CD5">
                  <w:pPr>
                    <w:spacing w:before="94" w:beforeLines="30" w:after="94" w:afterLines="30" w:line="240" w:lineRule="exact"/>
                    <w:jc w:val="center"/>
                    <w:rPr>
                      <w:rFonts w:hint="default" w:ascii="Times New Roman" w:hAnsi="Times New Roman" w:eastAsia="宋体"/>
                      <w:sz w:val="21"/>
                      <w:szCs w:val="21"/>
                      <w:lang w:val="en-US" w:eastAsia="zh-CN"/>
                    </w:rPr>
                  </w:pPr>
                  <w:r>
                    <w:rPr>
                      <w:rFonts w:hint="eastAsia" w:ascii="Times New Roman" w:hAnsi="Times New Roman"/>
                      <w:sz w:val="21"/>
                      <w:szCs w:val="21"/>
                    </w:rPr>
                    <w:t>3</w:t>
                  </w:r>
                  <w:r>
                    <w:rPr>
                      <w:rFonts w:hint="eastAsia"/>
                      <w:sz w:val="21"/>
                      <w:szCs w:val="21"/>
                      <w:lang w:val="en-US" w:eastAsia="zh-CN"/>
                    </w:rPr>
                    <w:t>86</w:t>
                  </w:r>
                </w:p>
              </w:tc>
            </w:tr>
            <w:tr w14:paraId="401211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386" w:type="dxa"/>
                  <w:tcBorders>
                    <w:tl2br w:val="nil"/>
                    <w:tr2bl w:val="nil"/>
                  </w:tcBorders>
                  <w:noWrap w:val="0"/>
                  <w:vAlign w:val="center"/>
                </w:tcPr>
                <w:p w14:paraId="240E4C40">
                  <w:pPr>
                    <w:spacing w:before="94" w:beforeLines="30" w:after="94" w:afterLines="30" w:line="240" w:lineRule="exact"/>
                    <w:jc w:val="center"/>
                    <w:rPr>
                      <w:rFonts w:ascii="Times New Roman" w:hAnsi="Times New Roman"/>
                      <w:sz w:val="21"/>
                      <w:szCs w:val="21"/>
                    </w:rPr>
                  </w:pPr>
                  <w:r>
                    <w:rPr>
                      <w:rFonts w:ascii="Times New Roman" w:hAnsi="Times New Roman"/>
                      <w:sz w:val="21"/>
                      <w:szCs w:val="21"/>
                    </w:rPr>
                    <w:t>2</w:t>
                  </w:r>
                </w:p>
              </w:tc>
              <w:tc>
                <w:tcPr>
                  <w:tcW w:w="1041" w:type="dxa"/>
                  <w:tcBorders>
                    <w:tl2br w:val="nil"/>
                    <w:tr2bl w:val="nil"/>
                  </w:tcBorders>
                  <w:noWrap w:val="0"/>
                  <w:vAlign w:val="center"/>
                </w:tcPr>
                <w:p w14:paraId="541C4E4F">
                  <w:pPr>
                    <w:spacing w:before="94" w:beforeLines="30" w:after="94" w:afterLines="30" w:line="240" w:lineRule="exact"/>
                    <w:jc w:val="center"/>
                    <w:rPr>
                      <w:rFonts w:hint="default" w:ascii="Times New Roman" w:hAnsi="Times New Roman" w:eastAsia="宋体"/>
                      <w:sz w:val="21"/>
                      <w:szCs w:val="21"/>
                      <w:lang w:val="en-US" w:eastAsia="zh-CN"/>
                    </w:rPr>
                  </w:pPr>
                  <w:r>
                    <w:rPr>
                      <w:rFonts w:hint="eastAsia" w:ascii="Times New Roman" w:hAnsi="Times New Roman"/>
                      <w:sz w:val="21"/>
                      <w:szCs w:val="21"/>
                    </w:rPr>
                    <w:t>731</w:t>
                  </w:r>
                  <w:r>
                    <w:rPr>
                      <w:rFonts w:hint="eastAsia"/>
                      <w:sz w:val="21"/>
                      <w:szCs w:val="21"/>
                      <w:lang w:val="en-US" w:eastAsia="zh-CN"/>
                    </w:rPr>
                    <w:t>358</w:t>
                  </w:r>
                </w:p>
              </w:tc>
              <w:tc>
                <w:tcPr>
                  <w:tcW w:w="1112" w:type="dxa"/>
                  <w:tcBorders>
                    <w:tl2br w:val="nil"/>
                    <w:tr2bl w:val="nil"/>
                  </w:tcBorders>
                  <w:noWrap w:val="0"/>
                  <w:vAlign w:val="center"/>
                </w:tcPr>
                <w:p w14:paraId="3AA1D888">
                  <w:pPr>
                    <w:spacing w:before="94" w:beforeLines="30" w:after="94" w:afterLines="30" w:line="240" w:lineRule="exact"/>
                    <w:jc w:val="center"/>
                    <w:rPr>
                      <w:rFonts w:hint="default" w:ascii="Times New Roman" w:hAnsi="Times New Roman" w:eastAsia="宋体"/>
                      <w:sz w:val="21"/>
                      <w:szCs w:val="21"/>
                      <w:lang w:val="en-US" w:eastAsia="zh-CN"/>
                    </w:rPr>
                  </w:pPr>
                  <w:r>
                    <w:rPr>
                      <w:rFonts w:hint="eastAsia" w:ascii="Times New Roman" w:hAnsi="Times New Roman"/>
                      <w:sz w:val="21"/>
                      <w:szCs w:val="21"/>
                    </w:rPr>
                    <w:t>3678</w:t>
                  </w:r>
                  <w:r>
                    <w:rPr>
                      <w:rFonts w:hint="eastAsia"/>
                      <w:sz w:val="21"/>
                      <w:szCs w:val="21"/>
                      <w:lang w:val="en-US" w:eastAsia="zh-CN"/>
                    </w:rPr>
                    <w:t>458</w:t>
                  </w:r>
                </w:p>
              </w:tc>
              <w:tc>
                <w:tcPr>
                  <w:tcW w:w="1636" w:type="dxa"/>
                  <w:tcBorders>
                    <w:tl2br w:val="nil"/>
                    <w:tr2bl w:val="nil"/>
                  </w:tcBorders>
                  <w:noWrap w:val="0"/>
                  <w:vAlign w:val="center"/>
                </w:tcPr>
                <w:p w14:paraId="3376752B">
                  <w:pPr>
                    <w:pStyle w:val="141"/>
                    <w:snapToGrid w:val="0"/>
                    <w:spacing w:before="0" w:line="240" w:lineRule="exact"/>
                    <w:rPr>
                      <w:rFonts w:hint="eastAsia" w:ascii="Times New Roman" w:hAnsi="Times New Roman" w:eastAsia="宋体" w:cs="Times New Roman"/>
                      <w:w w:val="100"/>
                      <w:sz w:val="21"/>
                      <w:szCs w:val="21"/>
                    </w:rPr>
                  </w:pPr>
                  <w:r>
                    <w:rPr>
                      <w:rFonts w:hint="eastAsia" w:ascii="Times New Roman" w:hAnsi="Times New Roman" w:eastAsia="宋体" w:cs="Times New Roman"/>
                      <w:w w:val="100"/>
                      <w:sz w:val="21"/>
                      <w:szCs w:val="21"/>
                      <w:lang w:val="en-US" w:eastAsia="zh-CN"/>
                    </w:rPr>
                    <w:t>戚氏村</w:t>
                  </w:r>
                  <w:r>
                    <w:rPr>
                      <w:rFonts w:hint="eastAsia" w:ascii="Times New Roman" w:hAnsi="Times New Roman" w:eastAsia="宋体" w:cs="Times New Roman"/>
                      <w:w w:val="100"/>
                      <w:sz w:val="21"/>
                      <w:szCs w:val="21"/>
                    </w:rPr>
                    <w:t>住户</w:t>
                  </w:r>
                </w:p>
                <w:p w14:paraId="5FD3DD2B">
                  <w:pPr>
                    <w:pStyle w:val="141"/>
                    <w:snapToGrid w:val="0"/>
                    <w:spacing w:before="0" w:line="240" w:lineRule="exact"/>
                    <w:rPr>
                      <w:rFonts w:ascii="Times New Roman" w:hAnsi="Times New Roman"/>
                      <w:w w:val="100"/>
                      <w:sz w:val="21"/>
                      <w:szCs w:val="21"/>
                    </w:rPr>
                  </w:pPr>
                  <w:r>
                    <w:rPr>
                      <w:rFonts w:ascii="Times New Roman" w:hAnsi="Times New Roman"/>
                      <w:w w:val="100"/>
                      <w:sz w:val="21"/>
                      <w:szCs w:val="21"/>
                    </w:rPr>
                    <w:t>约</w:t>
                  </w:r>
                  <w:r>
                    <w:rPr>
                      <w:rFonts w:hint="eastAsia" w:ascii="Times New Roman" w:hAnsi="Times New Roman"/>
                      <w:w w:val="100"/>
                      <w:sz w:val="21"/>
                      <w:szCs w:val="21"/>
                    </w:rPr>
                    <w:t>1000</w:t>
                  </w:r>
                  <w:r>
                    <w:rPr>
                      <w:rFonts w:ascii="Times New Roman" w:hAnsi="Times New Roman"/>
                      <w:w w:val="100"/>
                      <w:sz w:val="21"/>
                      <w:szCs w:val="21"/>
                    </w:rPr>
                    <w:t>户</w:t>
                  </w:r>
                  <w:r>
                    <w:rPr>
                      <w:rFonts w:hint="eastAsia" w:ascii="Times New Roman" w:hAnsi="Times New Roman"/>
                      <w:w w:val="100"/>
                      <w:sz w:val="21"/>
                      <w:szCs w:val="21"/>
                    </w:rPr>
                    <w:t>3500</w:t>
                  </w:r>
                  <w:r>
                    <w:rPr>
                      <w:rFonts w:ascii="Times New Roman" w:hAnsi="Times New Roman"/>
                      <w:w w:val="100"/>
                      <w:sz w:val="21"/>
                      <w:szCs w:val="21"/>
                    </w:rPr>
                    <w:t>人</w:t>
                  </w:r>
                </w:p>
              </w:tc>
              <w:tc>
                <w:tcPr>
                  <w:tcW w:w="772" w:type="dxa"/>
                  <w:tcBorders>
                    <w:tl2br w:val="nil"/>
                    <w:tr2bl w:val="nil"/>
                  </w:tcBorders>
                  <w:noWrap w:val="0"/>
                  <w:vAlign w:val="center"/>
                </w:tcPr>
                <w:p w14:paraId="36919022">
                  <w:pPr>
                    <w:spacing w:before="94" w:beforeLines="30" w:after="94" w:afterLines="30" w:line="240" w:lineRule="exact"/>
                    <w:jc w:val="center"/>
                    <w:rPr>
                      <w:rFonts w:ascii="Times New Roman" w:hAnsi="Times New Roman"/>
                      <w:sz w:val="21"/>
                      <w:szCs w:val="21"/>
                    </w:rPr>
                  </w:pPr>
                  <w:r>
                    <w:rPr>
                      <w:rFonts w:ascii="Times New Roman" w:hAnsi="Times New Roman"/>
                      <w:sz w:val="21"/>
                      <w:szCs w:val="21"/>
                    </w:rPr>
                    <w:t>人群</w:t>
                  </w:r>
                </w:p>
              </w:tc>
              <w:tc>
                <w:tcPr>
                  <w:tcW w:w="993" w:type="dxa"/>
                  <w:vMerge w:val="continue"/>
                  <w:tcBorders>
                    <w:tl2br w:val="nil"/>
                    <w:tr2bl w:val="nil"/>
                  </w:tcBorders>
                  <w:noWrap w:val="0"/>
                  <w:vAlign w:val="center"/>
                </w:tcPr>
                <w:p w14:paraId="28CFE01C">
                  <w:pPr>
                    <w:spacing w:before="94" w:beforeLines="30" w:after="94" w:afterLines="30" w:line="240" w:lineRule="exact"/>
                    <w:jc w:val="center"/>
                    <w:rPr>
                      <w:rFonts w:ascii="Times New Roman" w:hAnsi="Times New Roman"/>
                      <w:sz w:val="21"/>
                      <w:szCs w:val="21"/>
                    </w:rPr>
                  </w:pPr>
                </w:p>
              </w:tc>
              <w:tc>
                <w:tcPr>
                  <w:tcW w:w="992" w:type="dxa"/>
                  <w:tcBorders>
                    <w:tl2br w:val="nil"/>
                    <w:tr2bl w:val="nil"/>
                  </w:tcBorders>
                  <w:noWrap w:val="0"/>
                  <w:vAlign w:val="center"/>
                </w:tcPr>
                <w:p w14:paraId="54F9814E">
                  <w:pPr>
                    <w:spacing w:before="94" w:beforeLines="30" w:after="94" w:afterLines="30" w:line="240" w:lineRule="exact"/>
                    <w:jc w:val="center"/>
                    <w:rPr>
                      <w:rFonts w:ascii="Times New Roman" w:hAnsi="Times New Roman"/>
                      <w:sz w:val="21"/>
                      <w:szCs w:val="21"/>
                    </w:rPr>
                  </w:pPr>
                  <w:r>
                    <w:rPr>
                      <w:rFonts w:ascii="Times New Roman" w:hAnsi="Times New Roman"/>
                      <w:sz w:val="21"/>
                      <w:szCs w:val="21"/>
                    </w:rPr>
                    <w:t>E</w:t>
                  </w:r>
                </w:p>
              </w:tc>
              <w:tc>
                <w:tcPr>
                  <w:tcW w:w="1202" w:type="dxa"/>
                  <w:tcBorders>
                    <w:tl2br w:val="nil"/>
                    <w:tr2bl w:val="nil"/>
                  </w:tcBorders>
                  <w:noWrap w:val="0"/>
                  <w:vAlign w:val="center"/>
                </w:tcPr>
                <w:p w14:paraId="10ED44D1">
                  <w:pPr>
                    <w:spacing w:before="94" w:beforeLines="30" w:after="94" w:afterLines="30" w:line="240" w:lineRule="exact"/>
                    <w:jc w:val="center"/>
                    <w:rPr>
                      <w:rFonts w:hint="eastAsia" w:ascii="Times New Roman" w:hAnsi="Times New Roman" w:eastAsia="宋体"/>
                      <w:sz w:val="21"/>
                      <w:szCs w:val="21"/>
                      <w:lang w:eastAsia="zh-CN"/>
                    </w:rPr>
                  </w:pPr>
                  <w:r>
                    <w:rPr>
                      <w:rFonts w:hint="eastAsia" w:ascii="Times New Roman" w:hAnsi="Times New Roman"/>
                      <w:sz w:val="21"/>
                      <w:szCs w:val="21"/>
                    </w:rPr>
                    <w:t>46</w:t>
                  </w:r>
                  <w:r>
                    <w:rPr>
                      <w:rFonts w:hint="eastAsia"/>
                      <w:sz w:val="21"/>
                      <w:szCs w:val="21"/>
                      <w:lang w:val="en-US" w:eastAsia="zh-CN"/>
                    </w:rPr>
                    <w:t>0</w:t>
                  </w:r>
                </w:p>
              </w:tc>
            </w:tr>
          </w:tbl>
          <w:p w14:paraId="66C287C2">
            <w:pPr>
              <w:adjustRightInd w:val="0"/>
              <w:snapToGrid w:val="0"/>
              <w:spacing w:line="360" w:lineRule="auto"/>
              <w:ind w:firstLine="482" w:firstLineChars="200"/>
              <w:jc w:val="left"/>
              <w:rPr>
                <w:b/>
                <w:bCs/>
                <w:color w:val="auto"/>
                <w:sz w:val="24"/>
                <w:highlight w:val="none"/>
              </w:rPr>
            </w:pPr>
            <w:r>
              <w:rPr>
                <w:rFonts w:hint="eastAsia"/>
                <w:b/>
                <w:bCs/>
                <w:color w:val="auto"/>
                <w:sz w:val="24"/>
                <w:highlight w:val="none"/>
              </w:rPr>
              <w:t>二、</w:t>
            </w:r>
            <w:r>
              <w:rPr>
                <w:b/>
                <w:bCs/>
                <w:color w:val="auto"/>
                <w:sz w:val="24"/>
                <w:highlight w:val="none"/>
              </w:rPr>
              <w:t>地下水环境保护目标</w:t>
            </w:r>
          </w:p>
          <w:p w14:paraId="069F6474">
            <w:pPr>
              <w:pStyle w:val="41"/>
              <w:spacing w:line="360" w:lineRule="auto"/>
              <w:ind w:firstLine="480" w:firstLineChars="200"/>
              <w:rPr>
                <w:color w:val="auto"/>
                <w:highlight w:val="none"/>
              </w:rPr>
            </w:pPr>
            <w:r>
              <w:rPr>
                <w:rFonts w:hint="eastAsia" w:ascii="Times New Roman" w:hAnsi="Times New Roman" w:cs="Times New Roman"/>
                <w:color w:val="auto"/>
                <w:highlight w:val="none"/>
              </w:rPr>
              <w:t>根据现场调查，本</w:t>
            </w:r>
            <w:r>
              <w:rPr>
                <w:color w:val="auto"/>
                <w:highlight w:val="none"/>
              </w:rPr>
              <w:t>项目厂界外</w:t>
            </w:r>
            <w:r>
              <w:rPr>
                <w:rFonts w:ascii="Times New Roman" w:hAnsi="Times New Roman" w:cs="Times New Roman"/>
                <w:color w:val="auto"/>
                <w:highlight w:val="none"/>
              </w:rPr>
              <w:t>500m</w:t>
            </w:r>
            <w:r>
              <w:rPr>
                <w:color w:val="auto"/>
                <w:highlight w:val="none"/>
              </w:rPr>
              <w:t>范围内无</w:t>
            </w:r>
            <w:r>
              <w:rPr>
                <w:rFonts w:hint="eastAsia"/>
                <w:color w:val="auto"/>
                <w:highlight w:val="none"/>
              </w:rPr>
              <w:t>其他</w:t>
            </w:r>
            <w:r>
              <w:rPr>
                <w:color w:val="auto"/>
                <w:highlight w:val="none"/>
              </w:rPr>
              <w:t>地下水集中式饮用水水源和热水、矿泉水、温泉等特殊地下水资源。</w:t>
            </w:r>
          </w:p>
          <w:p w14:paraId="39136929">
            <w:pPr>
              <w:pStyle w:val="41"/>
              <w:spacing w:line="360" w:lineRule="auto"/>
              <w:ind w:firstLine="482"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三、声环境保护目标</w:t>
            </w:r>
          </w:p>
          <w:p w14:paraId="492BF171">
            <w:pPr>
              <w:pStyle w:val="43"/>
              <w:spacing w:line="360" w:lineRule="auto"/>
              <w:ind w:left="0" w:firstLine="480" w:firstLineChars="200"/>
              <w:rPr>
                <w:rFonts w:ascii="Times New Roman"/>
                <w:b w:val="0"/>
                <w:bCs w:val="0"/>
                <w:color w:val="auto"/>
                <w:sz w:val="24"/>
                <w:szCs w:val="24"/>
                <w:highlight w:val="none"/>
              </w:rPr>
            </w:pPr>
            <w:r>
              <w:rPr>
                <w:rFonts w:hint="eastAsia" w:ascii="Times New Roman"/>
                <w:b w:val="0"/>
                <w:bCs w:val="0"/>
                <w:color w:val="auto"/>
                <w:sz w:val="24"/>
                <w:szCs w:val="24"/>
                <w:highlight w:val="none"/>
              </w:rPr>
              <w:t>由于本项目50</w:t>
            </w:r>
            <w:r>
              <w:rPr>
                <w:rFonts w:hint="eastAsia" w:ascii="Times New Roman"/>
                <w:b w:val="0"/>
                <w:bCs w:val="0"/>
                <w:color w:val="auto"/>
                <w:sz w:val="24"/>
                <w:szCs w:val="24"/>
                <w:highlight w:val="none"/>
                <w:lang w:val="en-US" w:eastAsia="zh-CN"/>
              </w:rPr>
              <w:t xml:space="preserve"> </w:t>
            </w:r>
            <w:r>
              <w:rPr>
                <w:rFonts w:hint="eastAsia" w:ascii="Times New Roman"/>
                <w:b w:val="0"/>
                <w:bCs w:val="0"/>
                <w:color w:val="auto"/>
                <w:sz w:val="24"/>
                <w:szCs w:val="24"/>
                <w:highlight w:val="none"/>
              </w:rPr>
              <w:t>m范围内无住户，因此本次无声环境保护目标。</w:t>
            </w:r>
          </w:p>
          <w:p w14:paraId="1312F319">
            <w:pPr>
              <w:pStyle w:val="46"/>
              <w:spacing w:line="360" w:lineRule="auto"/>
              <w:ind w:left="480"/>
              <w:rPr>
                <w:b/>
                <w:bCs/>
                <w:color w:val="auto"/>
                <w:highlight w:val="none"/>
              </w:rPr>
            </w:pPr>
            <w:r>
              <w:rPr>
                <w:rFonts w:hint="eastAsia"/>
                <w:b/>
                <w:bCs/>
                <w:color w:val="auto"/>
                <w:highlight w:val="none"/>
              </w:rPr>
              <w:t>四、生态环境保护目标</w:t>
            </w:r>
          </w:p>
          <w:p w14:paraId="13F795FA">
            <w:pPr>
              <w:autoSpaceDE w:val="0"/>
              <w:autoSpaceDN w:val="0"/>
              <w:adjustRightInd w:val="0"/>
              <w:snapToGrid w:val="0"/>
              <w:spacing w:line="360" w:lineRule="auto"/>
              <w:ind w:firstLine="435"/>
              <w:jc w:val="left"/>
              <w:rPr>
                <w:color w:val="auto"/>
                <w:highlight w:val="none"/>
              </w:rPr>
            </w:pPr>
            <w:r>
              <w:rPr>
                <w:rFonts w:hint="eastAsia"/>
                <w:color w:val="auto"/>
                <w:sz w:val="24"/>
                <w:highlight w:val="none"/>
              </w:rPr>
              <w:t>本项目位于产业园区内，</w:t>
            </w:r>
            <w:r>
              <w:rPr>
                <w:rFonts w:hint="eastAsia"/>
                <w:color w:val="auto"/>
                <w:sz w:val="24"/>
                <w:highlight w:val="none"/>
                <w:lang w:val="en-US" w:eastAsia="zh-CN"/>
              </w:rPr>
              <w:t>在</w:t>
            </w:r>
            <w:r>
              <w:rPr>
                <w:rFonts w:hint="eastAsia"/>
                <w:color w:val="auto"/>
                <w:sz w:val="24"/>
                <w:highlight w:val="none"/>
              </w:rPr>
              <w:t>原有厂区内进行建设，不新增用地，</w:t>
            </w:r>
            <w:r>
              <w:rPr>
                <w:color w:val="auto"/>
                <w:kern w:val="0"/>
                <w:sz w:val="24"/>
                <w:highlight w:val="none"/>
              </w:rPr>
              <w:t>用地范围内无生态环境保护目标</w:t>
            </w:r>
            <w:r>
              <w:rPr>
                <w:rFonts w:hint="eastAsia"/>
                <w:color w:val="auto"/>
                <w:kern w:val="0"/>
                <w:sz w:val="24"/>
                <w:highlight w:val="none"/>
              </w:rPr>
              <w:t>。</w:t>
            </w:r>
          </w:p>
        </w:tc>
      </w:tr>
      <w:tr w14:paraId="2292B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Mar>
              <w:left w:w="28" w:type="dxa"/>
              <w:right w:w="28" w:type="dxa"/>
            </w:tcMar>
            <w:vAlign w:val="center"/>
          </w:tcPr>
          <w:p w14:paraId="41EAA159">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污染</w:t>
            </w:r>
          </w:p>
          <w:p w14:paraId="766FDDFB">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物排</w:t>
            </w:r>
          </w:p>
          <w:p w14:paraId="3273617E">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放控</w:t>
            </w:r>
          </w:p>
          <w:p w14:paraId="6D827B7E">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制标</w:t>
            </w:r>
          </w:p>
          <w:p w14:paraId="2A9E565C">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准</w:t>
            </w:r>
          </w:p>
        </w:tc>
        <w:tc>
          <w:tcPr>
            <w:tcW w:w="8312" w:type="dxa"/>
            <w:vAlign w:val="center"/>
          </w:tcPr>
          <w:p w14:paraId="5794ADDD">
            <w:pPr>
              <w:numPr>
                <w:ilvl w:val="0"/>
                <w:numId w:val="4"/>
              </w:numPr>
              <w:snapToGrid w:val="0"/>
              <w:spacing w:line="360" w:lineRule="auto"/>
              <w:ind w:firstLine="480" w:firstLineChars="200"/>
              <w:rPr>
                <w:color w:val="auto"/>
                <w:sz w:val="24"/>
                <w:highlight w:val="none"/>
              </w:rPr>
            </w:pPr>
            <w:r>
              <w:rPr>
                <w:rFonts w:hint="eastAsia"/>
                <w:color w:val="auto"/>
                <w:sz w:val="24"/>
                <w:highlight w:val="none"/>
                <w:lang w:val="en-US" w:eastAsia="zh-CN"/>
              </w:rPr>
              <w:t>本项目</w:t>
            </w:r>
            <w:r>
              <w:rPr>
                <w:rFonts w:hint="eastAsia"/>
                <w:color w:val="auto"/>
                <w:sz w:val="24"/>
                <w:highlight w:val="none"/>
              </w:rPr>
              <w:t>废水执行《污水综合排放标准》（GB</w:t>
            </w:r>
            <w:r>
              <w:rPr>
                <w:rFonts w:hint="eastAsia"/>
                <w:color w:val="auto"/>
                <w:sz w:val="24"/>
                <w:highlight w:val="none"/>
                <w:lang w:val="en-US" w:eastAsia="zh-CN"/>
              </w:rPr>
              <w:t xml:space="preserve"> </w:t>
            </w:r>
            <w:r>
              <w:rPr>
                <w:rFonts w:hint="eastAsia"/>
                <w:color w:val="auto"/>
                <w:sz w:val="24"/>
                <w:highlight w:val="none"/>
              </w:rPr>
              <w:t>8978-1996）中</w:t>
            </w:r>
            <w:r>
              <w:fldChar w:fldCharType="begin"/>
            </w:r>
            <w:r>
              <w:instrText xml:space="preserve"> = 2 \* ROMAN \* MERGEFORMAT </w:instrText>
            </w:r>
            <w:r>
              <w:fldChar w:fldCharType="separate"/>
            </w:r>
            <w:r>
              <w:t>II</w:t>
            </w:r>
            <w:r>
              <w:fldChar w:fldCharType="end"/>
            </w:r>
            <w:r>
              <w:rPr>
                <w:rFonts w:hint="eastAsia"/>
                <w:lang w:eastAsia="zh-CN"/>
              </w:rPr>
              <w:t>类</w:t>
            </w:r>
            <w:r>
              <w:rPr>
                <w:rFonts w:hint="eastAsia"/>
                <w:color w:val="auto"/>
                <w:sz w:val="24"/>
                <w:highlight w:val="none"/>
              </w:rPr>
              <w:t>水域禁止新建排污口的规定。生活污水</w:t>
            </w:r>
            <w:r>
              <w:rPr>
                <w:rFonts w:hint="eastAsia"/>
                <w:color w:val="auto"/>
                <w:sz w:val="24"/>
                <w:highlight w:val="none"/>
                <w:lang w:val="en-US" w:eastAsia="zh-CN"/>
              </w:rPr>
              <w:t>经</w:t>
            </w:r>
            <w:r>
              <w:rPr>
                <w:rFonts w:hint="eastAsia"/>
                <w:color w:val="auto"/>
                <w:sz w:val="24"/>
                <w:highlight w:val="none"/>
              </w:rPr>
              <w:t>厂区化粪池处理后</w:t>
            </w:r>
            <w:r>
              <w:rPr>
                <w:rFonts w:hint="eastAsia"/>
                <w:color w:val="auto"/>
                <w:sz w:val="24"/>
                <w:highlight w:val="none"/>
                <w:lang w:val="en-US" w:eastAsia="zh-CN"/>
              </w:rPr>
              <w:t>综合利用</w:t>
            </w:r>
            <w:r>
              <w:rPr>
                <w:rFonts w:hint="eastAsia"/>
                <w:color w:val="auto"/>
                <w:sz w:val="24"/>
                <w:highlight w:val="none"/>
              </w:rPr>
              <w:t>；洗车废水</w:t>
            </w:r>
            <w:r>
              <w:rPr>
                <w:rFonts w:hint="eastAsia"/>
                <w:color w:val="auto"/>
                <w:sz w:val="24"/>
                <w:highlight w:val="none"/>
                <w:lang w:eastAsia="zh-CN"/>
              </w:rPr>
              <w:t>、</w:t>
            </w:r>
            <w:r>
              <w:rPr>
                <w:rFonts w:hint="eastAsia"/>
                <w:color w:val="auto"/>
                <w:sz w:val="24"/>
                <w:highlight w:val="none"/>
                <w:lang w:val="en-US" w:eastAsia="zh-CN"/>
              </w:rPr>
              <w:t>洗砂废水</w:t>
            </w:r>
            <w:r>
              <w:rPr>
                <w:rFonts w:hint="eastAsia"/>
                <w:color w:val="auto"/>
                <w:sz w:val="24"/>
                <w:highlight w:val="none"/>
              </w:rPr>
              <w:t>经配套沉淀池处理后回用，不外排，运营期</w:t>
            </w:r>
            <w:r>
              <w:rPr>
                <w:color w:val="auto"/>
                <w:kern w:val="0"/>
                <w:sz w:val="24"/>
                <w:highlight w:val="none"/>
              </w:rPr>
              <w:t>污水实行“</w:t>
            </w:r>
            <w:r>
              <w:rPr>
                <w:rFonts w:hint="eastAsia"/>
                <w:color w:val="auto"/>
                <w:kern w:val="0"/>
                <w:sz w:val="24"/>
                <w:highlight w:val="none"/>
                <w:lang w:eastAsia="zh-CN"/>
              </w:rPr>
              <w:t>“零排放”</w:t>
            </w:r>
            <w:r>
              <w:rPr>
                <w:rFonts w:hint="eastAsia"/>
                <w:color w:val="auto"/>
                <w:sz w:val="24"/>
                <w:highlight w:val="none"/>
              </w:rPr>
              <w:t>。</w:t>
            </w:r>
          </w:p>
          <w:p w14:paraId="5D81881C">
            <w:pPr>
              <w:numPr>
                <w:ilvl w:val="0"/>
                <w:numId w:val="4"/>
              </w:numPr>
              <w:snapToGrid w:val="0"/>
              <w:spacing w:line="360" w:lineRule="auto"/>
              <w:ind w:left="0" w:leftChars="0" w:firstLine="480" w:firstLineChars="200"/>
              <w:rPr>
                <w:rFonts w:hint="eastAsia"/>
                <w:color w:val="auto"/>
                <w:sz w:val="24"/>
                <w:highlight w:val="none"/>
                <w:lang w:eastAsia="zh-CN"/>
              </w:rPr>
            </w:pPr>
            <w:r>
              <w:rPr>
                <w:rFonts w:hint="eastAsia"/>
                <w:color w:val="auto"/>
                <w:sz w:val="24"/>
                <w:highlight w:val="none"/>
                <w:lang w:val="en-US" w:eastAsia="zh-CN"/>
              </w:rPr>
              <w:t>本项目</w:t>
            </w:r>
            <w:r>
              <w:rPr>
                <w:rFonts w:hint="eastAsia"/>
                <w:color w:val="auto"/>
                <w:sz w:val="24"/>
                <w:highlight w:val="none"/>
              </w:rPr>
              <w:t>施工期扬尘排放执行《施工场界扬尘排放限值》（</w:t>
            </w:r>
            <w:r>
              <w:rPr>
                <w:color w:val="auto"/>
                <w:sz w:val="24"/>
                <w:highlight w:val="none"/>
              </w:rPr>
              <w:t>DB</w:t>
            </w:r>
            <w:r>
              <w:rPr>
                <w:rFonts w:hint="eastAsia"/>
                <w:color w:val="auto"/>
                <w:sz w:val="24"/>
                <w:highlight w:val="none"/>
                <w:lang w:val="en-US" w:eastAsia="zh-CN"/>
              </w:rPr>
              <w:t xml:space="preserve"> </w:t>
            </w:r>
            <w:r>
              <w:rPr>
                <w:color w:val="auto"/>
                <w:sz w:val="24"/>
                <w:highlight w:val="none"/>
              </w:rPr>
              <w:t>61/1078-2017</w:t>
            </w:r>
            <w:r>
              <w:rPr>
                <w:rFonts w:hint="eastAsia"/>
                <w:color w:val="auto"/>
                <w:sz w:val="24"/>
                <w:highlight w:val="none"/>
              </w:rPr>
              <w:t>）排放限值</w:t>
            </w:r>
            <w:r>
              <w:rPr>
                <w:rFonts w:hint="eastAsia"/>
                <w:color w:val="auto"/>
                <w:sz w:val="24"/>
                <w:highlight w:val="none"/>
                <w:lang w:eastAsia="zh-CN"/>
              </w:rPr>
              <w:t>。</w:t>
            </w:r>
          </w:p>
          <w:p w14:paraId="4B671B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b/>
                <w:bCs/>
                <w:color w:val="auto"/>
                <w:kern w:val="0"/>
                <w:szCs w:val="21"/>
                <w:highlight w:val="none"/>
              </w:rPr>
            </w:pPr>
            <w:r>
              <w:rPr>
                <w:rFonts w:hint="eastAsia"/>
                <w:color w:val="auto"/>
                <w:sz w:val="24"/>
                <w:highlight w:val="none"/>
                <w:lang w:val="en-US" w:eastAsia="zh-CN"/>
              </w:rPr>
              <w:t>项目</w:t>
            </w:r>
            <w:r>
              <w:rPr>
                <w:color w:val="auto"/>
                <w:kern w:val="0"/>
                <w:sz w:val="24"/>
                <w:highlight w:val="none"/>
              </w:rPr>
              <w:t>运营期</w:t>
            </w:r>
            <w:r>
              <w:rPr>
                <w:rFonts w:hint="eastAsia"/>
                <w:color w:val="auto"/>
                <w:kern w:val="0"/>
                <w:sz w:val="24"/>
                <w:highlight w:val="none"/>
                <w:lang w:val="en-US" w:eastAsia="zh-CN"/>
              </w:rPr>
              <w:t>砂石骨料、</w:t>
            </w:r>
            <w:r>
              <w:rPr>
                <w:rFonts w:hint="eastAsia"/>
                <w:color w:val="auto"/>
                <w:kern w:val="0"/>
                <w:sz w:val="24"/>
                <w:highlight w:val="none"/>
              </w:rPr>
              <w:t>彩砂生产线有组织废气执行</w:t>
            </w:r>
            <w:r>
              <w:rPr>
                <w:color w:val="auto"/>
                <w:kern w:val="0"/>
                <w:sz w:val="24"/>
                <w:highlight w:val="none"/>
              </w:rPr>
              <w:t>《大气污染物综合排放标准》（GB</w:t>
            </w:r>
            <w:r>
              <w:rPr>
                <w:rFonts w:hint="eastAsia"/>
                <w:color w:val="auto"/>
                <w:kern w:val="0"/>
                <w:sz w:val="24"/>
                <w:highlight w:val="none"/>
                <w:lang w:val="en-US" w:eastAsia="zh-CN"/>
              </w:rPr>
              <w:t xml:space="preserve"> </w:t>
            </w:r>
            <w:r>
              <w:rPr>
                <w:color w:val="auto"/>
                <w:kern w:val="0"/>
                <w:sz w:val="24"/>
                <w:highlight w:val="none"/>
              </w:rPr>
              <w:t>16297-1996）</w:t>
            </w:r>
            <w:r>
              <w:rPr>
                <w:rFonts w:hint="eastAsia"/>
                <w:color w:val="auto"/>
                <w:kern w:val="0"/>
                <w:sz w:val="24"/>
                <w:highlight w:val="none"/>
              </w:rPr>
              <w:t>中排放限值要求，</w:t>
            </w:r>
            <w:r>
              <w:rPr>
                <w:rFonts w:hint="eastAsia"/>
                <w:color w:val="auto"/>
                <w:kern w:val="0"/>
                <w:sz w:val="24"/>
                <w:highlight w:val="none"/>
                <w:lang w:val="en-US" w:eastAsia="zh-CN"/>
              </w:rPr>
              <w:t>改性粉体</w:t>
            </w:r>
            <w:r>
              <w:rPr>
                <w:rFonts w:hint="eastAsia"/>
                <w:color w:val="auto"/>
                <w:kern w:val="0"/>
                <w:sz w:val="24"/>
                <w:highlight w:val="none"/>
              </w:rPr>
              <w:t>、</w:t>
            </w:r>
            <w:r>
              <w:rPr>
                <w:rFonts w:hint="eastAsia"/>
                <w:color w:val="auto"/>
                <w:kern w:val="0"/>
                <w:sz w:val="24"/>
                <w:highlight w:val="none"/>
                <w:lang w:val="en-US" w:eastAsia="zh-CN"/>
              </w:rPr>
              <w:t>干混</w:t>
            </w:r>
            <w:r>
              <w:rPr>
                <w:rFonts w:hint="eastAsia"/>
                <w:color w:val="auto"/>
                <w:kern w:val="0"/>
                <w:sz w:val="24"/>
                <w:highlight w:val="none"/>
              </w:rPr>
              <w:t>砂浆生产线有组织废气执行《水泥工业大气污染物排放标准》（GB</w:t>
            </w:r>
            <w:r>
              <w:rPr>
                <w:rFonts w:hint="eastAsia"/>
                <w:color w:val="auto"/>
                <w:kern w:val="0"/>
                <w:sz w:val="24"/>
                <w:highlight w:val="none"/>
                <w:lang w:val="en-US" w:eastAsia="zh-CN"/>
              </w:rPr>
              <w:t xml:space="preserve"> </w:t>
            </w:r>
            <w:r>
              <w:rPr>
                <w:rFonts w:hint="eastAsia"/>
                <w:color w:val="auto"/>
                <w:kern w:val="0"/>
                <w:sz w:val="24"/>
                <w:highlight w:val="none"/>
              </w:rPr>
              <w:t>4915-2013）表1中排放限值要求，厂区无组织废气</w:t>
            </w:r>
            <w:r>
              <w:rPr>
                <w:rFonts w:hint="eastAsia"/>
                <w:color w:val="auto"/>
                <w:kern w:val="0"/>
                <w:sz w:val="24"/>
                <w:highlight w:val="none"/>
                <w:lang w:val="en-US" w:eastAsia="zh-CN"/>
              </w:rPr>
              <w:t>从严</w:t>
            </w:r>
            <w:r>
              <w:rPr>
                <w:rFonts w:hint="eastAsia"/>
                <w:color w:val="auto"/>
                <w:kern w:val="0"/>
                <w:sz w:val="24"/>
                <w:highlight w:val="none"/>
              </w:rPr>
              <w:t>执行《水泥工业大气污染物排放标准》（GB</w:t>
            </w:r>
            <w:r>
              <w:rPr>
                <w:rFonts w:hint="eastAsia"/>
                <w:color w:val="auto"/>
                <w:kern w:val="0"/>
                <w:sz w:val="24"/>
                <w:highlight w:val="none"/>
                <w:lang w:val="en-US" w:eastAsia="zh-CN"/>
              </w:rPr>
              <w:t xml:space="preserve"> </w:t>
            </w:r>
            <w:r>
              <w:rPr>
                <w:rFonts w:hint="eastAsia"/>
                <w:color w:val="auto"/>
                <w:kern w:val="0"/>
                <w:sz w:val="24"/>
                <w:highlight w:val="none"/>
              </w:rPr>
              <w:t>4915-2013）表3中排放限值。</w:t>
            </w:r>
          </w:p>
          <w:p w14:paraId="3EE1A092">
            <w:pPr>
              <w:adjustRightInd w:val="0"/>
              <w:snapToGrid w:val="0"/>
              <w:jc w:val="center"/>
              <w:rPr>
                <w:b/>
                <w:color w:val="auto"/>
                <w:kern w:val="0"/>
                <w:szCs w:val="21"/>
                <w:highlight w:val="none"/>
              </w:rPr>
            </w:pPr>
            <w:r>
              <w:rPr>
                <w:b/>
                <w:bCs/>
                <w:color w:val="auto"/>
                <w:kern w:val="0"/>
                <w:szCs w:val="21"/>
                <w:highlight w:val="none"/>
              </w:rPr>
              <w:t>表3-</w:t>
            </w:r>
            <w:r>
              <w:rPr>
                <w:rFonts w:hint="eastAsia"/>
                <w:b/>
                <w:bCs/>
                <w:color w:val="auto"/>
                <w:kern w:val="0"/>
                <w:szCs w:val="21"/>
                <w:highlight w:val="none"/>
              </w:rPr>
              <w:t>5</w:t>
            </w:r>
            <w:r>
              <w:rPr>
                <w:b/>
                <w:bCs/>
                <w:color w:val="auto"/>
                <w:kern w:val="0"/>
                <w:szCs w:val="21"/>
                <w:highlight w:val="none"/>
              </w:rPr>
              <w:t xml:space="preserve">  废气排放标准一览表</w:t>
            </w:r>
          </w:p>
          <w:tbl>
            <w:tblPr>
              <w:tblStyle w:val="32"/>
              <w:tblW w:w="80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19"/>
              <w:gridCol w:w="1080"/>
              <w:gridCol w:w="1921"/>
              <w:gridCol w:w="1769"/>
              <w:gridCol w:w="982"/>
              <w:gridCol w:w="1025"/>
            </w:tblGrid>
            <w:tr w14:paraId="7E3C9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tcBorders>
                    <w:tl2br w:val="nil"/>
                    <w:tr2bl w:val="nil"/>
                  </w:tcBorders>
                  <w:vAlign w:val="center"/>
                </w:tcPr>
                <w:p w14:paraId="53827809">
                  <w:pPr>
                    <w:adjustRightInd w:val="0"/>
                    <w:snapToGrid w:val="0"/>
                    <w:jc w:val="center"/>
                    <w:rPr>
                      <w:b w:val="0"/>
                      <w:bCs w:val="0"/>
                      <w:color w:val="auto"/>
                      <w:kern w:val="0"/>
                      <w:szCs w:val="21"/>
                      <w:highlight w:val="none"/>
                    </w:rPr>
                  </w:pPr>
                  <w:r>
                    <w:rPr>
                      <w:b w:val="0"/>
                      <w:bCs w:val="0"/>
                      <w:color w:val="auto"/>
                      <w:kern w:val="0"/>
                      <w:szCs w:val="21"/>
                      <w:highlight w:val="none"/>
                    </w:rPr>
                    <w:t>污染物种类</w:t>
                  </w:r>
                </w:p>
              </w:tc>
              <w:tc>
                <w:tcPr>
                  <w:tcW w:w="6777" w:type="dxa"/>
                  <w:gridSpan w:val="5"/>
                  <w:tcBorders>
                    <w:tl2br w:val="nil"/>
                    <w:tr2bl w:val="nil"/>
                  </w:tcBorders>
                  <w:vAlign w:val="center"/>
                </w:tcPr>
                <w:p w14:paraId="6D87988B">
                  <w:pPr>
                    <w:adjustRightInd w:val="0"/>
                    <w:snapToGrid w:val="0"/>
                    <w:jc w:val="center"/>
                    <w:rPr>
                      <w:b w:val="0"/>
                      <w:bCs w:val="0"/>
                      <w:color w:val="auto"/>
                      <w:kern w:val="0"/>
                      <w:szCs w:val="21"/>
                      <w:highlight w:val="none"/>
                    </w:rPr>
                  </w:pPr>
                  <w:r>
                    <w:rPr>
                      <w:rFonts w:hint="eastAsia"/>
                      <w:b w:val="0"/>
                      <w:bCs w:val="0"/>
                      <w:color w:val="auto"/>
                      <w:kern w:val="0"/>
                      <w:szCs w:val="21"/>
                      <w:highlight w:val="none"/>
                    </w:rPr>
                    <w:t>排放标准相关要求</w:t>
                  </w:r>
                </w:p>
              </w:tc>
            </w:tr>
            <w:tr w14:paraId="018A5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96" w:type="dxa"/>
                  <w:gridSpan w:val="6"/>
                  <w:tcBorders>
                    <w:tl2br w:val="nil"/>
                    <w:tr2bl w:val="nil"/>
                  </w:tcBorders>
                  <w:vAlign w:val="center"/>
                </w:tcPr>
                <w:p w14:paraId="5DB1C84C">
                  <w:pPr>
                    <w:adjustRightInd w:val="0"/>
                    <w:snapToGrid w:val="0"/>
                    <w:jc w:val="center"/>
                    <w:rPr>
                      <w:b w:val="0"/>
                      <w:bCs w:val="0"/>
                      <w:color w:val="auto"/>
                      <w:kern w:val="0"/>
                      <w:szCs w:val="21"/>
                      <w:highlight w:val="none"/>
                    </w:rPr>
                  </w:pPr>
                  <w:r>
                    <w:rPr>
                      <w:rFonts w:hint="eastAsia"/>
                      <w:b/>
                      <w:bCs/>
                      <w:color w:val="auto"/>
                      <w:kern w:val="0"/>
                      <w:szCs w:val="21"/>
                      <w:highlight w:val="none"/>
                    </w:rPr>
                    <w:t>施工期</w:t>
                  </w:r>
                </w:p>
              </w:tc>
            </w:tr>
            <w:tr w14:paraId="50E34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restart"/>
                  <w:tcBorders>
                    <w:tl2br w:val="nil"/>
                    <w:tr2bl w:val="nil"/>
                  </w:tcBorders>
                  <w:vAlign w:val="center"/>
                </w:tcPr>
                <w:p w14:paraId="3D97D654">
                  <w:pPr>
                    <w:adjustRightInd w:val="0"/>
                    <w:snapToGrid w:val="0"/>
                    <w:jc w:val="center"/>
                    <w:rPr>
                      <w:b w:val="0"/>
                      <w:bCs w:val="0"/>
                      <w:color w:val="auto"/>
                      <w:kern w:val="0"/>
                      <w:szCs w:val="21"/>
                      <w:highlight w:val="none"/>
                    </w:rPr>
                  </w:pPr>
                  <w:r>
                    <w:rPr>
                      <w:rFonts w:hint="eastAsia"/>
                      <w:b w:val="0"/>
                      <w:bCs w:val="0"/>
                      <w:color w:val="auto"/>
                      <w:kern w:val="0"/>
                      <w:szCs w:val="21"/>
                      <w:highlight w:val="none"/>
                    </w:rPr>
                    <w:t>施工扬尘</w:t>
                  </w:r>
                </w:p>
              </w:tc>
              <w:tc>
                <w:tcPr>
                  <w:tcW w:w="1080" w:type="dxa"/>
                  <w:tcBorders>
                    <w:tl2br w:val="nil"/>
                    <w:tr2bl w:val="nil"/>
                  </w:tcBorders>
                  <w:vAlign w:val="center"/>
                </w:tcPr>
                <w:p w14:paraId="46911E3C">
                  <w:pPr>
                    <w:adjustRightInd w:val="0"/>
                    <w:snapToGrid w:val="0"/>
                    <w:jc w:val="center"/>
                    <w:rPr>
                      <w:b w:val="0"/>
                      <w:bCs w:val="0"/>
                      <w:color w:val="auto"/>
                      <w:kern w:val="0"/>
                      <w:szCs w:val="21"/>
                      <w:highlight w:val="none"/>
                    </w:rPr>
                  </w:pPr>
                  <w:r>
                    <w:rPr>
                      <w:b w:val="0"/>
                      <w:bCs w:val="0"/>
                      <w:color w:val="auto"/>
                      <w:kern w:val="0"/>
                      <w:szCs w:val="21"/>
                      <w:highlight w:val="none"/>
                    </w:rPr>
                    <w:t>监控点</w:t>
                  </w:r>
                </w:p>
              </w:tc>
              <w:tc>
                <w:tcPr>
                  <w:tcW w:w="1921" w:type="dxa"/>
                  <w:tcBorders>
                    <w:tl2br w:val="nil"/>
                    <w:tr2bl w:val="nil"/>
                  </w:tcBorders>
                  <w:vAlign w:val="center"/>
                </w:tcPr>
                <w:p w14:paraId="2E08DCFD">
                  <w:pPr>
                    <w:adjustRightInd w:val="0"/>
                    <w:snapToGrid w:val="0"/>
                    <w:jc w:val="center"/>
                    <w:rPr>
                      <w:b w:val="0"/>
                      <w:bCs w:val="0"/>
                      <w:color w:val="auto"/>
                      <w:highlight w:val="none"/>
                    </w:rPr>
                  </w:pPr>
                  <w:r>
                    <w:rPr>
                      <w:rFonts w:hint="eastAsia"/>
                      <w:b w:val="0"/>
                      <w:bCs w:val="0"/>
                      <w:color w:val="auto"/>
                      <w:highlight w:val="none"/>
                    </w:rPr>
                    <w:t>执行标准</w:t>
                  </w:r>
                </w:p>
              </w:tc>
              <w:tc>
                <w:tcPr>
                  <w:tcW w:w="1769" w:type="dxa"/>
                  <w:tcBorders>
                    <w:tl2br w:val="nil"/>
                    <w:tr2bl w:val="nil"/>
                  </w:tcBorders>
                  <w:vAlign w:val="center"/>
                </w:tcPr>
                <w:p w14:paraId="44B76B68">
                  <w:pPr>
                    <w:adjustRightInd w:val="0"/>
                    <w:snapToGrid w:val="0"/>
                    <w:jc w:val="center"/>
                    <w:rPr>
                      <w:b w:val="0"/>
                      <w:bCs w:val="0"/>
                      <w:color w:val="auto"/>
                      <w:kern w:val="0"/>
                      <w:szCs w:val="21"/>
                      <w:highlight w:val="none"/>
                    </w:rPr>
                  </w:pPr>
                  <w:r>
                    <w:rPr>
                      <w:rFonts w:hint="eastAsia"/>
                      <w:b w:val="0"/>
                      <w:bCs w:val="0"/>
                      <w:color w:val="auto"/>
                      <w:kern w:val="0"/>
                      <w:szCs w:val="21"/>
                      <w:highlight w:val="none"/>
                    </w:rPr>
                    <w:t>施工阶段</w:t>
                  </w:r>
                </w:p>
              </w:tc>
              <w:tc>
                <w:tcPr>
                  <w:tcW w:w="2007" w:type="dxa"/>
                  <w:gridSpan w:val="2"/>
                  <w:tcBorders>
                    <w:tl2br w:val="nil"/>
                    <w:tr2bl w:val="nil"/>
                  </w:tcBorders>
                  <w:vAlign w:val="center"/>
                </w:tcPr>
                <w:p w14:paraId="57A59C4F">
                  <w:pPr>
                    <w:widowControl/>
                    <w:jc w:val="center"/>
                    <w:rPr>
                      <w:b w:val="0"/>
                      <w:bCs w:val="0"/>
                      <w:color w:val="auto"/>
                      <w:kern w:val="0"/>
                      <w:szCs w:val="21"/>
                      <w:highlight w:val="none"/>
                    </w:rPr>
                  </w:pPr>
                  <w:r>
                    <w:rPr>
                      <w:rFonts w:hint="eastAsia" w:cs="宋体"/>
                      <w:b w:val="0"/>
                      <w:bCs w:val="0"/>
                      <w:color w:val="auto"/>
                      <w:szCs w:val="21"/>
                      <w:highlight w:val="none"/>
                    </w:rPr>
                    <w:t>小时平均浓度限值</w:t>
                  </w:r>
                </w:p>
              </w:tc>
            </w:tr>
            <w:tr w14:paraId="38237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7096D115">
                  <w:pPr>
                    <w:adjustRightInd w:val="0"/>
                    <w:snapToGrid w:val="0"/>
                    <w:jc w:val="center"/>
                    <w:rPr>
                      <w:color w:val="auto"/>
                      <w:kern w:val="0"/>
                      <w:szCs w:val="21"/>
                      <w:highlight w:val="none"/>
                    </w:rPr>
                  </w:pPr>
                </w:p>
              </w:tc>
              <w:tc>
                <w:tcPr>
                  <w:tcW w:w="1080" w:type="dxa"/>
                  <w:vMerge w:val="restart"/>
                  <w:tcBorders>
                    <w:tl2br w:val="nil"/>
                    <w:tr2bl w:val="nil"/>
                  </w:tcBorders>
                  <w:vAlign w:val="center"/>
                </w:tcPr>
                <w:p w14:paraId="05C088D9">
                  <w:pPr>
                    <w:adjustRightInd w:val="0"/>
                    <w:snapToGrid w:val="0"/>
                    <w:jc w:val="center"/>
                    <w:rPr>
                      <w:color w:val="auto"/>
                      <w:kern w:val="0"/>
                      <w:szCs w:val="21"/>
                      <w:highlight w:val="none"/>
                    </w:rPr>
                  </w:pPr>
                  <w:r>
                    <w:rPr>
                      <w:color w:val="auto"/>
                      <w:kern w:val="0"/>
                      <w:szCs w:val="21"/>
                      <w:highlight w:val="none"/>
                    </w:rPr>
                    <w:t>周界外浓度最高点</w:t>
                  </w:r>
                </w:p>
              </w:tc>
              <w:tc>
                <w:tcPr>
                  <w:tcW w:w="1921" w:type="dxa"/>
                  <w:vMerge w:val="restart"/>
                  <w:tcBorders>
                    <w:tl2br w:val="nil"/>
                    <w:tr2bl w:val="nil"/>
                  </w:tcBorders>
                  <w:vAlign w:val="center"/>
                </w:tcPr>
                <w:p w14:paraId="38CE1834">
                  <w:pPr>
                    <w:adjustRightInd w:val="0"/>
                    <w:snapToGrid w:val="0"/>
                    <w:jc w:val="center"/>
                    <w:rPr>
                      <w:color w:val="auto"/>
                      <w:kern w:val="0"/>
                      <w:szCs w:val="21"/>
                      <w:highlight w:val="none"/>
                    </w:rPr>
                  </w:pPr>
                  <w:r>
                    <w:rPr>
                      <w:rFonts w:hint="eastAsia"/>
                      <w:color w:val="auto"/>
                      <w:highlight w:val="none"/>
                    </w:rPr>
                    <w:t>《施工场界扬尘排放限值》（</w:t>
                  </w:r>
                  <w:r>
                    <w:rPr>
                      <w:color w:val="auto"/>
                      <w:highlight w:val="none"/>
                    </w:rPr>
                    <w:t>DB61/1078-2017</w:t>
                  </w:r>
                  <w:r>
                    <w:rPr>
                      <w:rFonts w:hint="eastAsia"/>
                      <w:color w:val="auto"/>
                      <w:highlight w:val="none"/>
                    </w:rPr>
                    <w:t>）</w:t>
                  </w:r>
                </w:p>
              </w:tc>
              <w:tc>
                <w:tcPr>
                  <w:tcW w:w="1769" w:type="dxa"/>
                  <w:tcBorders>
                    <w:tl2br w:val="nil"/>
                    <w:tr2bl w:val="nil"/>
                  </w:tcBorders>
                  <w:vAlign w:val="center"/>
                </w:tcPr>
                <w:p w14:paraId="27944433">
                  <w:pPr>
                    <w:pStyle w:val="26"/>
                    <w:widowControl w:val="0"/>
                    <w:spacing w:before="0" w:beforeAutospacing="0" w:after="0" w:afterAutospacing="0"/>
                    <w:jc w:val="center"/>
                    <w:rPr>
                      <w:rFonts w:ascii="Times New Roman" w:hAnsi="Times New Roman"/>
                      <w:b/>
                      <w:bCs/>
                      <w:color w:val="auto"/>
                      <w:szCs w:val="21"/>
                      <w:highlight w:val="none"/>
                    </w:rPr>
                  </w:pPr>
                  <w:r>
                    <w:rPr>
                      <w:rFonts w:hint="eastAsia" w:ascii="Times New Roman" w:hAnsi="Times New Roman" w:cs="宋体"/>
                      <w:color w:val="auto"/>
                      <w:kern w:val="2"/>
                      <w:sz w:val="21"/>
                      <w:szCs w:val="21"/>
                      <w:highlight w:val="none"/>
                    </w:rPr>
                    <w:t>拆除、土方及地基处理工程</w:t>
                  </w:r>
                </w:p>
              </w:tc>
              <w:tc>
                <w:tcPr>
                  <w:tcW w:w="2007" w:type="dxa"/>
                  <w:gridSpan w:val="2"/>
                  <w:tcBorders>
                    <w:tl2br w:val="nil"/>
                    <w:tr2bl w:val="nil"/>
                  </w:tcBorders>
                  <w:vAlign w:val="center"/>
                </w:tcPr>
                <w:p w14:paraId="789117EC">
                  <w:pPr>
                    <w:widowControl/>
                    <w:jc w:val="center"/>
                    <w:rPr>
                      <w:color w:val="auto"/>
                      <w:kern w:val="0"/>
                      <w:szCs w:val="21"/>
                      <w:highlight w:val="none"/>
                    </w:rPr>
                  </w:pPr>
                  <w:r>
                    <w:rPr>
                      <w:rFonts w:hint="eastAsia" w:ascii="宋体" w:hAnsi="宋体" w:cs="宋体"/>
                      <w:color w:val="auto"/>
                      <w:szCs w:val="21"/>
                      <w:highlight w:val="none"/>
                    </w:rPr>
                    <w:t>≤</w:t>
                  </w:r>
                  <w:r>
                    <w:rPr>
                      <w:color w:val="auto"/>
                      <w:szCs w:val="21"/>
                      <w:highlight w:val="none"/>
                    </w:rPr>
                    <w:t>0.8</w:t>
                  </w:r>
                  <w:r>
                    <w:rPr>
                      <w:bCs/>
                      <w:color w:val="auto"/>
                      <w:szCs w:val="21"/>
                      <w:highlight w:val="none"/>
                    </w:rPr>
                    <w:t>mg/m</w:t>
                  </w:r>
                  <w:r>
                    <w:rPr>
                      <w:bCs/>
                      <w:color w:val="auto"/>
                      <w:szCs w:val="21"/>
                      <w:highlight w:val="none"/>
                      <w:vertAlign w:val="superscript"/>
                    </w:rPr>
                    <w:t>3</w:t>
                  </w:r>
                </w:p>
              </w:tc>
            </w:tr>
            <w:tr w14:paraId="1D23A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33584D3A">
                  <w:pPr>
                    <w:adjustRightInd w:val="0"/>
                    <w:snapToGrid w:val="0"/>
                    <w:jc w:val="center"/>
                    <w:rPr>
                      <w:color w:val="auto"/>
                      <w:kern w:val="0"/>
                      <w:szCs w:val="21"/>
                      <w:highlight w:val="none"/>
                    </w:rPr>
                  </w:pPr>
                </w:p>
              </w:tc>
              <w:tc>
                <w:tcPr>
                  <w:tcW w:w="1080" w:type="dxa"/>
                  <w:vMerge w:val="continue"/>
                  <w:tcBorders>
                    <w:tl2br w:val="nil"/>
                    <w:tr2bl w:val="nil"/>
                  </w:tcBorders>
                  <w:vAlign w:val="center"/>
                </w:tcPr>
                <w:p w14:paraId="0585FDA6">
                  <w:pPr>
                    <w:adjustRightInd w:val="0"/>
                    <w:snapToGrid w:val="0"/>
                    <w:jc w:val="center"/>
                    <w:rPr>
                      <w:color w:val="auto"/>
                      <w:kern w:val="0"/>
                      <w:szCs w:val="21"/>
                      <w:highlight w:val="none"/>
                    </w:rPr>
                  </w:pPr>
                </w:p>
              </w:tc>
              <w:tc>
                <w:tcPr>
                  <w:tcW w:w="1921" w:type="dxa"/>
                  <w:vMerge w:val="continue"/>
                  <w:tcBorders>
                    <w:tl2br w:val="nil"/>
                    <w:tr2bl w:val="nil"/>
                  </w:tcBorders>
                  <w:vAlign w:val="center"/>
                </w:tcPr>
                <w:p w14:paraId="2FA20BE9">
                  <w:pPr>
                    <w:adjustRightInd w:val="0"/>
                    <w:snapToGrid w:val="0"/>
                    <w:jc w:val="center"/>
                    <w:rPr>
                      <w:color w:val="auto"/>
                      <w:highlight w:val="none"/>
                    </w:rPr>
                  </w:pPr>
                </w:p>
              </w:tc>
              <w:tc>
                <w:tcPr>
                  <w:tcW w:w="1769" w:type="dxa"/>
                  <w:tcBorders>
                    <w:tl2br w:val="nil"/>
                    <w:tr2bl w:val="nil"/>
                  </w:tcBorders>
                  <w:vAlign w:val="center"/>
                </w:tcPr>
                <w:p w14:paraId="686EE8C5">
                  <w:pPr>
                    <w:pStyle w:val="26"/>
                    <w:widowControl w:val="0"/>
                    <w:spacing w:before="0" w:beforeAutospacing="0" w:after="0" w:afterAutospacing="0"/>
                    <w:jc w:val="center"/>
                    <w:rPr>
                      <w:rFonts w:ascii="Times New Roman" w:hAnsi="Times New Roman"/>
                      <w:b/>
                      <w:bCs/>
                      <w:color w:val="auto"/>
                      <w:szCs w:val="21"/>
                      <w:highlight w:val="none"/>
                    </w:rPr>
                  </w:pPr>
                  <w:r>
                    <w:rPr>
                      <w:rFonts w:hint="eastAsia" w:ascii="Times New Roman" w:hAnsi="Times New Roman" w:cs="宋体"/>
                      <w:color w:val="auto"/>
                      <w:kern w:val="2"/>
                      <w:sz w:val="21"/>
                      <w:szCs w:val="21"/>
                      <w:highlight w:val="none"/>
                    </w:rPr>
                    <w:t>基础、主体结构及装饰工程</w:t>
                  </w:r>
                </w:p>
              </w:tc>
              <w:tc>
                <w:tcPr>
                  <w:tcW w:w="2007" w:type="dxa"/>
                  <w:gridSpan w:val="2"/>
                  <w:tcBorders>
                    <w:tl2br w:val="nil"/>
                    <w:tr2bl w:val="nil"/>
                  </w:tcBorders>
                  <w:vAlign w:val="center"/>
                </w:tcPr>
                <w:p w14:paraId="4C5E3940">
                  <w:pPr>
                    <w:widowControl/>
                    <w:jc w:val="center"/>
                    <w:rPr>
                      <w:color w:val="auto"/>
                      <w:kern w:val="0"/>
                      <w:szCs w:val="21"/>
                      <w:highlight w:val="none"/>
                    </w:rPr>
                  </w:pPr>
                  <w:r>
                    <w:rPr>
                      <w:rFonts w:hint="eastAsia" w:ascii="宋体" w:hAnsi="宋体" w:cs="宋体"/>
                      <w:color w:val="auto"/>
                      <w:szCs w:val="21"/>
                      <w:highlight w:val="none"/>
                    </w:rPr>
                    <w:t>≤</w:t>
                  </w:r>
                  <w:r>
                    <w:rPr>
                      <w:color w:val="auto"/>
                      <w:szCs w:val="21"/>
                      <w:highlight w:val="none"/>
                    </w:rPr>
                    <w:t>0.7</w:t>
                  </w:r>
                  <w:r>
                    <w:rPr>
                      <w:bCs/>
                      <w:color w:val="auto"/>
                      <w:szCs w:val="21"/>
                      <w:highlight w:val="none"/>
                    </w:rPr>
                    <w:t>mg/m</w:t>
                  </w:r>
                  <w:r>
                    <w:rPr>
                      <w:bCs/>
                      <w:color w:val="auto"/>
                      <w:szCs w:val="21"/>
                      <w:highlight w:val="none"/>
                      <w:vertAlign w:val="superscript"/>
                    </w:rPr>
                    <w:t>3</w:t>
                  </w:r>
                </w:p>
              </w:tc>
            </w:tr>
            <w:tr w14:paraId="0DD62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96" w:type="dxa"/>
                  <w:gridSpan w:val="6"/>
                  <w:tcBorders>
                    <w:tl2br w:val="nil"/>
                    <w:tr2bl w:val="nil"/>
                  </w:tcBorders>
                  <w:vAlign w:val="center"/>
                </w:tcPr>
                <w:p w14:paraId="2CB59AFD">
                  <w:pPr>
                    <w:adjustRightInd w:val="0"/>
                    <w:snapToGrid w:val="0"/>
                    <w:jc w:val="center"/>
                    <w:rPr>
                      <w:b/>
                      <w:color w:val="auto"/>
                      <w:kern w:val="0"/>
                      <w:szCs w:val="21"/>
                      <w:highlight w:val="none"/>
                    </w:rPr>
                  </w:pPr>
                  <w:r>
                    <w:rPr>
                      <w:rFonts w:hint="eastAsia"/>
                      <w:b/>
                      <w:color w:val="auto"/>
                      <w:kern w:val="0"/>
                      <w:szCs w:val="21"/>
                      <w:highlight w:val="none"/>
                    </w:rPr>
                    <w:t>运营期</w:t>
                  </w:r>
                </w:p>
              </w:tc>
            </w:tr>
            <w:tr w14:paraId="12E5D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restart"/>
                  <w:tcBorders>
                    <w:tl2br w:val="nil"/>
                    <w:tr2bl w:val="nil"/>
                  </w:tcBorders>
                  <w:vAlign w:val="center"/>
                </w:tcPr>
                <w:p w14:paraId="33867D1A">
                  <w:pPr>
                    <w:adjustRightInd w:val="0"/>
                    <w:snapToGrid w:val="0"/>
                    <w:jc w:val="center"/>
                    <w:rPr>
                      <w:b/>
                      <w:color w:val="auto"/>
                      <w:kern w:val="0"/>
                      <w:szCs w:val="21"/>
                      <w:highlight w:val="none"/>
                    </w:rPr>
                  </w:pPr>
                  <w:r>
                    <w:rPr>
                      <w:rFonts w:hint="eastAsia"/>
                      <w:color w:val="auto"/>
                      <w:kern w:val="0"/>
                      <w:szCs w:val="21"/>
                      <w:highlight w:val="none"/>
                    </w:rPr>
                    <w:t>颗粒物</w:t>
                  </w:r>
                </w:p>
              </w:tc>
              <w:tc>
                <w:tcPr>
                  <w:tcW w:w="1080" w:type="dxa"/>
                  <w:tcBorders>
                    <w:tl2br w:val="nil"/>
                    <w:tr2bl w:val="nil"/>
                  </w:tcBorders>
                  <w:vAlign w:val="center"/>
                </w:tcPr>
                <w:p w14:paraId="5BAFCE5B">
                  <w:pPr>
                    <w:adjustRightInd w:val="0"/>
                    <w:snapToGrid w:val="0"/>
                    <w:jc w:val="center"/>
                    <w:rPr>
                      <w:b w:val="0"/>
                      <w:bCs/>
                      <w:color w:val="auto"/>
                      <w:kern w:val="0"/>
                      <w:szCs w:val="21"/>
                      <w:highlight w:val="none"/>
                    </w:rPr>
                  </w:pPr>
                  <w:r>
                    <w:rPr>
                      <w:b w:val="0"/>
                      <w:bCs/>
                      <w:color w:val="auto"/>
                      <w:kern w:val="0"/>
                      <w:szCs w:val="21"/>
                      <w:highlight w:val="none"/>
                    </w:rPr>
                    <w:t>排放形式</w:t>
                  </w:r>
                </w:p>
              </w:tc>
              <w:tc>
                <w:tcPr>
                  <w:tcW w:w="1921" w:type="dxa"/>
                  <w:tcBorders>
                    <w:tl2br w:val="nil"/>
                    <w:tr2bl w:val="nil"/>
                  </w:tcBorders>
                  <w:vAlign w:val="center"/>
                </w:tcPr>
                <w:p w14:paraId="5C194D6E">
                  <w:pPr>
                    <w:adjustRightInd w:val="0"/>
                    <w:snapToGrid w:val="0"/>
                    <w:jc w:val="center"/>
                    <w:rPr>
                      <w:b w:val="0"/>
                      <w:bCs/>
                      <w:color w:val="auto"/>
                      <w:kern w:val="0"/>
                      <w:szCs w:val="21"/>
                      <w:highlight w:val="none"/>
                    </w:rPr>
                  </w:pPr>
                  <w:r>
                    <w:rPr>
                      <w:b w:val="0"/>
                      <w:bCs/>
                      <w:color w:val="auto"/>
                      <w:kern w:val="0"/>
                      <w:szCs w:val="21"/>
                      <w:highlight w:val="none"/>
                    </w:rPr>
                    <w:t>执行标准</w:t>
                  </w:r>
                </w:p>
              </w:tc>
              <w:tc>
                <w:tcPr>
                  <w:tcW w:w="1769" w:type="dxa"/>
                  <w:tcBorders>
                    <w:tl2br w:val="nil"/>
                    <w:tr2bl w:val="nil"/>
                  </w:tcBorders>
                  <w:vAlign w:val="center"/>
                </w:tcPr>
                <w:p w14:paraId="616441DA">
                  <w:pPr>
                    <w:adjustRightInd w:val="0"/>
                    <w:snapToGrid w:val="0"/>
                    <w:jc w:val="center"/>
                    <w:rPr>
                      <w:b w:val="0"/>
                      <w:bCs/>
                      <w:color w:val="auto"/>
                      <w:kern w:val="0"/>
                      <w:szCs w:val="21"/>
                      <w:highlight w:val="none"/>
                    </w:rPr>
                  </w:pPr>
                  <w:r>
                    <w:rPr>
                      <w:rFonts w:hint="eastAsia"/>
                      <w:b w:val="0"/>
                      <w:bCs/>
                      <w:color w:val="auto"/>
                      <w:kern w:val="0"/>
                      <w:szCs w:val="21"/>
                      <w:highlight w:val="none"/>
                    </w:rPr>
                    <w:t>监控点</w:t>
                  </w:r>
                </w:p>
              </w:tc>
              <w:tc>
                <w:tcPr>
                  <w:tcW w:w="982" w:type="dxa"/>
                  <w:tcBorders>
                    <w:tl2br w:val="nil"/>
                    <w:tr2bl w:val="nil"/>
                  </w:tcBorders>
                  <w:vAlign w:val="center"/>
                </w:tcPr>
                <w:p w14:paraId="791B8BFA">
                  <w:pPr>
                    <w:adjustRightInd w:val="0"/>
                    <w:snapToGrid w:val="0"/>
                    <w:jc w:val="center"/>
                    <w:rPr>
                      <w:b w:val="0"/>
                      <w:bCs/>
                      <w:color w:val="auto"/>
                      <w:kern w:val="0"/>
                      <w:szCs w:val="21"/>
                      <w:highlight w:val="none"/>
                    </w:rPr>
                  </w:pPr>
                  <w:r>
                    <w:rPr>
                      <w:b w:val="0"/>
                      <w:bCs/>
                      <w:color w:val="auto"/>
                      <w:kern w:val="0"/>
                      <w:szCs w:val="21"/>
                      <w:highlight w:val="none"/>
                    </w:rPr>
                    <w:t>浓</w:t>
                  </w:r>
                  <w:r>
                    <w:rPr>
                      <w:rFonts w:hint="eastAsia"/>
                      <w:b w:val="0"/>
                      <w:bCs/>
                      <w:color w:val="auto"/>
                      <w:kern w:val="0"/>
                      <w:szCs w:val="21"/>
                      <w:highlight w:val="none"/>
                    </w:rPr>
                    <w:t>度</w:t>
                  </w:r>
                </w:p>
                <w:p w14:paraId="1F57A4AC">
                  <w:pPr>
                    <w:adjustRightInd w:val="0"/>
                    <w:snapToGrid w:val="0"/>
                    <w:jc w:val="center"/>
                    <w:rPr>
                      <w:b w:val="0"/>
                      <w:bCs/>
                      <w:color w:val="auto"/>
                      <w:kern w:val="0"/>
                      <w:szCs w:val="21"/>
                      <w:highlight w:val="none"/>
                    </w:rPr>
                  </w:pPr>
                  <w:r>
                    <w:rPr>
                      <w:b w:val="0"/>
                      <w:bCs/>
                      <w:color w:val="auto"/>
                      <w:kern w:val="0"/>
                      <w:szCs w:val="21"/>
                      <w:highlight w:val="none"/>
                    </w:rPr>
                    <w:t>限值</w:t>
                  </w:r>
                </w:p>
              </w:tc>
              <w:tc>
                <w:tcPr>
                  <w:tcW w:w="1025" w:type="dxa"/>
                  <w:tcBorders>
                    <w:tl2br w:val="nil"/>
                    <w:tr2bl w:val="nil"/>
                  </w:tcBorders>
                  <w:vAlign w:val="center"/>
                </w:tcPr>
                <w:p w14:paraId="17D15392">
                  <w:pPr>
                    <w:adjustRightInd w:val="0"/>
                    <w:snapToGrid w:val="0"/>
                    <w:jc w:val="center"/>
                    <w:rPr>
                      <w:b w:val="0"/>
                      <w:bCs/>
                      <w:color w:val="auto"/>
                      <w:kern w:val="0"/>
                      <w:szCs w:val="21"/>
                      <w:highlight w:val="none"/>
                    </w:rPr>
                  </w:pPr>
                  <w:r>
                    <w:rPr>
                      <w:rFonts w:hint="eastAsia"/>
                      <w:b w:val="0"/>
                      <w:bCs/>
                      <w:color w:val="auto"/>
                      <w:kern w:val="0"/>
                      <w:szCs w:val="21"/>
                      <w:highlight w:val="none"/>
                    </w:rPr>
                    <w:t>速率</w:t>
                  </w:r>
                </w:p>
                <w:p w14:paraId="33AD0D92">
                  <w:pPr>
                    <w:adjustRightInd w:val="0"/>
                    <w:snapToGrid w:val="0"/>
                    <w:jc w:val="center"/>
                    <w:rPr>
                      <w:b w:val="0"/>
                      <w:bCs/>
                      <w:color w:val="auto"/>
                      <w:kern w:val="0"/>
                      <w:szCs w:val="21"/>
                      <w:highlight w:val="none"/>
                    </w:rPr>
                  </w:pPr>
                  <w:r>
                    <w:rPr>
                      <w:rFonts w:hint="eastAsia"/>
                      <w:b w:val="0"/>
                      <w:bCs/>
                      <w:color w:val="auto"/>
                      <w:kern w:val="0"/>
                      <w:szCs w:val="21"/>
                      <w:highlight w:val="none"/>
                    </w:rPr>
                    <w:t>限值</w:t>
                  </w:r>
                </w:p>
              </w:tc>
            </w:tr>
            <w:tr w14:paraId="49EFD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1E303E80">
                  <w:pPr>
                    <w:adjustRightInd w:val="0"/>
                    <w:snapToGrid w:val="0"/>
                    <w:jc w:val="center"/>
                    <w:rPr>
                      <w:color w:val="auto"/>
                      <w:kern w:val="0"/>
                      <w:szCs w:val="21"/>
                      <w:highlight w:val="none"/>
                    </w:rPr>
                  </w:pPr>
                </w:p>
              </w:tc>
              <w:tc>
                <w:tcPr>
                  <w:tcW w:w="1080" w:type="dxa"/>
                  <w:tcBorders>
                    <w:tl2br w:val="nil"/>
                    <w:tr2bl w:val="nil"/>
                  </w:tcBorders>
                  <w:vAlign w:val="center"/>
                </w:tcPr>
                <w:p w14:paraId="094DE810">
                  <w:pPr>
                    <w:adjustRightInd w:val="0"/>
                    <w:snapToGrid w:val="0"/>
                    <w:jc w:val="center"/>
                    <w:rPr>
                      <w:color w:val="auto"/>
                      <w:kern w:val="0"/>
                      <w:szCs w:val="21"/>
                      <w:highlight w:val="none"/>
                    </w:rPr>
                  </w:pPr>
                  <w:r>
                    <w:rPr>
                      <w:rFonts w:hint="eastAsia"/>
                      <w:color w:val="auto"/>
                      <w:kern w:val="0"/>
                      <w:szCs w:val="21"/>
                      <w:highlight w:val="none"/>
                    </w:rPr>
                    <w:t>有</w:t>
                  </w:r>
                  <w:r>
                    <w:rPr>
                      <w:color w:val="auto"/>
                      <w:kern w:val="0"/>
                      <w:szCs w:val="21"/>
                      <w:highlight w:val="none"/>
                    </w:rPr>
                    <w:t>组织</w:t>
                  </w:r>
                </w:p>
              </w:tc>
              <w:tc>
                <w:tcPr>
                  <w:tcW w:w="1921" w:type="dxa"/>
                  <w:vMerge w:val="restart"/>
                  <w:tcBorders>
                    <w:tl2br w:val="nil"/>
                    <w:tr2bl w:val="nil"/>
                  </w:tcBorders>
                  <w:vAlign w:val="center"/>
                </w:tcPr>
                <w:p w14:paraId="2D76C205">
                  <w:pPr>
                    <w:pStyle w:val="11"/>
                    <w:jc w:val="center"/>
                    <w:rPr>
                      <w:color w:val="auto"/>
                      <w:sz w:val="21"/>
                      <w:szCs w:val="21"/>
                      <w:highlight w:val="none"/>
                    </w:rPr>
                  </w:pPr>
                  <w:r>
                    <w:rPr>
                      <w:color w:val="auto"/>
                      <w:sz w:val="21"/>
                      <w:szCs w:val="21"/>
                      <w:highlight w:val="none"/>
                    </w:rPr>
                    <w:t>《大气污染物综合排放标准》（GB</w:t>
                  </w:r>
                  <w:r>
                    <w:rPr>
                      <w:rFonts w:hint="eastAsia"/>
                      <w:color w:val="auto"/>
                      <w:sz w:val="21"/>
                      <w:szCs w:val="21"/>
                      <w:highlight w:val="none"/>
                      <w:lang w:val="en-US" w:eastAsia="zh-CN"/>
                    </w:rPr>
                    <w:t xml:space="preserve"> </w:t>
                  </w:r>
                  <w:r>
                    <w:rPr>
                      <w:color w:val="auto"/>
                      <w:sz w:val="21"/>
                      <w:szCs w:val="21"/>
                      <w:highlight w:val="none"/>
                    </w:rPr>
                    <w:t>16297-1996）</w:t>
                  </w:r>
                </w:p>
              </w:tc>
              <w:tc>
                <w:tcPr>
                  <w:tcW w:w="1769" w:type="dxa"/>
                  <w:tcBorders>
                    <w:tl2br w:val="nil"/>
                    <w:tr2bl w:val="nil"/>
                  </w:tcBorders>
                  <w:vAlign w:val="center"/>
                </w:tcPr>
                <w:p w14:paraId="275FE753">
                  <w:pPr>
                    <w:adjustRightInd w:val="0"/>
                    <w:snapToGrid w:val="0"/>
                    <w:jc w:val="center"/>
                    <w:rPr>
                      <w:rFonts w:hint="eastAsia"/>
                      <w:color w:val="auto"/>
                      <w:kern w:val="0"/>
                      <w:szCs w:val="21"/>
                      <w:highlight w:val="none"/>
                      <w:lang w:eastAsia="zh-CN"/>
                    </w:rPr>
                  </w:pPr>
                  <w:r>
                    <w:rPr>
                      <w:rFonts w:hint="eastAsia"/>
                      <w:color w:val="auto"/>
                      <w:kern w:val="0"/>
                      <w:szCs w:val="21"/>
                      <w:highlight w:val="none"/>
                      <w:lang w:val="en-US" w:eastAsia="zh-CN"/>
                    </w:rPr>
                    <w:t>砂石骨料生产线粉尘</w:t>
                  </w:r>
                  <w:r>
                    <w:rPr>
                      <w:rFonts w:hint="eastAsia"/>
                      <w:color w:val="auto"/>
                      <w:kern w:val="0"/>
                      <w:szCs w:val="21"/>
                      <w:highlight w:val="none"/>
                    </w:rPr>
                    <w:t>排气筒（DA00</w:t>
                  </w:r>
                  <w:r>
                    <w:rPr>
                      <w:rFonts w:hint="eastAsia"/>
                      <w:color w:val="auto"/>
                      <w:kern w:val="0"/>
                      <w:szCs w:val="21"/>
                      <w:highlight w:val="none"/>
                      <w:lang w:val="en-US" w:eastAsia="zh-CN"/>
                    </w:rPr>
                    <w:t>1</w:t>
                  </w:r>
                  <w:r>
                    <w:rPr>
                      <w:rFonts w:hint="eastAsia"/>
                      <w:color w:val="auto"/>
                      <w:kern w:val="0"/>
                      <w:szCs w:val="21"/>
                      <w:highlight w:val="none"/>
                    </w:rPr>
                    <w:t>）</w:t>
                  </w:r>
                  <w:r>
                    <w:rPr>
                      <w:rFonts w:hint="eastAsia"/>
                      <w:color w:val="auto"/>
                      <w:kern w:val="0"/>
                      <w:szCs w:val="21"/>
                      <w:highlight w:val="none"/>
                      <w:lang w:eastAsia="zh-CN"/>
                    </w:rPr>
                    <w:t>，</w:t>
                  </w:r>
                </w:p>
                <w:p w14:paraId="1FD54FC1">
                  <w:pPr>
                    <w:adjustRightInd w:val="0"/>
                    <w:snapToGrid w:val="0"/>
                    <w:jc w:val="center"/>
                    <w:rPr>
                      <w:b/>
                      <w:bCs/>
                      <w:color w:val="auto"/>
                      <w:kern w:val="0"/>
                      <w:szCs w:val="21"/>
                      <w:highlight w:val="none"/>
                    </w:rPr>
                  </w:pPr>
                  <w:r>
                    <w:rPr>
                      <w:rFonts w:hint="eastAsia"/>
                      <w:color w:val="auto"/>
                      <w:kern w:val="0"/>
                      <w:szCs w:val="21"/>
                      <w:highlight w:val="none"/>
                    </w:rPr>
                    <w:t>彩砂生产线粉尘排气筒（DA00</w:t>
                  </w:r>
                  <w:r>
                    <w:rPr>
                      <w:rFonts w:hint="eastAsia"/>
                      <w:color w:val="auto"/>
                      <w:kern w:val="0"/>
                      <w:szCs w:val="21"/>
                      <w:highlight w:val="none"/>
                      <w:lang w:val="en-US" w:eastAsia="zh-CN"/>
                    </w:rPr>
                    <w:t>2</w:t>
                  </w:r>
                  <w:r>
                    <w:rPr>
                      <w:rFonts w:hint="eastAsia"/>
                      <w:color w:val="auto"/>
                      <w:kern w:val="0"/>
                      <w:szCs w:val="21"/>
                      <w:highlight w:val="none"/>
                    </w:rPr>
                    <w:t>）</w:t>
                  </w:r>
                </w:p>
              </w:tc>
              <w:tc>
                <w:tcPr>
                  <w:tcW w:w="982" w:type="dxa"/>
                  <w:tcBorders>
                    <w:tl2br w:val="nil"/>
                    <w:tr2bl w:val="nil"/>
                  </w:tcBorders>
                  <w:vAlign w:val="center"/>
                </w:tcPr>
                <w:p w14:paraId="30472919">
                  <w:pPr>
                    <w:adjustRightInd w:val="0"/>
                    <w:snapToGrid w:val="0"/>
                    <w:jc w:val="center"/>
                    <w:rPr>
                      <w:color w:val="auto"/>
                      <w:kern w:val="0"/>
                      <w:szCs w:val="21"/>
                      <w:highlight w:val="none"/>
                    </w:rPr>
                  </w:pPr>
                  <w:r>
                    <w:rPr>
                      <w:rFonts w:hint="eastAsia"/>
                      <w:color w:val="auto"/>
                      <w:kern w:val="0"/>
                      <w:szCs w:val="21"/>
                      <w:highlight w:val="none"/>
                    </w:rPr>
                    <w:t>120mg/m</w:t>
                  </w:r>
                  <w:r>
                    <w:rPr>
                      <w:rFonts w:hint="eastAsia"/>
                      <w:color w:val="auto"/>
                      <w:kern w:val="0"/>
                      <w:szCs w:val="21"/>
                      <w:highlight w:val="none"/>
                      <w:vertAlign w:val="superscript"/>
                    </w:rPr>
                    <w:t>3</w:t>
                  </w:r>
                </w:p>
              </w:tc>
              <w:tc>
                <w:tcPr>
                  <w:tcW w:w="1025" w:type="dxa"/>
                  <w:tcBorders>
                    <w:tl2br w:val="nil"/>
                    <w:tr2bl w:val="nil"/>
                  </w:tcBorders>
                  <w:vAlign w:val="center"/>
                </w:tcPr>
                <w:p w14:paraId="46CDDF71">
                  <w:pPr>
                    <w:adjustRightInd w:val="0"/>
                    <w:snapToGrid w:val="0"/>
                    <w:jc w:val="center"/>
                    <w:rPr>
                      <w:color w:val="auto"/>
                      <w:kern w:val="0"/>
                      <w:szCs w:val="21"/>
                      <w:highlight w:val="none"/>
                    </w:rPr>
                  </w:pPr>
                  <w:r>
                    <w:rPr>
                      <w:rFonts w:hint="eastAsia"/>
                      <w:color w:val="auto"/>
                      <w:kern w:val="0"/>
                      <w:szCs w:val="21"/>
                      <w:highlight w:val="none"/>
                      <w:lang w:val="en-US" w:eastAsia="zh-CN"/>
                    </w:rPr>
                    <w:t xml:space="preserve">3.5 </w:t>
                  </w:r>
                  <w:r>
                    <w:rPr>
                      <w:rFonts w:hint="eastAsia"/>
                      <w:color w:val="auto"/>
                      <w:kern w:val="0"/>
                      <w:szCs w:val="21"/>
                      <w:highlight w:val="none"/>
                    </w:rPr>
                    <w:t>kg/h</w:t>
                  </w:r>
                </w:p>
              </w:tc>
            </w:tr>
            <w:tr w14:paraId="305F2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261BD113">
                  <w:pPr>
                    <w:adjustRightInd w:val="0"/>
                    <w:snapToGrid w:val="0"/>
                    <w:jc w:val="center"/>
                    <w:rPr>
                      <w:color w:val="auto"/>
                      <w:kern w:val="0"/>
                      <w:szCs w:val="21"/>
                      <w:highlight w:val="none"/>
                    </w:rPr>
                  </w:pPr>
                </w:p>
              </w:tc>
              <w:tc>
                <w:tcPr>
                  <w:tcW w:w="1080" w:type="dxa"/>
                  <w:tcBorders>
                    <w:tl2br w:val="nil"/>
                    <w:tr2bl w:val="nil"/>
                  </w:tcBorders>
                  <w:vAlign w:val="center"/>
                </w:tcPr>
                <w:p w14:paraId="22B674BB">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无组织</w:t>
                  </w:r>
                </w:p>
              </w:tc>
              <w:tc>
                <w:tcPr>
                  <w:tcW w:w="1921" w:type="dxa"/>
                  <w:vMerge w:val="continue"/>
                  <w:tcBorders>
                    <w:tl2br w:val="nil"/>
                    <w:tr2bl w:val="nil"/>
                  </w:tcBorders>
                  <w:vAlign w:val="center"/>
                </w:tcPr>
                <w:p w14:paraId="7B659C0A">
                  <w:pPr>
                    <w:pStyle w:val="11"/>
                    <w:jc w:val="center"/>
                    <w:rPr>
                      <w:color w:val="auto"/>
                      <w:sz w:val="21"/>
                      <w:szCs w:val="21"/>
                      <w:highlight w:val="none"/>
                    </w:rPr>
                  </w:pPr>
                </w:p>
              </w:tc>
              <w:tc>
                <w:tcPr>
                  <w:tcW w:w="1769" w:type="dxa"/>
                  <w:tcBorders>
                    <w:tl2br w:val="nil"/>
                    <w:tr2bl w:val="nil"/>
                  </w:tcBorders>
                  <w:vAlign w:val="center"/>
                </w:tcPr>
                <w:p w14:paraId="66B8A4ED">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砂石骨料、</w:t>
                  </w:r>
                  <w:r>
                    <w:rPr>
                      <w:rFonts w:hint="eastAsia"/>
                      <w:color w:val="auto"/>
                      <w:kern w:val="0"/>
                      <w:szCs w:val="21"/>
                      <w:highlight w:val="none"/>
                    </w:rPr>
                    <w:t>彩砂</w:t>
                  </w:r>
                  <w:r>
                    <w:rPr>
                      <w:rFonts w:hint="eastAsia"/>
                      <w:color w:val="auto"/>
                      <w:kern w:val="0"/>
                      <w:szCs w:val="21"/>
                      <w:highlight w:val="none"/>
                      <w:lang w:val="en-US" w:eastAsia="zh-CN"/>
                    </w:rPr>
                    <w:t>生产线</w:t>
                  </w:r>
                </w:p>
              </w:tc>
              <w:tc>
                <w:tcPr>
                  <w:tcW w:w="982" w:type="dxa"/>
                  <w:tcBorders>
                    <w:tl2br w:val="nil"/>
                    <w:tr2bl w:val="nil"/>
                  </w:tcBorders>
                  <w:vAlign w:val="center"/>
                </w:tcPr>
                <w:p w14:paraId="67E86C56">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 xml:space="preserve">1.0 </w:t>
                  </w:r>
                  <w:r>
                    <w:rPr>
                      <w:rFonts w:hint="eastAsia"/>
                      <w:color w:val="auto"/>
                      <w:kern w:val="0"/>
                      <w:szCs w:val="21"/>
                      <w:highlight w:val="none"/>
                    </w:rPr>
                    <w:t>mg/m</w:t>
                  </w:r>
                  <w:r>
                    <w:rPr>
                      <w:rFonts w:hint="eastAsia"/>
                      <w:color w:val="auto"/>
                      <w:kern w:val="0"/>
                      <w:szCs w:val="21"/>
                      <w:highlight w:val="none"/>
                      <w:vertAlign w:val="superscript"/>
                    </w:rPr>
                    <w:t>3</w:t>
                  </w:r>
                </w:p>
              </w:tc>
              <w:tc>
                <w:tcPr>
                  <w:tcW w:w="1025" w:type="dxa"/>
                  <w:tcBorders>
                    <w:tl2br w:val="nil"/>
                    <w:tr2bl w:val="nil"/>
                  </w:tcBorders>
                  <w:vAlign w:val="center"/>
                </w:tcPr>
                <w:p w14:paraId="5C505880">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r>
            <w:tr w14:paraId="19C1D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02938963">
                  <w:pPr>
                    <w:adjustRightInd w:val="0"/>
                    <w:snapToGrid w:val="0"/>
                    <w:jc w:val="center"/>
                    <w:rPr>
                      <w:color w:val="auto"/>
                      <w:kern w:val="0"/>
                      <w:szCs w:val="21"/>
                      <w:highlight w:val="none"/>
                    </w:rPr>
                  </w:pPr>
                </w:p>
              </w:tc>
              <w:tc>
                <w:tcPr>
                  <w:tcW w:w="1080" w:type="dxa"/>
                  <w:tcBorders>
                    <w:tl2br w:val="nil"/>
                    <w:tr2bl w:val="nil"/>
                  </w:tcBorders>
                  <w:vAlign w:val="center"/>
                </w:tcPr>
                <w:p w14:paraId="300200E6">
                  <w:pPr>
                    <w:adjustRightInd w:val="0"/>
                    <w:snapToGrid w:val="0"/>
                    <w:jc w:val="center"/>
                    <w:rPr>
                      <w:color w:val="auto"/>
                      <w:kern w:val="0"/>
                      <w:szCs w:val="21"/>
                      <w:highlight w:val="none"/>
                    </w:rPr>
                  </w:pPr>
                  <w:r>
                    <w:rPr>
                      <w:rFonts w:hint="eastAsia"/>
                      <w:color w:val="auto"/>
                      <w:kern w:val="0"/>
                      <w:szCs w:val="21"/>
                      <w:highlight w:val="none"/>
                    </w:rPr>
                    <w:t>有</w:t>
                  </w:r>
                  <w:r>
                    <w:rPr>
                      <w:color w:val="auto"/>
                      <w:kern w:val="0"/>
                      <w:szCs w:val="21"/>
                      <w:highlight w:val="none"/>
                    </w:rPr>
                    <w:t>组织</w:t>
                  </w:r>
                </w:p>
              </w:tc>
              <w:tc>
                <w:tcPr>
                  <w:tcW w:w="1921" w:type="dxa"/>
                  <w:vMerge w:val="restart"/>
                  <w:tcBorders>
                    <w:tl2br w:val="nil"/>
                    <w:tr2bl w:val="nil"/>
                  </w:tcBorders>
                  <w:vAlign w:val="center"/>
                </w:tcPr>
                <w:p w14:paraId="13A65771">
                  <w:pPr>
                    <w:pStyle w:val="11"/>
                    <w:jc w:val="center"/>
                    <w:rPr>
                      <w:color w:val="auto"/>
                      <w:sz w:val="21"/>
                      <w:szCs w:val="21"/>
                      <w:highlight w:val="none"/>
                    </w:rPr>
                  </w:pPr>
                  <w:r>
                    <w:rPr>
                      <w:rFonts w:hint="eastAsia"/>
                      <w:color w:val="auto"/>
                      <w:sz w:val="21"/>
                      <w:szCs w:val="21"/>
                      <w:highlight w:val="none"/>
                    </w:rPr>
                    <w:t>《水泥工业大气污染物排放标准》（GB4915-2013）</w:t>
                  </w:r>
                </w:p>
              </w:tc>
              <w:tc>
                <w:tcPr>
                  <w:tcW w:w="1769" w:type="dxa"/>
                  <w:tcBorders>
                    <w:tl2br w:val="nil"/>
                    <w:tr2bl w:val="nil"/>
                  </w:tcBorders>
                  <w:vAlign w:val="center"/>
                </w:tcPr>
                <w:p w14:paraId="0A5A2243">
                  <w:pPr>
                    <w:adjustRightInd w:val="0"/>
                    <w:snapToGrid w:val="0"/>
                    <w:jc w:val="center"/>
                    <w:rPr>
                      <w:b/>
                      <w:bCs/>
                      <w:color w:val="auto"/>
                      <w:kern w:val="0"/>
                      <w:szCs w:val="21"/>
                      <w:highlight w:val="none"/>
                    </w:rPr>
                  </w:pPr>
                  <w:r>
                    <w:rPr>
                      <w:rFonts w:hint="eastAsia"/>
                      <w:color w:val="auto"/>
                      <w:kern w:val="0"/>
                      <w:szCs w:val="21"/>
                      <w:highlight w:val="none"/>
                      <w:lang w:val="en-US" w:eastAsia="zh-CN"/>
                    </w:rPr>
                    <w:t>改性粉体</w:t>
                  </w:r>
                  <w:r>
                    <w:rPr>
                      <w:rFonts w:hint="eastAsia"/>
                      <w:color w:val="auto"/>
                      <w:kern w:val="0"/>
                      <w:szCs w:val="21"/>
                      <w:highlight w:val="none"/>
                    </w:rPr>
                    <w:t>、</w:t>
                  </w:r>
                  <w:r>
                    <w:rPr>
                      <w:rFonts w:hint="eastAsia"/>
                      <w:color w:val="auto"/>
                      <w:kern w:val="0"/>
                      <w:szCs w:val="21"/>
                      <w:highlight w:val="none"/>
                      <w:lang w:val="en-US" w:eastAsia="zh-CN"/>
                    </w:rPr>
                    <w:t>干混</w:t>
                  </w:r>
                  <w:r>
                    <w:rPr>
                      <w:rFonts w:hint="eastAsia"/>
                      <w:color w:val="auto"/>
                      <w:kern w:val="0"/>
                      <w:szCs w:val="21"/>
                      <w:highlight w:val="none"/>
                    </w:rPr>
                    <w:t>砂浆生产线粉尘排气筒（DA00</w:t>
                  </w:r>
                  <w:r>
                    <w:rPr>
                      <w:rFonts w:hint="eastAsia"/>
                      <w:color w:val="auto"/>
                      <w:kern w:val="0"/>
                      <w:szCs w:val="21"/>
                      <w:highlight w:val="none"/>
                      <w:lang w:val="en-US" w:eastAsia="zh-CN"/>
                    </w:rPr>
                    <w:t>3</w:t>
                  </w:r>
                  <w:r>
                    <w:rPr>
                      <w:rFonts w:hint="eastAsia"/>
                      <w:color w:val="auto"/>
                      <w:kern w:val="0"/>
                      <w:szCs w:val="21"/>
                      <w:highlight w:val="none"/>
                    </w:rPr>
                    <w:t>）</w:t>
                  </w:r>
                </w:p>
              </w:tc>
              <w:tc>
                <w:tcPr>
                  <w:tcW w:w="982" w:type="dxa"/>
                  <w:tcBorders>
                    <w:tl2br w:val="nil"/>
                    <w:tr2bl w:val="nil"/>
                  </w:tcBorders>
                  <w:vAlign w:val="center"/>
                </w:tcPr>
                <w:p w14:paraId="1CFC4672">
                  <w:pPr>
                    <w:adjustRightInd w:val="0"/>
                    <w:snapToGrid w:val="0"/>
                    <w:jc w:val="center"/>
                    <w:rPr>
                      <w:color w:val="auto"/>
                      <w:kern w:val="0"/>
                      <w:szCs w:val="21"/>
                      <w:highlight w:val="none"/>
                    </w:rPr>
                  </w:pPr>
                  <w:r>
                    <w:rPr>
                      <w:rFonts w:hint="eastAsia"/>
                      <w:color w:val="auto"/>
                      <w:kern w:val="0"/>
                      <w:szCs w:val="21"/>
                      <w:highlight w:val="none"/>
                    </w:rPr>
                    <w:t>20mg/m</w:t>
                  </w:r>
                  <w:r>
                    <w:rPr>
                      <w:rFonts w:hint="eastAsia"/>
                      <w:color w:val="auto"/>
                      <w:kern w:val="0"/>
                      <w:szCs w:val="21"/>
                      <w:highlight w:val="none"/>
                      <w:vertAlign w:val="superscript"/>
                    </w:rPr>
                    <w:t>3</w:t>
                  </w:r>
                </w:p>
              </w:tc>
              <w:tc>
                <w:tcPr>
                  <w:tcW w:w="1025" w:type="dxa"/>
                  <w:tcBorders>
                    <w:tl2br w:val="nil"/>
                    <w:tr2bl w:val="nil"/>
                  </w:tcBorders>
                  <w:vAlign w:val="center"/>
                </w:tcPr>
                <w:p w14:paraId="1A37A6E9">
                  <w:pPr>
                    <w:adjustRightInd w:val="0"/>
                    <w:snapToGrid w:val="0"/>
                    <w:jc w:val="center"/>
                    <w:rPr>
                      <w:color w:val="auto"/>
                      <w:kern w:val="0"/>
                      <w:szCs w:val="21"/>
                      <w:highlight w:val="none"/>
                    </w:rPr>
                  </w:pPr>
                  <w:r>
                    <w:rPr>
                      <w:rFonts w:hint="eastAsia"/>
                      <w:color w:val="auto"/>
                      <w:kern w:val="0"/>
                      <w:szCs w:val="21"/>
                      <w:highlight w:val="none"/>
                    </w:rPr>
                    <w:t>/</w:t>
                  </w:r>
                </w:p>
              </w:tc>
            </w:tr>
            <w:tr w14:paraId="18E56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30941FE5">
                  <w:pPr>
                    <w:adjustRightInd w:val="0"/>
                    <w:snapToGrid w:val="0"/>
                    <w:jc w:val="center"/>
                    <w:rPr>
                      <w:color w:val="auto"/>
                      <w:kern w:val="0"/>
                      <w:szCs w:val="21"/>
                      <w:highlight w:val="none"/>
                    </w:rPr>
                  </w:pPr>
                </w:p>
              </w:tc>
              <w:tc>
                <w:tcPr>
                  <w:tcW w:w="1080" w:type="dxa"/>
                  <w:tcBorders>
                    <w:tl2br w:val="nil"/>
                    <w:tr2bl w:val="nil"/>
                  </w:tcBorders>
                  <w:vAlign w:val="center"/>
                </w:tcPr>
                <w:p w14:paraId="521DCF82">
                  <w:pPr>
                    <w:adjustRightInd w:val="0"/>
                    <w:snapToGrid w:val="0"/>
                    <w:jc w:val="center"/>
                    <w:rPr>
                      <w:color w:val="auto"/>
                      <w:kern w:val="0"/>
                      <w:szCs w:val="21"/>
                      <w:highlight w:val="none"/>
                    </w:rPr>
                  </w:pPr>
                  <w:r>
                    <w:rPr>
                      <w:color w:val="auto"/>
                      <w:kern w:val="0"/>
                      <w:szCs w:val="21"/>
                      <w:highlight w:val="none"/>
                    </w:rPr>
                    <w:t>无组织</w:t>
                  </w:r>
                </w:p>
              </w:tc>
              <w:tc>
                <w:tcPr>
                  <w:tcW w:w="1921" w:type="dxa"/>
                  <w:vMerge w:val="continue"/>
                  <w:tcBorders>
                    <w:tl2br w:val="nil"/>
                    <w:tr2bl w:val="nil"/>
                  </w:tcBorders>
                  <w:vAlign w:val="center"/>
                </w:tcPr>
                <w:p w14:paraId="55E97B5A">
                  <w:pPr>
                    <w:pStyle w:val="11"/>
                    <w:jc w:val="center"/>
                    <w:rPr>
                      <w:color w:val="auto"/>
                      <w:sz w:val="21"/>
                      <w:szCs w:val="21"/>
                      <w:highlight w:val="none"/>
                    </w:rPr>
                  </w:pPr>
                </w:p>
              </w:tc>
              <w:tc>
                <w:tcPr>
                  <w:tcW w:w="1769" w:type="dxa"/>
                  <w:tcBorders>
                    <w:tl2br w:val="nil"/>
                    <w:tr2bl w:val="nil"/>
                  </w:tcBorders>
                  <w:vAlign w:val="center"/>
                </w:tcPr>
                <w:p w14:paraId="65D22F20">
                  <w:pPr>
                    <w:adjustRightInd w:val="0"/>
                    <w:snapToGrid w:val="0"/>
                    <w:jc w:val="center"/>
                    <w:rPr>
                      <w:color w:val="auto"/>
                      <w:kern w:val="0"/>
                      <w:szCs w:val="21"/>
                      <w:highlight w:val="none"/>
                    </w:rPr>
                  </w:pPr>
                  <w:r>
                    <w:rPr>
                      <w:rFonts w:hint="eastAsia"/>
                      <w:color w:val="auto"/>
                      <w:kern w:val="0"/>
                      <w:szCs w:val="21"/>
                      <w:highlight w:val="none"/>
                    </w:rPr>
                    <w:t>/</w:t>
                  </w:r>
                </w:p>
              </w:tc>
              <w:tc>
                <w:tcPr>
                  <w:tcW w:w="982" w:type="dxa"/>
                  <w:tcBorders>
                    <w:tl2br w:val="nil"/>
                    <w:tr2bl w:val="nil"/>
                  </w:tcBorders>
                  <w:vAlign w:val="center"/>
                </w:tcPr>
                <w:p w14:paraId="7A502DDE">
                  <w:pPr>
                    <w:adjustRightInd w:val="0"/>
                    <w:snapToGrid w:val="0"/>
                    <w:jc w:val="center"/>
                    <w:rPr>
                      <w:color w:val="auto"/>
                      <w:kern w:val="0"/>
                      <w:szCs w:val="21"/>
                      <w:highlight w:val="none"/>
                    </w:rPr>
                  </w:pPr>
                  <w:r>
                    <w:rPr>
                      <w:rFonts w:hint="eastAsia"/>
                      <w:color w:val="auto"/>
                      <w:kern w:val="0"/>
                      <w:szCs w:val="21"/>
                      <w:highlight w:val="none"/>
                    </w:rPr>
                    <w:t>0.5mg/m</w:t>
                  </w:r>
                  <w:r>
                    <w:rPr>
                      <w:rFonts w:hint="eastAsia"/>
                      <w:color w:val="auto"/>
                      <w:kern w:val="0"/>
                      <w:szCs w:val="21"/>
                      <w:highlight w:val="none"/>
                      <w:vertAlign w:val="superscript"/>
                    </w:rPr>
                    <w:t>3</w:t>
                  </w:r>
                </w:p>
              </w:tc>
              <w:tc>
                <w:tcPr>
                  <w:tcW w:w="1025" w:type="dxa"/>
                  <w:tcBorders>
                    <w:tl2br w:val="nil"/>
                    <w:tr2bl w:val="nil"/>
                  </w:tcBorders>
                  <w:vAlign w:val="center"/>
                </w:tcPr>
                <w:p w14:paraId="033E8C22">
                  <w:pPr>
                    <w:adjustRightInd w:val="0"/>
                    <w:snapToGrid w:val="0"/>
                    <w:jc w:val="center"/>
                    <w:rPr>
                      <w:color w:val="auto"/>
                      <w:kern w:val="0"/>
                      <w:szCs w:val="21"/>
                      <w:highlight w:val="none"/>
                    </w:rPr>
                  </w:pPr>
                  <w:r>
                    <w:rPr>
                      <w:rFonts w:hint="eastAsia"/>
                      <w:color w:val="auto"/>
                      <w:kern w:val="0"/>
                      <w:szCs w:val="21"/>
                      <w:highlight w:val="none"/>
                    </w:rPr>
                    <w:t>/</w:t>
                  </w:r>
                </w:p>
              </w:tc>
            </w:tr>
          </w:tbl>
          <w:p w14:paraId="723B514C">
            <w:pPr>
              <w:snapToGrid w:val="0"/>
              <w:spacing w:line="360" w:lineRule="auto"/>
              <w:ind w:firstLine="480" w:firstLineChars="200"/>
              <w:rPr>
                <w:color w:val="auto"/>
                <w:sz w:val="24"/>
                <w:highlight w:val="none"/>
              </w:rPr>
            </w:pPr>
            <w:r>
              <w:rPr>
                <w:rFonts w:hint="eastAsia"/>
                <w:color w:val="auto"/>
                <w:sz w:val="24"/>
                <w:highlight w:val="none"/>
              </w:rPr>
              <w:t>3、</w:t>
            </w:r>
            <w:r>
              <w:rPr>
                <w:rFonts w:hint="eastAsia"/>
                <w:color w:val="auto"/>
                <w:sz w:val="24"/>
                <w:highlight w:val="none"/>
                <w:lang w:val="en-US" w:eastAsia="zh-CN"/>
              </w:rPr>
              <w:t>本项目</w:t>
            </w:r>
            <w:r>
              <w:rPr>
                <w:rFonts w:hint="eastAsia"/>
                <w:color w:val="auto"/>
                <w:sz w:val="24"/>
                <w:highlight w:val="none"/>
              </w:rPr>
              <w:t>施工期噪声执行《建筑施工场界环境噪声排放标准》（GB</w:t>
            </w:r>
            <w:r>
              <w:rPr>
                <w:rFonts w:hint="eastAsia"/>
                <w:color w:val="auto"/>
                <w:sz w:val="24"/>
                <w:highlight w:val="none"/>
                <w:lang w:val="en-US" w:eastAsia="zh-CN"/>
              </w:rPr>
              <w:t xml:space="preserve"> </w:t>
            </w:r>
            <w:r>
              <w:rPr>
                <w:rFonts w:hint="eastAsia"/>
                <w:color w:val="auto"/>
                <w:sz w:val="24"/>
                <w:highlight w:val="none"/>
              </w:rPr>
              <w:t>12523-2011）中相关要求；运营期厂区噪声排放执行《工业企业厂界环境噪声排放标准》（G</w:t>
            </w:r>
            <w:r>
              <w:rPr>
                <w:color w:val="auto"/>
                <w:sz w:val="24"/>
                <w:highlight w:val="none"/>
              </w:rPr>
              <w:t>B12348-2008</w:t>
            </w:r>
            <w:r>
              <w:rPr>
                <w:rFonts w:hint="eastAsia"/>
                <w:color w:val="auto"/>
                <w:sz w:val="24"/>
                <w:highlight w:val="none"/>
              </w:rPr>
              <w:t>）表1中3类功能区的排放限值。</w:t>
            </w:r>
          </w:p>
          <w:p w14:paraId="732C2DE4">
            <w:pPr>
              <w:adjustRightInd w:val="0"/>
              <w:snapToGrid w:val="0"/>
              <w:jc w:val="center"/>
              <w:rPr>
                <w:b/>
                <w:color w:val="auto"/>
                <w:kern w:val="0"/>
                <w:szCs w:val="21"/>
                <w:highlight w:val="none"/>
              </w:rPr>
            </w:pPr>
            <w:r>
              <w:rPr>
                <w:b/>
                <w:bCs/>
                <w:color w:val="auto"/>
                <w:kern w:val="0"/>
                <w:szCs w:val="21"/>
                <w:highlight w:val="none"/>
              </w:rPr>
              <w:t>表3-</w:t>
            </w:r>
            <w:r>
              <w:rPr>
                <w:rFonts w:hint="eastAsia"/>
                <w:b/>
                <w:bCs/>
                <w:color w:val="auto"/>
                <w:kern w:val="0"/>
                <w:szCs w:val="21"/>
                <w:highlight w:val="none"/>
              </w:rPr>
              <w:t xml:space="preserve">6 </w:t>
            </w:r>
            <w:r>
              <w:rPr>
                <w:b/>
                <w:bCs/>
                <w:color w:val="auto"/>
                <w:kern w:val="0"/>
                <w:szCs w:val="21"/>
                <w:highlight w:val="none"/>
              </w:rPr>
              <w:t xml:space="preserve"> 噪声排放标准</w:t>
            </w:r>
            <w:r>
              <w:rPr>
                <w:rFonts w:hint="eastAsia"/>
                <w:b/>
                <w:bCs/>
                <w:color w:val="auto"/>
                <w:kern w:val="0"/>
                <w:szCs w:val="21"/>
                <w:highlight w:val="none"/>
              </w:rPr>
              <w:t xml:space="preserve">    单位：</w:t>
            </w:r>
            <w:r>
              <w:rPr>
                <w:b/>
                <w:bCs/>
                <w:color w:val="auto"/>
                <w:kern w:val="0"/>
                <w:szCs w:val="21"/>
                <w:highlight w:val="none"/>
              </w:rPr>
              <w:t>dB</w:t>
            </w:r>
            <w:r>
              <w:rPr>
                <w:rFonts w:hint="eastAsia"/>
                <w:b/>
                <w:bCs/>
                <w:color w:val="auto"/>
                <w:kern w:val="0"/>
                <w:szCs w:val="21"/>
                <w:highlight w:val="none"/>
              </w:rPr>
              <w:t>（A）</w:t>
            </w:r>
          </w:p>
          <w:tbl>
            <w:tblPr>
              <w:tblStyle w:val="32"/>
              <w:tblW w:w="81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1"/>
              <w:gridCol w:w="1371"/>
              <w:gridCol w:w="1371"/>
            </w:tblGrid>
            <w:tr w14:paraId="3C355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restart"/>
                  <w:tcBorders>
                    <w:tl2br w:val="nil"/>
                    <w:tr2bl w:val="nil"/>
                  </w:tcBorders>
                  <w:vAlign w:val="center"/>
                </w:tcPr>
                <w:p w14:paraId="350EA48C">
                  <w:pPr>
                    <w:adjustRightInd w:val="0"/>
                    <w:snapToGrid w:val="0"/>
                    <w:jc w:val="center"/>
                    <w:rPr>
                      <w:color w:val="auto"/>
                      <w:kern w:val="0"/>
                      <w:szCs w:val="21"/>
                      <w:highlight w:val="none"/>
                    </w:rPr>
                  </w:pPr>
                  <w:r>
                    <w:rPr>
                      <w:color w:val="auto"/>
                      <w:kern w:val="0"/>
                      <w:szCs w:val="21"/>
                      <w:highlight w:val="none"/>
                    </w:rPr>
                    <w:t>执行标准</w:t>
                  </w:r>
                </w:p>
              </w:tc>
              <w:tc>
                <w:tcPr>
                  <w:tcW w:w="2742" w:type="dxa"/>
                  <w:gridSpan w:val="2"/>
                  <w:tcBorders>
                    <w:tl2br w:val="nil"/>
                    <w:tr2bl w:val="nil"/>
                  </w:tcBorders>
                  <w:vAlign w:val="center"/>
                </w:tcPr>
                <w:p w14:paraId="3A8FC98A">
                  <w:pPr>
                    <w:adjustRightInd w:val="0"/>
                    <w:snapToGrid w:val="0"/>
                    <w:jc w:val="center"/>
                    <w:rPr>
                      <w:color w:val="auto"/>
                      <w:kern w:val="0"/>
                      <w:szCs w:val="21"/>
                      <w:highlight w:val="none"/>
                    </w:rPr>
                  </w:pPr>
                  <w:r>
                    <w:rPr>
                      <w:color w:val="auto"/>
                      <w:kern w:val="0"/>
                      <w:szCs w:val="21"/>
                      <w:highlight w:val="none"/>
                    </w:rPr>
                    <w:t>标准值</w:t>
                  </w:r>
                </w:p>
              </w:tc>
            </w:tr>
            <w:tr w14:paraId="35571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continue"/>
                  <w:tcBorders>
                    <w:tl2br w:val="nil"/>
                    <w:tr2bl w:val="nil"/>
                  </w:tcBorders>
                  <w:vAlign w:val="center"/>
                </w:tcPr>
                <w:p w14:paraId="263704F4">
                  <w:pPr>
                    <w:adjustRightInd w:val="0"/>
                    <w:snapToGrid w:val="0"/>
                    <w:jc w:val="center"/>
                    <w:rPr>
                      <w:color w:val="auto"/>
                      <w:kern w:val="0"/>
                      <w:szCs w:val="21"/>
                      <w:highlight w:val="none"/>
                    </w:rPr>
                  </w:pPr>
                </w:p>
              </w:tc>
              <w:tc>
                <w:tcPr>
                  <w:tcW w:w="1371" w:type="dxa"/>
                  <w:tcBorders>
                    <w:tl2br w:val="nil"/>
                    <w:tr2bl w:val="nil"/>
                  </w:tcBorders>
                  <w:vAlign w:val="center"/>
                </w:tcPr>
                <w:p w14:paraId="4BBD41C3">
                  <w:pPr>
                    <w:adjustRightInd w:val="0"/>
                    <w:snapToGrid w:val="0"/>
                    <w:jc w:val="center"/>
                    <w:rPr>
                      <w:color w:val="auto"/>
                      <w:kern w:val="0"/>
                      <w:szCs w:val="21"/>
                      <w:highlight w:val="none"/>
                    </w:rPr>
                  </w:pPr>
                  <w:r>
                    <w:rPr>
                      <w:color w:val="auto"/>
                      <w:kern w:val="0"/>
                      <w:szCs w:val="21"/>
                      <w:highlight w:val="none"/>
                    </w:rPr>
                    <w:t>昼间</w:t>
                  </w:r>
                </w:p>
              </w:tc>
              <w:tc>
                <w:tcPr>
                  <w:tcW w:w="1371" w:type="dxa"/>
                  <w:tcBorders>
                    <w:tl2br w:val="nil"/>
                    <w:tr2bl w:val="nil"/>
                  </w:tcBorders>
                  <w:vAlign w:val="center"/>
                </w:tcPr>
                <w:p w14:paraId="45B1CADC">
                  <w:pPr>
                    <w:adjustRightInd w:val="0"/>
                    <w:snapToGrid w:val="0"/>
                    <w:jc w:val="center"/>
                    <w:rPr>
                      <w:color w:val="auto"/>
                      <w:kern w:val="0"/>
                      <w:szCs w:val="21"/>
                      <w:highlight w:val="none"/>
                    </w:rPr>
                  </w:pPr>
                  <w:r>
                    <w:rPr>
                      <w:color w:val="auto"/>
                      <w:kern w:val="0"/>
                      <w:szCs w:val="21"/>
                      <w:highlight w:val="none"/>
                    </w:rPr>
                    <w:t>夜间</w:t>
                  </w:r>
                </w:p>
              </w:tc>
            </w:tr>
            <w:tr w14:paraId="60E12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41058E4A">
                  <w:pPr>
                    <w:adjustRightInd w:val="0"/>
                    <w:snapToGrid w:val="0"/>
                    <w:jc w:val="center"/>
                    <w:rPr>
                      <w:color w:val="auto"/>
                      <w:kern w:val="0"/>
                      <w:szCs w:val="21"/>
                      <w:highlight w:val="none"/>
                    </w:rPr>
                  </w:pPr>
                  <w:r>
                    <w:rPr>
                      <w:color w:val="auto"/>
                      <w:kern w:val="0"/>
                      <w:szCs w:val="21"/>
                      <w:highlight w:val="none"/>
                    </w:rPr>
                    <w:t>《</w:t>
                  </w:r>
                  <w:r>
                    <w:rPr>
                      <w:rFonts w:hint="eastAsia"/>
                      <w:color w:val="auto"/>
                      <w:kern w:val="0"/>
                      <w:szCs w:val="21"/>
                      <w:highlight w:val="none"/>
                    </w:rPr>
                    <w:t>建筑施工场界环境噪声排放标准</w:t>
                  </w:r>
                  <w:r>
                    <w:rPr>
                      <w:color w:val="auto"/>
                      <w:kern w:val="0"/>
                      <w:szCs w:val="21"/>
                      <w:highlight w:val="none"/>
                    </w:rPr>
                    <w:t>》（</w:t>
                  </w:r>
                  <w:r>
                    <w:rPr>
                      <w:color w:val="auto"/>
                      <w:szCs w:val="21"/>
                      <w:highlight w:val="none"/>
                    </w:rPr>
                    <w:t>GB12523</w:t>
                  </w:r>
                  <w:r>
                    <w:rPr>
                      <w:rFonts w:hint="eastAsia"/>
                      <w:color w:val="auto"/>
                      <w:szCs w:val="21"/>
                      <w:highlight w:val="none"/>
                    </w:rPr>
                    <w:t>-</w:t>
                  </w:r>
                  <w:r>
                    <w:rPr>
                      <w:color w:val="auto"/>
                      <w:szCs w:val="21"/>
                      <w:highlight w:val="none"/>
                    </w:rPr>
                    <w:t>2011</w:t>
                  </w:r>
                  <w:r>
                    <w:rPr>
                      <w:color w:val="auto"/>
                      <w:kern w:val="0"/>
                      <w:szCs w:val="21"/>
                      <w:highlight w:val="none"/>
                    </w:rPr>
                    <w:t>）</w:t>
                  </w:r>
                </w:p>
              </w:tc>
              <w:tc>
                <w:tcPr>
                  <w:tcW w:w="1371" w:type="dxa"/>
                  <w:tcBorders>
                    <w:tl2br w:val="nil"/>
                    <w:tr2bl w:val="nil"/>
                  </w:tcBorders>
                  <w:vAlign w:val="center"/>
                </w:tcPr>
                <w:p w14:paraId="735BD761">
                  <w:pPr>
                    <w:adjustRightInd w:val="0"/>
                    <w:snapToGrid w:val="0"/>
                    <w:jc w:val="center"/>
                    <w:rPr>
                      <w:color w:val="auto"/>
                      <w:kern w:val="0"/>
                      <w:szCs w:val="21"/>
                      <w:highlight w:val="none"/>
                    </w:rPr>
                  </w:pPr>
                  <w:r>
                    <w:rPr>
                      <w:rFonts w:hint="eastAsia"/>
                      <w:color w:val="auto"/>
                      <w:kern w:val="0"/>
                      <w:szCs w:val="21"/>
                      <w:highlight w:val="none"/>
                    </w:rPr>
                    <w:t>70</w:t>
                  </w:r>
                </w:p>
              </w:tc>
              <w:tc>
                <w:tcPr>
                  <w:tcW w:w="1371" w:type="dxa"/>
                  <w:tcBorders>
                    <w:tl2br w:val="nil"/>
                    <w:tr2bl w:val="nil"/>
                  </w:tcBorders>
                  <w:vAlign w:val="center"/>
                </w:tcPr>
                <w:p w14:paraId="102FAE40">
                  <w:pPr>
                    <w:adjustRightInd w:val="0"/>
                    <w:snapToGrid w:val="0"/>
                    <w:jc w:val="center"/>
                    <w:rPr>
                      <w:color w:val="auto"/>
                      <w:kern w:val="0"/>
                      <w:szCs w:val="21"/>
                      <w:highlight w:val="none"/>
                    </w:rPr>
                  </w:pPr>
                  <w:r>
                    <w:rPr>
                      <w:rFonts w:hint="eastAsia"/>
                      <w:color w:val="auto"/>
                      <w:kern w:val="0"/>
                      <w:szCs w:val="21"/>
                      <w:highlight w:val="none"/>
                    </w:rPr>
                    <w:t>55</w:t>
                  </w:r>
                </w:p>
              </w:tc>
            </w:tr>
            <w:tr w14:paraId="12A89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5767F9EE">
                  <w:pPr>
                    <w:adjustRightInd w:val="0"/>
                    <w:snapToGrid w:val="0"/>
                    <w:jc w:val="center"/>
                    <w:rPr>
                      <w:color w:val="auto"/>
                      <w:kern w:val="0"/>
                      <w:szCs w:val="21"/>
                      <w:highlight w:val="none"/>
                    </w:rPr>
                  </w:pPr>
                  <w:r>
                    <w:rPr>
                      <w:color w:val="auto"/>
                      <w:kern w:val="0"/>
                      <w:szCs w:val="21"/>
                      <w:highlight w:val="none"/>
                    </w:rPr>
                    <w:t>《工业企业厂界环境噪声排放标准》（GB12348-2008）</w:t>
                  </w:r>
                </w:p>
              </w:tc>
              <w:tc>
                <w:tcPr>
                  <w:tcW w:w="1371" w:type="dxa"/>
                  <w:tcBorders>
                    <w:tl2br w:val="nil"/>
                    <w:tr2bl w:val="nil"/>
                  </w:tcBorders>
                  <w:vAlign w:val="center"/>
                </w:tcPr>
                <w:p w14:paraId="78E1EEBD">
                  <w:pPr>
                    <w:adjustRightInd w:val="0"/>
                    <w:snapToGrid w:val="0"/>
                    <w:jc w:val="center"/>
                    <w:rPr>
                      <w:color w:val="auto"/>
                      <w:kern w:val="0"/>
                      <w:szCs w:val="21"/>
                      <w:highlight w:val="none"/>
                    </w:rPr>
                  </w:pPr>
                  <w:r>
                    <w:rPr>
                      <w:rFonts w:hint="eastAsia"/>
                      <w:color w:val="auto"/>
                      <w:kern w:val="0"/>
                      <w:szCs w:val="21"/>
                      <w:highlight w:val="none"/>
                    </w:rPr>
                    <w:t>65</w:t>
                  </w:r>
                </w:p>
              </w:tc>
              <w:tc>
                <w:tcPr>
                  <w:tcW w:w="1371" w:type="dxa"/>
                  <w:tcBorders>
                    <w:tl2br w:val="nil"/>
                    <w:tr2bl w:val="nil"/>
                  </w:tcBorders>
                  <w:vAlign w:val="center"/>
                </w:tcPr>
                <w:p w14:paraId="151560C1">
                  <w:pPr>
                    <w:adjustRightInd w:val="0"/>
                    <w:snapToGrid w:val="0"/>
                    <w:jc w:val="center"/>
                    <w:rPr>
                      <w:color w:val="auto"/>
                      <w:kern w:val="0"/>
                      <w:szCs w:val="21"/>
                      <w:highlight w:val="none"/>
                    </w:rPr>
                  </w:pPr>
                  <w:r>
                    <w:rPr>
                      <w:color w:val="auto"/>
                      <w:kern w:val="0"/>
                      <w:szCs w:val="21"/>
                      <w:highlight w:val="none"/>
                    </w:rPr>
                    <w:t>5</w:t>
                  </w:r>
                  <w:r>
                    <w:rPr>
                      <w:rFonts w:hint="eastAsia"/>
                      <w:color w:val="auto"/>
                      <w:kern w:val="0"/>
                      <w:szCs w:val="21"/>
                      <w:highlight w:val="none"/>
                    </w:rPr>
                    <w:t>5</w:t>
                  </w:r>
                </w:p>
              </w:tc>
            </w:tr>
          </w:tbl>
          <w:p w14:paraId="1DAAB0B5">
            <w:pPr>
              <w:spacing w:line="360" w:lineRule="auto"/>
              <w:ind w:firstLine="480" w:firstLineChars="200"/>
              <w:jc w:val="left"/>
              <w:rPr>
                <w:rFonts w:ascii="宋体" w:hAnsi="宋体" w:cs="宋体"/>
                <w:color w:val="auto"/>
                <w:kern w:val="0"/>
                <w:szCs w:val="21"/>
                <w:highlight w:val="none"/>
              </w:rPr>
            </w:pPr>
            <w:r>
              <w:rPr>
                <w:rFonts w:hint="eastAsia"/>
                <w:color w:val="auto"/>
                <w:sz w:val="24"/>
                <w:highlight w:val="none"/>
              </w:rPr>
              <w:t>4、厂区运营期</w:t>
            </w:r>
            <w:r>
              <w:rPr>
                <w:color w:val="auto"/>
                <w:kern w:val="0"/>
                <w:sz w:val="24"/>
                <w:highlight w:val="none"/>
              </w:rPr>
              <w:t>一般工业固体废物的贮存、处置执行《一般工业固体废物贮存和填埋污染控制标准》（GB18599-2020）中的相关规定；</w:t>
            </w:r>
            <w:r>
              <w:rPr>
                <w:rFonts w:hint="eastAsia"/>
                <w:color w:val="auto"/>
                <w:sz w:val="24"/>
                <w:highlight w:val="none"/>
              </w:rPr>
              <w:t>危险废物贮存、处置执行《危险废物贮存污染控制标准》（GB18597-2023）中有关规定。</w:t>
            </w:r>
          </w:p>
        </w:tc>
      </w:tr>
      <w:tr w14:paraId="44FE4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4" w:hRule="atLeast"/>
          <w:jc w:val="center"/>
        </w:trPr>
        <w:tc>
          <w:tcPr>
            <w:tcW w:w="678" w:type="dxa"/>
            <w:vAlign w:val="center"/>
          </w:tcPr>
          <w:p w14:paraId="63BFD7EE">
            <w:pPr>
              <w:adjustRightInd w:val="0"/>
              <w:snapToGrid w:val="0"/>
              <w:jc w:val="center"/>
              <w:rPr>
                <w:rFonts w:hint="eastAsia" w:ascii="宋体" w:hAnsi="宋体" w:cs="宋体"/>
                <w:color w:val="auto"/>
                <w:kern w:val="0"/>
                <w:sz w:val="24"/>
                <w:highlight w:val="none"/>
              </w:rPr>
            </w:pPr>
          </w:p>
          <w:p w14:paraId="2963725A">
            <w:pPr>
              <w:adjustRightInd w:val="0"/>
              <w:snapToGrid w:val="0"/>
              <w:jc w:val="center"/>
              <w:rPr>
                <w:rFonts w:hint="eastAsia" w:ascii="宋体" w:hAnsi="宋体" w:cs="宋体"/>
                <w:color w:val="auto"/>
                <w:kern w:val="0"/>
                <w:sz w:val="24"/>
                <w:highlight w:val="none"/>
              </w:rPr>
            </w:pPr>
          </w:p>
          <w:p w14:paraId="70E45500">
            <w:pPr>
              <w:adjustRightInd w:val="0"/>
              <w:snapToGrid w:val="0"/>
              <w:jc w:val="center"/>
              <w:rPr>
                <w:rFonts w:hint="eastAsia" w:ascii="宋体" w:hAnsi="宋体" w:cs="宋体"/>
                <w:color w:val="auto"/>
                <w:kern w:val="0"/>
                <w:sz w:val="24"/>
                <w:highlight w:val="none"/>
              </w:rPr>
            </w:pPr>
          </w:p>
          <w:p w14:paraId="678727EB">
            <w:pPr>
              <w:adjustRightInd w:val="0"/>
              <w:snapToGrid w:val="0"/>
              <w:jc w:val="center"/>
              <w:rPr>
                <w:rFonts w:hint="eastAsia" w:ascii="宋体" w:hAnsi="宋体" w:cs="宋体"/>
                <w:color w:val="auto"/>
                <w:kern w:val="0"/>
                <w:sz w:val="24"/>
                <w:highlight w:val="none"/>
              </w:rPr>
            </w:pPr>
          </w:p>
          <w:p w14:paraId="0F09BBC3">
            <w:pPr>
              <w:adjustRightInd w:val="0"/>
              <w:snapToGrid w:val="0"/>
              <w:jc w:val="center"/>
              <w:rPr>
                <w:rFonts w:hint="eastAsia" w:ascii="宋体" w:hAnsi="宋体" w:cs="宋体"/>
                <w:color w:val="auto"/>
                <w:kern w:val="0"/>
                <w:sz w:val="24"/>
                <w:highlight w:val="none"/>
              </w:rPr>
            </w:pPr>
          </w:p>
          <w:p w14:paraId="0B22E123">
            <w:pPr>
              <w:adjustRightInd w:val="0"/>
              <w:snapToGrid w:val="0"/>
              <w:jc w:val="center"/>
              <w:rPr>
                <w:rFonts w:hint="eastAsia" w:ascii="宋体" w:hAnsi="宋体" w:cs="宋体"/>
                <w:color w:val="auto"/>
                <w:kern w:val="0"/>
                <w:sz w:val="24"/>
                <w:highlight w:val="none"/>
              </w:rPr>
            </w:pPr>
          </w:p>
          <w:p w14:paraId="42ABDEE6">
            <w:pPr>
              <w:adjustRightInd w:val="0"/>
              <w:snapToGrid w:val="0"/>
              <w:jc w:val="center"/>
              <w:rPr>
                <w:rFonts w:hint="eastAsia" w:ascii="宋体" w:hAnsi="宋体" w:cs="宋体"/>
                <w:color w:val="auto"/>
                <w:kern w:val="0"/>
                <w:sz w:val="24"/>
                <w:highlight w:val="none"/>
              </w:rPr>
            </w:pPr>
          </w:p>
          <w:p w14:paraId="07C117C1">
            <w:pPr>
              <w:adjustRightInd w:val="0"/>
              <w:snapToGrid w:val="0"/>
              <w:jc w:val="center"/>
              <w:rPr>
                <w:rFonts w:hint="eastAsia" w:ascii="宋体" w:hAnsi="宋体" w:cs="宋体"/>
                <w:color w:val="auto"/>
                <w:kern w:val="0"/>
                <w:sz w:val="24"/>
                <w:highlight w:val="none"/>
              </w:rPr>
            </w:pPr>
          </w:p>
          <w:p w14:paraId="6370AE16">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总</w:t>
            </w:r>
          </w:p>
          <w:p w14:paraId="2A7961A0">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量</w:t>
            </w:r>
          </w:p>
          <w:p w14:paraId="3A182CF2">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控</w:t>
            </w:r>
          </w:p>
          <w:p w14:paraId="1A12B739">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w:t>
            </w:r>
          </w:p>
          <w:p w14:paraId="011E0B58">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指标</w:t>
            </w:r>
          </w:p>
          <w:p w14:paraId="2FCBE4A8">
            <w:pPr>
              <w:pStyle w:val="40"/>
              <w:rPr>
                <w:rFonts w:hint="eastAsia"/>
              </w:rPr>
            </w:pPr>
          </w:p>
          <w:p w14:paraId="4F296E44">
            <w:pPr>
              <w:pStyle w:val="41"/>
              <w:rPr>
                <w:rFonts w:hint="eastAsia" w:ascii="宋体" w:hAnsi="宋体" w:cs="宋体"/>
                <w:color w:val="auto"/>
                <w:kern w:val="0"/>
                <w:sz w:val="24"/>
                <w:highlight w:val="none"/>
              </w:rPr>
            </w:pPr>
          </w:p>
          <w:p w14:paraId="2E3FDAB1">
            <w:pPr>
              <w:pStyle w:val="43"/>
              <w:rPr>
                <w:rFonts w:hint="eastAsia" w:ascii="宋体" w:hAnsi="宋体" w:cs="宋体"/>
                <w:color w:val="auto"/>
                <w:kern w:val="0"/>
                <w:sz w:val="24"/>
                <w:highlight w:val="none"/>
              </w:rPr>
            </w:pPr>
          </w:p>
          <w:p w14:paraId="45E1FCD8">
            <w:pPr>
              <w:rPr>
                <w:rFonts w:hint="eastAsia" w:ascii="宋体" w:hAnsi="宋体" w:cs="宋体"/>
                <w:color w:val="auto"/>
                <w:kern w:val="0"/>
                <w:sz w:val="24"/>
                <w:highlight w:val="none"/>
              </w:rPr>
            </w:pPr>
          </w:p>
          <w:p w14:paraId="1ABC559C">
            <w:pPr>
              <w:pStyle w:val="41"/>
              <w:rPr>
                <w:rFonts w:hint="eastAsia" w:ascii="宋体" w:hAnsi="宋体" w:cs="宋体"/>
                <w:color w:val="auto"/>
                <w:kern w:val="0"/>
                <w:sz w:val="24"/>
                <w:highlight w:val="none"/>
              </w:rPr>
            </w:pPr>
          </w:p>
          <w:p w14:paraId="3E773D69">
            <w:pPr>
              <w:pStyle w:val="43"/>
              <w:rPr>
                <w:rFonts w:hint="eastAsia" w:ascii="宋体" w:hAnsi="宋体" w:cs="宋体"/>
                <w:color w:val="auto"/>
                <w:kern w:val="0"/>
                <w:sz w:val="24"/>
                <w:highlight w:val="none"/>
              </w:rPr>
            </w:pPr>
          </w:p>
          <w:p w14:paraId="78CA7EF2">
            <w:pPr>
              <w:rPr>
                <w:rFonts w:hint="eastAsia" w:ascii="宋体" w:hAnsi="宋体" w:cs="宋体"/>
                <w:color w:val="auto"/>
                <w:kern w:val="0"/>
                <w:sz w:val="24"/>
                <w:highlight w:val="none"/>
              </w:rPr>
            </w:pPr>
          </w:p>
          <w:p w14:paraId="3EE38346">
            <w:pPr>
              <w:pStyle w:val="43"/>
              <w:ind w:left="0" w:leftChars="0" w:firstLine="0" w:firstLineChars="0"/>
            </w:pPr>
          </w:p>
        </w:tc>
        <w:tc>
          <w:tcPr>
            <w:tcW w:w="8312" w:type="dxa"/>
            <w:vAlign w:val="center"/>
          </w:tcPr>
          <w:p w14:paraId="1B2CD5B9">
            <w:pPr>
              <w:pStyle w:val="46"/>
              <w:rPr>
                <w:rFonts w:hAnsi="宋体"/>
                <w:color w:val="auto"/>
                <w:szCs w:val="21"/>
                <w:highlight w:val="none"/>
              </w:rPr>
            </w:pPr>
          </w:p>
          <w:p w14:paraId="25DEAF31">
            <w:pPr>
              <w:pStyle w:val="46"/>
              <w:rPr>
                <w:rFonts w:hAnsi="宋体"/>
                <w:color w:val="auto"/>
                <w:szCs w:val="21"/>
                <w:highlight w:val="none"/>
              </w:rPr>
            </w:pPr>
          </w:p>
          <w:p w14:paraId="6D041F12">
            <w:pPr>
              <w:pStyle w:val="46"/>
              <w:jc w:val="center"/>
              <w:rPr>
                <w:rFonts w:hAnsi="宋体"/>
                <w:color w:val="auto"/>
                <w:szCs w:val="21"/>
                <w:highlight w:val="none"/>
              </w:rPr>
            </w:pPr>
            <w:r>
              <w:rPr>
                <w:rFonts w:hint="eastAsia" w:hAnsi="宋体"/>
                <w:color w:val="auto"/>
                <w:szCs w:val="21"/>
                <w:highlight w:val="none"/>
              </w:rPr>
              <w:t>无</w:t>
            </w:r>
          </w:p>
          <w:p w14:paraId="116731D4">
            <w:pPr>
              <w:pStyle w:val="46"/>
              <w:rPr>
                <w:rFonts w:hAnsi="宋体"/>
                <w:color w:val="auto"/>
                <w:szCs w:val="21"/>
                <w:highlight w:val="none"/>
              </w:rPr>
            </w:pPr>
          </w:p>
          <w:p w14:paraId="23184724">
            <w:pPr>
              <w:pStyle w:val="46"/>
              <w:rPr>
                <w:rFonts w:hAnsi="宋体"/>
                <w:color w:val="auto"/>
                <w:szCs w:val="21"/>
                <w:highlight w:val="none"/>
              </w:rPr>
            </w:pPr>
          </w:p>
        </w:tc>
      </w:tr>
    </w:tbl>
    <w:p w14:paraId="12CEA542">
      <w:pPr>
        <w:pStyle w:val="26"/>
        <w:spacing w:before="0" w:beforeAutospacing="0" w:after="0" w:afterAutospacing="0"/>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32"/>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0"/>
        <w:gridCol w:w="8620"/>
      </w:tblGrid>
      <w:tr w14:paraId="5C070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60" w:type="dxa"/>
            <w:tcMar>
              <w:left w:w="28" w:type="dxa"/>
              <w:right w:w="28" w:type="dxa"/>
            </w:tcMar>
            <w:vAlign w:val="center"/>
          </w:tcPr>
          <w:p w14:paraId="33030F7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 w:val="24"/>
                <w:highlight w:val="none"/>
              </w:rPr>
              <w:t>施工期环境保护措施</w:t>
            </w:r>
          </w:p>
        </w:tc>
        <w:tc>
          <w:tcPr>
            <w:tcW w:w="8620" w:type="dxa"/>
            <w:vAlign w:val="center"/>
          </w:tcPr>
          <w:p w14:paraId="11E72FAC">
            <w:pPr>
              <w:topLinePunct/>
              <w:adjustRightInd w:val="0"/>
              <w:snapToGrid w:val="0"/>
              <w:spacing w:line="360" w:lineRule="auto"/>
              <w:ind w:firstLine="472" w:firstLineChars="196"/>
              <w:rPr>
                <w:rFonts w:hint="default" w:ascii="Times New Roman" w:hAnsi="Times New Roman" w:cs="Times New Roman"/>
                <w:b/>
                <w:kern w:val="0"/>
                <w:sz w:val="24"/>
                <w:szCs w:val="20"/>
                <w:highlight w:val="none"/>
              </w:rPr>
            </w:pPr>
            <w:r>
              <w:rPr>
                <w:rFonts w:hint="default" w:ascii="Times New Roman" w:hAnsi="Times New Roman" w:cs="Times New Roman"/>
                <w:b/>
                <w:kern w:val="0"/>
                <w:sz w:val="24"/>
                <w:szCs w:val="20"/>
                <w:highlight w:val="none"/>
                <w:lang w:bidi="ar"/>
              </w:rPr>
              <w:t>一、废气环境保护措施</w:t>
            </w:r>
          </w:p>
          <w:p w14:paraId="59A592B5">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bidi="ar"/>
              </w:rPr>
              <w:t>施工期废气主要为施工粉尘、焊接废气、道路扬尘、运输车辆尾气等。</w:t>
            </w:r>
          </w:p>
          <w:p w14:paraId="5F212EEC">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bidi="ar"/>
              </w:rPr>
              <w:t>施工期废气防治措施：</w:t>
            </w:r>
          </w:p>
          <w:p w14:paraId="085CDABE">
            <w:pPr>
              <w:spacing w:line="360" w:lineRule="auto"/>
              <w:ind w:firstLine="480" w:firstLineChars="200"/>
              <w:rPr>
                <w:rFonts w:hint="default" w:ascii="Times New Roman" w:hAnsi="Times New Roman" w:cs="Times New Roman"/>
                <w:bCs/>
                <w:sz w:val="24"/>
                <w:highlight w:val="none"/>
              </w:rPr>
            </w:pPr>
            <w:r>
              <w:rPr>
                <w:rFonts w:hint="default" w:ascii="Times New Roman" w:hAnsi="Times New Roman" w:cs="Times New Roman"/>
                <w:bCs/>
                <w:sz w:val="24"/>
                <w:highlight w:val="none"/>
                <w:lang w:bidi="ar"/>
              </w:rPr>
              <w:t>1、扬尘</w:t>
            </w:r>
          </w:p>
          <w:p w14:paraId="50D0C36B">
            <w:pPr>
              <w:spacing w:line="360" w:lineRule="auto"/>
              <w:ind w:firstLine="480" w:firstLineChars="200"/>
              <w:rPr>
                <w:rFonts w:hint="default" w:ascii="Times New Roman" w:hAnsi="Times New Roman" w:cs="Times New Roman"/>
                <w:bCs/>
                <w:kern w:val="0"/>
                <w:sz w:val="24"/>
                <w:highlight w:val="none"/>
                <w:lang w:bidi="ar"/>
              </w:rPr>
            </w:pPr>
            <w:r>
              <w:rPr>
                <w:rFonts w:hint="default" w:ascii="Times New Roman" w:hAnsi="Times New Roman" w:cs="Times New Roman"/>
                <w:bCs/>
                <w:sz w:val="24"/>
                <w:highlight w:val="none"/>
                <w:lang w:eastAsia="zh-CN" w:bidi="ar"/>
              </w:rPr>
              <w:t>（</w:t>
            </w:r>
            <w:r>
              <w:rPr>
                <w:rFonts w:hint="default" w:ascii="Times New Roman" w:hAnsi="Times New Roman" w:cs="Times New Roman"/>
                <w:bCs/>
                <w:sz w:val="24"/>
                <w:highlight w:val="none"/>
                <w:lang w:val="en-US" w:eastAsia="zh-CN" w:bidi="ar"/>
              </w:rPr>
              <w:t>1</w:t>
            </w:r>
            <w:r>
              <w:rPr>
                <w:rFonts w:hint="default" w:ascii="Times New Roman" w:hAnsi="Times New Roman" w:cs="Times New Roman"/>
                <w:bCs/>
                <w:sz w:val="24"/>
                <w:highlight w:val="none"/>
                <w:lang w:eastAsia="zh-CN" w:bidi="ar"/>
              </w:rPr>
              <w:t>）</w:t>
            </w:r>
            <w:r>
              <w:rPr>
                <w:rFonts w:hint="default" w:ascii="Times New Roman" w:hAnsi="Times New Roman" w:cs="Times New Roman"/>
                <w:bCs/>
                <w:kern w:val="0"/>
                <w:sz w:val="24"/>
                <w:highlight w:val="none"/>
                <w:lang w:bidi="ar"/>
              </w:rPr>
              <w:t>堆存、装卸、运输砂土等易产生扬尘的作业，应当采取遮盖、封闭、喷淋、围挡等措施，防止</w:t>
            </w:r>
            <w:r>
              <w:rPr>
                <w:rFonts w:hint="eastAsia" w:cs="Times New Roman"/>
                <w:bCs/>
                <w:kern w:val="0"/>
                <w:sz w:val="24"/>
                <w:highlight w:val="none"/>
                <w:lang w:eastAsia="zh-CN" w:bidi="ar"/>
              </w:rPr>
              <w:t>抛撒</w:t>
            </w:r>
            <w:r>
              <w:rPr>
                <w:rFonts w:hint="default" w:ascii="Times New Roman" w:hAnsi="Times New Roman" w:cs="Times New Roman"/>
                <w:bCs/>
                <w:kern w:val="0"/>
                <w:sz w:val="24"/>
                <w:highlight w:val="none"/>
                <w:lang w:bidi="ar"/>
              </w:rPr>
              <w:t>、扬尘；</w:t>
            </w:r>
          </w:p>
          <w:p w14:paraId="146DE43C">
            <w:pPr>
              <w:spacing w:line="360" w:lineRule="auto"/>
              <w:ind w:firstLine="480" w:firstLineChars="200"/>
              <w:rPr>
                <w:rFonts w:hint="default" w:ascii="Times New Roman" w:hAnsi="Times New Roman" w:eastAsia="宋体" w:cs="Times New Roman"/>
                <w:bCs/>
                <w:kern w:val="0"/>
                <w:sz w:val="24"/>
                <w:highlight w:val="none"/>
                <w:lang w:val="en-US" w:eastAsia="zh-CN" w:bidi="ar"/>
              </w:rPr>
            </w:pPr>
            <w:r>
              <w:rPr>
                <w:rFonts w:hint="default" w:ascii="Times New Roman" w:hAnsi="Times New Roman" w:cs="Times New Roman"/>
                <w:bCs/>
                <w:kern w:val="0"/>
                <w:sz w:val="24"/>
                <w:highlight w:val="none"/>
                <w:lang w:eastAsia="zh-CN" w:bidi="ar"/>
              </w:rPr>
              <w:t>（</w:t>
            </w:r>
            <w:r>
              <w:rPr>
                <w:rFonts w:hint="default" w:ascii="Times New Roman" w:hAnsi="Times New Roman" w:cs="Times New Roman"/>
                <w:bCs/>
                <w:kern w:val="0"/>
                <w:sz w:val="24"/>
                <w:highlight w:val="none"/>
                <w:lang w:val="en-US" w:eastAsia="zh-CN" w:bidi="ar"/>
              </w:rPr>
              <w:t>2</w:t>
            </w:r>
            <w:r>
              <w:rPr>
                <w:rFonts w:hint="default" w:ascii="Times New Roman" w:hAnsi="Times New Roman" w:cs="Times New Roman"/>
                <w:bCs/>
                <w:kern w:val="0"/>
                <w:sz w:val="24"/>
                <w:highlight w:val="none"/>
                <w:lang w:eastAsia="zh-CN" w:bidi="ar"/>
              </w:rPr>
              <w:t>）</w:t>
            </w:r>
            <w:r>
              <w:rPr>
                <w:rFonts w:hint="default" w:ascii="Times New Roman" w:hAnsi="Times New Roman" w:cs="Times New Roman"/>
                <w:bCs/>
                <w:kern w:val="0"/>
                <w:sz w:val="24"/>
                <w:highlight w:val="none"/>
                <w:lang w:bidi="ar"/>
              </w:rPr>
              <w:t>施工现场主要道路需进行硬化处理，其余场地必须绿化或固化</w:t>
            </w:r>
            <w:r>
              <w:rPr>
                <w:rFonts w:hint="default" w:ascii="Times New Roman" w:hAnsi="Times New Roman" w:cs="Times New Roman"/>
                <w:bCs/>
                <w:kern w:val="0"/>
                <w:sz w:val="24"/>
                <w:highlight w:val="none"/>
                <w:lang w:eastAsia="zh-CN" w:bidi="ar"/>
              </w:rPr>
              <w:t>。</w:t>
            </w:r>
          </w:p>
          <w:p w14:paraId="49D832EE">
            <w:pPr>
              <w:adjustRightInd w:val="0"/>
              <w:snapToGrid w:val="0"/>
              <w:spacing w:line="360" w:lineRule="auto"/>
              <w:ind w:firstLine="480" w:firstLineChars="200"/>
              <w:rPr>
                <w:rFonts w:hint="default" w:ascii="Times New Roman" w:hAnsi="Times New Roman" w:cs="Times New Roman"/>
                <w:bCs/>
                <w:color w:val="000000"/>
                <w:spacing w:val="-10"/>
                <w:sz w:val="24"/>
                <w:highlight w:val="none"/>
              </w:rPr>
            </w:pPr>
            <w:r>
              <w:rPr>
                <w:rFonts w:hint="default" w:ascii="Times New Roman" w:hAnsi="Times New Roman" w:cs="Times New Roman"/>
                <w:bCs/>
                <w:kern w:val="0"/>
                <w:sz w:val="24"/>
                <w:highlight w:val="none"/>
                <w:lang w:bidi="ar"/>
              </w:rPr>
              <w:t>2、</w:t>
            </w:r>
            <w:r>
              <w:rPr>
                <w:rFonts w:hint="default" w:ascii="Times New Roman" w:hAnsi="Times New Roman" w:cs="Times New Roman"/>
                <w:bCs/>
                <w:color w:val="000000"/>
                <w:spacing w:val="-10"/>
                <w:sz w:val="24"/>
                <w:highlight w:val="none"/>
              </w:rPr>
              <w:t>焊接废气</w:t>
            </w:r>
          </w:p>
          <w:p w14:paraId="3306E0BD">
            <w:pPr>
              <w:adjustRightInd w:val="0"/>
              <w:snapToGrid w:val="0"/>
              <w:spacing w:line="360" w:lineRule="auto"/>
              <w:ind w:firstLine="440" w:firstLineChars="200"/>
              <w:rPr>
                <w:rFonts w:hint="default" w:ascii="Times New Roman" w:hAnsi="Times New Roman" w:cs="Times New Roman"/>
                <w:highlight w:val="none"/>
              </w:rPr>
            </w:pPr>
            <w:r>
              <w:rPr>
                <w:rFonts w:hint="default" w:ascii="Times New Roman" w:hAnsi="Times New Roman" w:cs="Times New Roman"/>
                <w:bCs/>
                <w:color w:val="000000"/>
                <w:spacing w:val="-10"/>
                <w:sz w:val="24"/>
                <w:highlight w:val="none"/>
              </w:rPr>
              <w:t>钢结构</w:t>
            </w:r>
            <w:r>
              <w:rPr>
                <w:rFonts w:hint="default" w:ascii="Times New Roman" w:hAnsi="Times New Roman" w:cs="Times New Roman"/>
                <w:bCs/>
                <w:color w:val="000000"/>
                <w:spacing w:val="-10"/>
                <w:sz w:val="24"/>
                <w:highlight w:val="none"/>
                <w:lang w:val="en-US" w:eastAsia="zh-CN"/>
              </w:rPr>
              <w:t>厂房</w:t>
            </w:r>
            <w:r>
              <w:rPr>
                <w:rFonts w:hint="default" w:ascii="Times New Roman" w:hAnsi="Times New Roman" w:cs="Times New Roman"/>
                <w:bCs/>
                <w:color w:val="000000"/>
                <w:spacing w:val="-10"/>
                <w:sz w:val="24"/>
                <w:highlight w:val="none"/>
              </w:rPr>
              <w:t>焊接过程中会产生焊接烟尘，由于焊接过程为间歇性，焊接烟尘产生量较小，且厂房离住户较远，自然流通后对外环境影响较小。</w:t>
            </w:r>
          </w:p>
          <w:p w14:paraId="67305AA7">
            <w:pPr>
              <w:adjustRightInd w:val="0"/>
              <w:snapToGrid w:val="0"/>
              <w:spacing w:line="360" w:lineRule="auto"/>
              <w:ind w:firstLine="440" w:firstLineChars="200"/>
              <w:rPr>
                <w:rFonts w:hint="default" w:ascii="Times New Roman" w:hAnsi="Times New Roman" w:cs="Times New Roman"/>
                <w:bCs/>
                <w:kern w:val="0"/>
                <w:sz w:val="24"/>
                <w:highlight w:val="none"/>
                <w:lang w:bidi="ar"/>
              </w:rPr>
            </w:pPr>
            <w:r>
              <w:rPr>
                <w:rFonts w:hint="default" w:ascii="Times New Roman" w:hAnsi="Times New Roman" w:cs="Times New Roman"/>
                <w:bCs/>
                <w:color w:val="000000"/>
                <w:spacing w:val="-10"/>
                <w:sz w:val="24"/>
                <w:highlight w:val="none"/>
              </w:rPr>
              <w:t>3、</w:t>
            </w:r>
            <w:r>
              <w:rPr>
                <w:rFonts w:hint="default" w:ascii="Times New Roman" w:hAnsi="Times New Roman" w:cs="Times New Roman"/>
                <w:bCs/>
                <w:kern w:val="0"/>
                <w:sz w:val="24"/>
                <w:highlight w:val="none"/>
                <w:lang w:bidi="ar"/>
              </w:rPr>
              <w:t>施工机械、车辆尾气</w:t>
            </w:r>
          </w:p>
          <w:p w14:paraId="0B6C93A6">
            <w:pPr>
              <w:widowControl/>
              <w:spacing w:line="360" w:lineRule="auto"/>
              <w:ind w:firstLine="480" w:firstLineChars="200"/>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运输车辆禁止超载，不得使用劣质燃料；对车辆的尾气排放应进行监督管理，严格执行汽车排污监管办法相关规定。</w:t>
            </w:r>
          </w:p>
          <w:p w14:paraId="3035066A">
            <w:pPr>
              <w:widowControl/>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kern w:val="0"/>
                <w:sz w:val="24"/>
                <w:highlight w:val="none"/>
                <w:lang w:bidi="ar"/>
              </w:rPr>
              <w:t>采取以上防护措施后，可减轻工程建设对施工区域环境空气质量的影响。</w:t>
            </w:r>
          </w:p>
          <w:p w14:paraId="115ADEFB">
            <w:pPr>
              <w:widowControl/>
              <w:spacing w:line="360" w:lineRule="auto"/>
              <w:ind w:firstLine="482" w:firstLineChars="200"/>
              <w:rPr>
                <w:rFonts w:hint="default" w:ascii="Times New Roman" w:hAnsi="Times New Roman" w:cs="Times New Roman"/>
                <w:b/>
                <w:kern w:val="0"/>
                <w:sz w:val="24"/>
                <w:szCs w:val="20"/>
                <w:highlight w:val="none"/>
              </w:rPr>
            </w:pPr>
            <w:r>
              <w:rPr>
                <w:rFonts w:hint="default" w:ascii="Times New Roman" w:hAnsi="Times New Roman" w:cs="Times New Roman"/>
                <w:b/>
                <w:bCs/>
                <w:kern w:val="0"/>
                <w:sz w:val="24"/>
                <w:highlight w:val="none"/>
                <w:lang w:bidi="ar"/>
              </w:rPr>
              <w:t>二、废水</w:t>
            </w:r>
            <w:r>
              <w:rPr>
                <w:rFonts w:hint="default" w:ascii="Times New Roman" w:hAnsi="Times New Roman" w:cs="Times New Roman"/>
                <w:b/>
                <w:kern w:val="0"/>
                <w:sz w:val="24"/>
                <w:szCs w:val="20"/>
                <w:highlight w:val="none"/>
                <w:lang w:bidi="ar"/>
              </w:rPr>
              <w:t>环境影响及保护措施</w:t>
            </w:r>
          </w:p>
          <w:p w14:paraId="3B478793">
            <w:pPr>
              <w:widowControl/>
              <w:spacing w:line="360" w:lineRule="auto"/>
              <w:ind w:firstLine="480" w:firstLineChars="200"/>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建设项目施工期废水为施工生产废水和施工人员生活污水。</w:t>
            </w:r>
          </w:p>
          <w:p w14:paraId="7EED10A8">
            <w:pPr>
              <w:widowControl/>
              <w:spacing w:line="360" w:lineRule="auto"/>
              <w:ind w:firstLine="480" w:firstLineChars="200"/>
              <w:rPr>
                <w:rFonts w:hint="default" w:ascii="Times New Roman" w:hAnsi="Times New Roman" w:cs="Times New Roman"/>
                <w:bCs/>
                <w:kern w:val="0"/>
                <w:sz w:val="24"/>
                <w:highlight w:val="none"/>
                <w:lang w:bidi="ar"/>
              </w:rPr>
            </w:pPr>
            <w:r>
              <w:rPr>
                <w:rFonts w:hint="default" w:ascii="Times New Roman" w:hAnsi="Times New Roman" w:cs="Times New Roman"/>
                <w:bCs/>
                <w:kern w:val="0"/>
                <w:sz w:val="24"/>
                <w:highlight w:val="none"/>
                <w:lang w:bidi="ar"/>
              </w:rPr>
              <w:t>1、生产废水</w:t>
            </w:r>
          </w:p>
          <w:p w14:paraId="6980335F">
            <w:pPr>
              <w:widowControl/>
              <w:spacing w:line="360" w:lineRule="auto"/>
              <w:ind w:firstLine="480" w:firstLineChars="200"/>
              <w:rPr>
                <w:rFonts w:hint="default" w:ascii="Times New Roman" w:hAnsi="Times New Roman" w:cs="Times New Roman"/>
                <w:bCs/>
                <w:kern w:val="0"/>
                <w:sz w:val="24"/>
                <w:highlight w:val="none"/>
                <w:lang w:bidi="ar"/>
              </w:rPr>
            </w:pPr>
            <w:r>
              <w:rPr>
                <w:rFonts w:hint="default" w:ascii="Times New Roman" w:hAnsi="Times New Roman" w:cs="Times New Roman"/>
                <w:bCs/>
                <w:kern w:val="0"/>
                <w:sz w:val="24"/>
                <w:highlight w:val="none"/>
                <w:lang w:bidi="ar"/>
              </w:rPr>
              <w:t>运输车辆和机械的洗刷产生一部分洗刷废水，其主要污染物是SS。施工废水</w:t>
            </w:r>
            <w:r>
              <w:rPr>
                <w:rFonts w:hint="default" w:ascii="Times New Roman" w:hAnsi="Times New Roman" w:cs="Times New Roman"/>
                <w:bCs/>
                <w:kern w:val="0"/>
                <w:sz w:val="24"/>
                <w:highlight w:val="none"/>
                <w:lang w:val="en-US" w:eastAsia="zh-CN" w:bidi="ar"/>
              </w:rPr>
              <w:t>利用</w:t>
            </w:r>
            <w:r>
              <w:rPr>
                <w:rFonts w:hint="default" w:ascii="Times New Roman" w:hAnsi="Times New Roman" w:cs="Times New Roman"/>
                <w:bCs/>
                <w:kern w:val="0"/>
                <w:sz w:val="24"/>
                <w:highlight w:val="none"/>
                <w:lang w:bidi="ar"/>
              </w:rPr>
              <w:t>车辆冲洗平台及沉淀池，使废水经沉淀处理后循环使用。</w:t>
            </w:r>
          </w:p>
          <w:p w14:paraId="0279F25B">
            <w:pPr>
              <w:widowControl/>
              <w:spacing w:line="360" w:lineRule="auto"/>
              <w:ind w:firstLine="480" w:firstLineChars="200"/>
              <w:rPr>
                <w:rFonts w:hint="default" w:ascii="Times New Roman" w:hAnsi="Times New Roman" w:cs="Times New Roman"/>
                <w:bCs/>
                <w:kern w:val="0"/>
                <w:sz w:val="24"/>
                <w:highlight w:val="none"/>
                <w:lang w:bidi="ar"/>
              </w:rPr>
            </w:pPr>
            <w:r>
              <w:rPr>
                <w:rFonts w:hint="default" w:ascii="Times New Roman" w:hAnsi="Times New Roman" w:cs="Times New Roman"/>
                <w:bCs/>
                <w:kern w:val="0"/>
                <w:sz w:val="24"/>
                <w:highlight w:val="none"/>
                <w:lang w:bidi="ar"/>
              </w:rPr>
              <w:t>2、施工生活污水</w:t>
            </w:r>
          </w:p>
          <w:p w14:paraId="2787D5B0">
            <w:pPr>
              <w:widowControl/>
              <w:spacing w:line="360" w:lineRule="auto"/>
              <w:ind w:firstLine="480" w:firstLineChars="200"/>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施工人员生活污水经</w:t>
            </w:r>
            <w:r>
              <w:rPr>
                <w:rFonts w:hint="default" w:ascii="Times New Roman" w:hAnsi="Times New Roman" w:cs="Times New Roman"/>
                <w:kern w:val="0"/>
                <w:sz w:val="24"/>
                <w:highlight w:val="none"/>
                <w:lang w:val="en-US" w:eastAsia="zh-CN" w:bidi="ar"/>
              </w:rPr>
              <w:t>现有</w:t>
            </w:r>
            <w:r>
              <w:rPr>
                <w:rFonts w:hint="default" w:ascii="Times New Roman" w:hAnsi="Times New Roman" w:cs="Times New Roman"/>
                <w:kern w:val="0"/>
                <w:sz w:val="24"/>
                <w:highlight w:val="none"/>
                <w:lang w:bidi="ar"/>
              </w:rPr>
              <w:t>化粪池收集处理后用于周边农田施肥，不外排。</w:t>
            </w:r>
          </w:p>
          <w:p w14:paraId="1AFB881F">
            <w:pPr>
              <w:adjustRightInd w:val="0"/>
              <w:snapToGrid w:val="0"/>
              <w:spacing w:line="360" w:lineRule="auto"/>
              <w:ind w:firstLine="482" w:firstLineChars="200"/>
              <w:rPr>
                <w:rFonts w:hint="default" w:ascii="Times New Roman" w:hAnsi="Times New Roman" w:cs="Times New Roman"/>
                <w:b/>
                <w:kern w:val="0"/>
                <w:sz w:val="24"/>
                <w:szCs w:val="20"/>
                <w:highlight w:val="none"/>
              </w:rPr>
            </w:pPr>
            <w:r>
              <w:rPr>
                <w:rFonts w:hint="default" w:ascii="Times New Roman" w:hAnsi="Times New Roman" w:cs="Times New Roman"/>
                <w:b/>
                <w:kern w:val="0"/>
                <w:sz w:val="24"/>
                <w:szCs w:val="20"/>
                <w:highlight w:val="none"/>
                <w:lang w:bidi="ar"/>
              </w:rPr>
              <w:t>三、噪声环境影响及保护措施</w:t>
            </w:r>
          </w:p>
          <w:p w14:paraId="63B7CE0A">
            <w:pPr>
              <w:snapToGrid w:val="0"/>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lang w:bidi="ar"/>
              </w:rPr>
              <w:t>为了降低噪声对附近居民的影响，应采取以下措施：</w:t>
            </w:r>
          </w:p>
          <w:p w14:paraId="3FBBE359">
            <w:pPr>
              <w:widowControl/>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1、施工设备优选低噪声设备，合理安排施工时间，尽可能避免大量高噪声设备同时施工。</w:t>
            </w:r>
          </w:p>
          <w:p w14:paraId="1CAA65D6">
            <w:pPr>
              <w:widowControl/>
              <w:spacing w:line="360" w:lineRule="auto"/>
              <w:ind w:firstLine="480" w:firstLineChars="200"/>
              <w:jc w:val="left"/>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2、选用符合标准的施工车辆，禁止不符合国家噪声排放标准的运输车辆进入厂区。</w:t>
            </w:r>
          </w:p>
          <w:p w14:paraId="5D9485FC">
            <w:pPr>
              <w:widowControl/>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3、运输汽车</w:t>
            </w:r>
            <w:r>
              <w:rPr>
                <w:rFonts w:hint="eastAsia" w:cs="Times New Roman"/>
                <w:kern w:val="0"/>
                <w:sz w:val="24"/>
                <w:highlight w:val="none"/>
                <w:lang w:eastAsia="zh-CN" w:bidi="ar"/>
              </w:rPr>
              <w:t>进厂</w:t>
            </w:r>
            <w:r>
              <w:rPr>
                <w:rFonts w:hint="default" w:ascii="Times New Roman" w:hAnsi="Times New Roman" w:cs="Times New Roman"/>
                <w:kern w:val="0"/>
                <w:sz w:val="24"/>
                <w:highlight w:val="none"/>
                <w:lang w:bidi="ar"/>
              </w:rPr>
              <w:t>安排专人指挥，</w:t>
            </w:r>
            <w:r>
              <w:rPr>
                <w:rFonts w:hint="eastAsia" w:cs="Times New Roman"/>
                <w:kern w:val="0"/>
                <w:sz w:val="24"/>
                <w:highlight w:val="none"/>
                <w:lang w:eastAsia="zh-CN" w:bidi="ar"/>
              </w:rPr>
              <w:t>场内</w:t>
            </w:r>
            <w:r>
              <w:rPr>
                <w:rFonts w:hint="default" w:ascii="Times New Roman" w:hAnsi="Times New Roman" w:cs="Times New Roman"/>
                <w:kern w:val="0"/>
                <w:sz w:val="24"/>
                <w:highlight w:val="none"/>
                <w:lang w:bidi="ar"/>
              </w:rPr>
              <w:t>禁止运输车辆鸣笛。</w:t>
            </w:r>
          </w:p>
          <w:p w14:paraId="06BD4BE8">
            <w:pPr>
              <w:widowControl/>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4、加强施工人员的管理和教育</w:t>
            </w:r>
            <w:r>
              <w:rPr>
                <w:rFonts w:hint="eastAsia" w:cs="Times New Roman"/>
                <w:kern w:val="0"/>
                <w:sz w:val="24"/>
                <w:highlight w:val="none"/>
                <w:lang w:eastAsia="zh-CN" w:bidi="ar"/>
              </w:rPr>
              <w:t>，在</w:t>
            </w:r>
            <w:r>
              <w:rPr>
                <w:rFonts w:hint="default" w:ascii="Times New Roman" w:hAnsi="Times New Roman" w:cs="Times New Roman"/>
                <w:kern w:val="0"/>
                <w:sz w:val="24"/>
                <w:highlight w:val="none"/>
                <w:lang w:bidi="ar"/>
              </w:rPr>
              <w:t>施工中减少不必要的金属敲击声。</w:t>
            </w:r>
          </w:p>
          <w:p w14:paraId="2B3BB821">
            <w:pPr>
              <w:adjustRightInd w:val="0"/>
              <w:snapToGrid w:val="0"/>
              <w:spacing w:line="360" w:lineRule="auto"/>
              <w:ind w:firstLine="482" w:firstLineChars="200"/>
              <w:rPr>
                <w:rFonts w:hint="default" w:ascii="Times New Roman" w:hAnsi="Times New Roman" w:cs="Times New Roman"/>
                <w:b/>
                <w:kern w:val="0"/>
                <w:sz w:val="24"/>
                <w:highlight w:val="none"/>
              </w:rPr>
            </w:pPr>
            <w:r>
              <w:rPr>
                <w:rFonts w:hint="default" w:ascii="Times New Roman" w:hAnsi="Times New Roman" w:cs="Times New Roman"/>
                <w:b/>
                <w:kern w:val="0"/>
                <w:sz w:val="24"/>
                <w:highlight w:val="none"/>
                <w:lang w:bidi="ar"/>
              </w:rPr>
              <w:t>四、固废环境影响及保护措施</w:t>
            </w:r>
          </w:p>
          <w:p w14:paraId="55301DBB">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由于本项目施工过程会涉及沉淀池开挖，因此会产生少量弃方，建设单位拟将其全部用于场地</w:t>
            </w:r>
            <w:r>
              <w:rPr>
                <w:rFonts w:hint="default" w:ascii="Times New Roman" w:hAnsi="Times New Roman" w:cs="Times New Roman"/>
                <w:sz w:val="24"/>
                <w:highlight w:val="none"/>
                <w:lang w:val="en-US" w:eastAsia="zh-CN"/>
              </w:rPr>
              <w:t>平整</w:t>
            </w:r>
            <w:r>
              <w:rPr>
                <w:rFonts w:hint="default" w:ascii="Times New Roman" w:hAnsi="Times New Roman" w:cs="Times New Roman"/>
                <w:sz w:val="24"/>
                <w:highlight w:val="none"/>
              </w:rPr>
              <w:t>，故本次施工期固废为建筑垃圾和生活垃圾。</w:t>
            </w:r>
          </w:p>
          <w:p w14:paraId="622AE34F">
            <w:pPr>
              <w:adjustRightInd w:val="0"/>
              <w:snapToGrid w:val="0"/>
              <w:spacing w:line="360" w:lineRule="auto"/>
              <w:ind w:firstLine="480" w:firstLineChars="20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lang w:bidi="ar"/>
              </w:rPr>
              <w:t>1、建筑</w:t>
            </w:r>
            <w:r>
              <w:rPr>
                <w:rFonts w:hint="default" w:ascii="Times New Roman" w:hAnsi="Times New Roman" w:cs="Times New Roman"/>
                <w:sz w:val="24"/>
                <w:highlight w:val="none"/>
                <w:lang w:bidi="ar"/>
              </w:rPr>
              <w:t>垃圾</w:t>
            </w:r>
          </w:p>
          <w:p w14:paraId="1D9D073F">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bidi="ar"/>
              </w:rPr>
              <w:t>本项目施工期会产生少量的施工建筑垃圾，</w:t>
            </w:r>
            <w:r>
              <w:rPr>
                <w:rFonts w:hint="default" w:ascii="Times New Roman" w:hAnsi="Times New Roman" w:cs="Times New Roman"/>
                <w:sz w:val="24"/>
                <w:highlight w:val="none"/>
              </w:rPr>
              <w:t>均外运至当地政府指定地点堆放。</w:t>
            </w:r>
          </w:p>
          <w:p w14:paraId="76D0B65A">
            <w:pPr>
              <w:tabs>
                <w:tab w:val="left" w:pos="2220"/>
              </w:tabs>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bidi="ar"/>
              </w:rPr>
              <w:t>2、生活垃圾</w:t>
            </w:r>
          </w:p>
          <w:p w14:paraId="71D40FA2">
            <w:pPr>
              <w:adjustRightInd w:val="0"/>
              <w:snapToGrid w:val="0"/>
              <w:spacing w:line="360" w:lineRule="auto"/>
              <w:ind w:firstLine="4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sz w:val="24"/>
                <w:highlight w:val="none"/>
                <w:lang w:bidi="ar"/>
              </w:rPr>
              <w:t>本项目施工期较短，故日常产生的生活垃圾较少。项目场地设置垃圾桶进行分类收集，定期送至</w:t>
            </w:r>
            <w:r>
              <w:rPr>
                <w:rFonts w:hint="default" w:ascii="Times New Roman" w:hAnsi="Times New Roman" w:cs="Times New Roman"/>
                <w:kern w:val="0"/>
                <w:sz w:val="24"/>
                <w:highlight w:val="none"/>
                <w:lang w:bidi="ar"/>
              </w:rPr>
              <w:t>就近</w:t>
            </w:r>
            <w:r>
              <w:rPr>
                <w:rFonts w:hint="default" w:ascii="Times New Roman" w:hAnsi="Times New Roman" w:cs="Times New Roman"/>
                <w:sz w:val="24"/>
                <w:highlight w:val="none"/>
                <w:lang w:bidi="ar"/>
              </w:rPr>
              <w:t>垃圾收集点。</w:t>
            </w:r>
          </w:p>
        </w:tc>
      </w:tr>
      <w:tr w14:paraId="6BD21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60" w:type="dxa"/>
            <w:tcMar>
              <w:left w:w="28" w:type="dxa"/>
              <w:right w:w="28" w:type="dxa"/>
            </w:tcMar>
            <w:vAlign w:val="center"/>
          </w:tcPr>
          <w:p w14:paraId="5071DC87">
            <w:pPr>
              <w:adjustRightInd w:val="0"/>
              <w:snapToGrid w:val="0"/>
              <w:jc w:val="center"/>
              <w:rPr>
                <w:rFonts w:hint="default" w:ascii="Times New Roman" w:hAnsi="Times New Roman" w:cs="Times New Roman"/>
                <w:bCs/>
                <w:color w:val="auto"/>
                <w:szCs w:val="21"/>
                <w:highlight w:val="none"/>
              </w:rPr>
            </w:pPr>
          </w:p>
          <w:p w14:paraId="1E87F814">
            <w:pPr>
              <w:adjustRightInd w:val="0"/>
              <w:snapToGrid w:val="0"/>
              <w:jc w:val="center"/>
              <w:rPr>
                <w:rFonts w:hint="default" w:ascii="Times New Roman" w:hAnsi="Times New Roman" w:cs="Times New Roman"/>
                <w:bCs/>
                <w:color w:val="auto"/>
                <w:szCs w:val="21"/>
                <w:highlight w:val="none"/>
              </w:rPr>
            </w:pPr>
          </w:p>
          <w:p w14:paraId="7D5D75C1">
            <w:pPr>
              <w:adjustRightInd w:val="0"/>
              <w:snapToGrid w:val="0"/>
              <w:jc w:val="center"/>
              <w:rPr>
                <w:rFonts w:hint="default" w:ascii="Times New Roman" w:hAnsi="Times New Roman" w:cs="Times New Roman"/>
                <w:bCs/>
                <w:color w:val="auto"/>
                <w:szCs w:val="21"/>
                <w:highlight w:val="none"/>
              </w:rPr>
            </w:pPr>
          </w:p>
          <w:p w14:paraId="55247A0B">
            <w:pPr>
              <w:adjustRightInd w:val="0"/>
              <w:snapToGrid w:val="0"/>
              <w:jc w:val="center"/>
              <w:rPr>
                <w:rFonts w:hint="default" w:ascii="Times New Roman" w:hAnsi="Times New Roman" w:cs="Times New Roman"/>
                <w:bCs/>
                <w:color w:val="auto"/>
                <w:szCs w:val="21"/>
                <w:highlight w:val="none"/>
              </w:rPr>
            </w:pPr>
          </w:p>
          <w:p w14:paraId="57A6E5A6">
            <w:pPr>
              <w:adjustRightInd w:val="0"/>
              <w:snapToGrid w:val="0"/>
              <w:rPr>
                <w:rFonts w:hint="default" w:ascii="Times New Roman" w:hAnsi="Times New Roman" w:cs="Times New Roman"/>
                <w:bCs/>
                <w:color w:val="auto"/>
                <w:szCs w:val="21"/>
                <w:highlight w:val="none"/>
              </w:rPr>
            </w:pPr>
          </w:p>
          <w:p w14:paraId="7C3257E2">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71F4D3FE">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116AA701">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6F71ED7C">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3A296A0A">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716035F7">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6AD9F050">
            <w:pPr>
              <w:adjustRightInd w:val="0"/>
              <w:snapToGrid w:val="0"/>
              <w:jc w:val="center"/>
              <w:rPr>
                <w:rFonts w:hint="default" w:ascii="Times New Roman" w:hAnsi="Times New Roman" w:cs="Times New Roman"/>
                <w:bCs/>
                <w:color w:val="auto"/>
                <w:szCs w:val="21"/>
                <w:highlight w:val="none"/>
              </w:rPr>
            </w:pPr>
          </w:p>
          <w:p w14:paraId="0903257D">
            <w:pPr>
              <w:adjustRightInd w:val="0"/>
              <w:snapToGrid w:val="0"/>
              <w:jc w:val="center"/>
              <w:rPr>
                <w:rFonts w:hint="default" w:ascii="Times New Roman" w:hAnsi="Times New Roman" w:cs="Times New Roman"/>
                <w:bCs/>
                <w:color w:val="auto"/>
                <w:szCs w:val="21"/>
                <w:highlight w:val="none"/>
              </w:rPr>
            </w:pPr>
          </w:p>
          <w:p w14:paraId="1A8E8B9A">
            <w:pPr>
              <w:adjustRightInd w:val="0"/>
              <w:snapToGrid w:val="0"/>
              <w:jc w:val="center"/>
              <w:rPr>
                <w:rFonts w:hint="default" w:ascii="Times New Roman" w:hAnsi="Times New Roman" w:cs="Times New Roman"/>
                <w:bCs/>
                <w:color w:val="auto"/>
                <w:szCs w:val="21"/>
                <w:highlight w:val="none"/>
              </w:rPr>
            </w:pPr>
          </w:p>
          <w:p w14:paraId="53FF53DB">
            <w:pPr>
              <w:adjustRightInd w:val="0"/>
              <w:snapToGrid w:val="0"/>
              <w:jc w:val="center"/>
              <w:rPr>
                <w:rFonts w:hint="default" w:ascii="Times New Roman" w:hAnsi="Times New Roman" w:cs="Times New Roman"/>
                <w:bCs/>
                <w:color w:val="auto"/>
                <w:szCs w:val="21"/>
                <w:highlight w:val="none"/>
              </w:rPr>
            </w:pPr>
          </w:p>
          <w:p w14:paraId="5E18562B">
            <w:pPr>
              <w:adjustRightInd w:val="0"/>
              <w:snapToGrid w:val="0"/>
              <w:jc w:val="center"/>
              <w:rPr>
                <w:rFonts w:hint="default" w:ascii="Times New Roman" w:hAnsi="Times New Roman" w:cs="Times New Roman"/>
                <w:bCs/>
                <w:color w:val="auto"/>
                <w:szCs w:val="21"/>
                <w:highlight w:val="none"/>
              </w:rPr>
            </w:pPr>
          </w:p>
          <w:p w14:paraId="30315358">
            <w:pPr>
              <w:adjustRightInd w:val="0"/>
              <w:snapToGrid w:val="0"/>
              <w:jc w:val="center"/>
              <w:rPr>
                <w:rFonts w:hint="default" w:ascii="Times New Roman" w:hAnsi="Times New Roman" w:cs="Times New Roman"/>
                <w:bCs/>
                <w:color w:val="auto"/>
                <w:szCs w:val="21"/>
                <w:highlight w:val="none"/>
              </w:rPr>
            </w:pPr>
          </w:p>
          <w:p w14:paraId="54D83F99">
            <w:pPr>
              <w:adjustRightInd w:val="0"/>
              <w:snapToGrid w:val="0"/>
              <w:jc w:val="center"/>
              <w:rPr>
                <w:rFonts w:hint="default" w:ascii="Times New Roman" w:hAnsi="Times New Roman" w:cs="Times New Roman"/>
                <w:bCs/>
                <w:color w:val="auto"/>
                <w:szCs w:val="21"/>
                <w:highlight w:val="none"/>
              </w:rPr>
            </w:pPr>
          </w:p>
          <w:p w14:paraId="7C375360">
            <w:pPr>
              <w:adjustRightInd w:val="0"/>
              <w:snapToGrid w:val="0"/>
              <w:jc w:val="center"/>
              <w:rPr>
                <w:rFonts w:hint="default" w:ascii="Times New Roman" w:hAnsi="Times New Roman" w:cs="Times New Roman"/>
                <w:bCs/>
                <w:color w:val="auto"/>
                <w:szCs w:val="21"/>
                <w:highlight w:val="none"/>
              </w:rPr>
            </w:pPr>
          </w:p>
          <w:p w14:paraId="41C84ADF">
            <w:pPr>
              <w:adjustRightInd w:val="0"/>
              <w:snapToGrid w:val="0"/>
              <w:jc w:val="center"/>
              <w:rPr>
                <w:rFonts w:hint="default" w:ascii="Times New Roman" w:hAnsi="Times New Roman" w:cs="Times New Roman"/>
                <w:bCs/>
                <w:color w:val="auto"/>
                <w:szCs w:val="21"/>
                <w:highlight w:val="none"/>
              </w:rPr>
            </w:pPr>
          </w:p>
          <w:p w14:paraId="2725BCF7">
            <w:pPr>
              <w:adjustRightInd w:val="0"/>
              <w:snapToGrid w:val="0"/>
              <w:jc w:val="center"/>
              <w:rPr>
                <w:rFonts w:hint="default" w:ascii="Times New Roman" w:hAnsi="Times New Roman" w:cs="Times New Roman"/>
                <w:bCs/>
                <w:color w:val="auto"/>
                <w:szCs w:val="21"/>
                <w:highlight w:val="none"/>
              </w:rPr>
            </w:pPr>
          </w:p>
          <w:p w14:paraId="646A50DE">
            <w:pPr>
              <w:adjustRightInd w:val="0"/>
              <w:snapToGrid w:val="0"/>
              <w:jc w:val="center"/>
              <w:rPr>
                <w:rFonts w:hint="default" w:ascii="Times New Roman" w:hAnsi="Times New Roman" w:cs="Times New Roman"/>
                <w:bCs/>
                <w:color w:val="auto"/>
                <w:szCs w:val="21"/>
                <w:highlight w:val="none"/>
              </w:rPr>
            </w:pPr>
          </w:p>
          <w:p w14:paraId="4C24C54A">
            <w:pPr>
              <w:adjustRightInd w:val="0"/>
              <w:snapToGrid w:val="0"/>
              <w:jc w:val="center"/>
              <w:rPr>
                <w:rFonts w:hint="default" w:ascii="Times New Roman" w:hAnsi="Times New Roman" w:cs="Times New Roman"/>
                <w:bCs/>
                <w:color w:val="auto"/>
                <w:szCs w:val="21"/>
                <w:highlight w:val="none"/>
              </w:rPr>
            </w:pPr>
          </w:p>
          <w:p w14:paraId="43388218">
            <w:pPr>
              <w:adjustRightInd w:val="0"/>
              <w:snapToGrid w:val="0"/>
              <w:jc w:val="center"/>
              <w:rPr>
                <w:rFonts w:hint="default" w:ascii="Times New Roman" w:hAnsi="Times New Roman" w:cs="Times New Roman"/>
                <w:bCs/>
                <w:color w:val="auto"/>
                <w:szCs w:val="21"/>
                <w:highlight w:val="none"/>
              </w:rPr>
            </w:pPr>
          </w:p>
          <w:p w14:paraId="59D9B7C4">
            <w:pPr>
              <w:adjustRightInd w:val="0"/>
              <w:snapToGrid w:val="0"/>
              <w:jc w:val="center"/>
              <w:rPr>
                <w:rFonts w:hint="default" w:ascii="Times New Roman" w:hAnsi="Times New Roman" w:cs="Times New Roman"/>
                <w:bCs/>
                <w:color w:val="auto"/>
                <w:szCs w:val="21"/>
                <w:highlight w:val="none"/>
              </w:rPr>
            </w:pPr>
          </w:p>
          <w:p w14:paraId="663DAD45">
            <w:pPr>
              <w:adjustRightInd w:val="0"/>
              <w:snapToGrid w:val="0"/>
              <w:jc w:val="center"/>
              <w:rPr>
                <w:rFonts w:hint="default" w:ascii="Times New Roman" w:hAnsi="Times New Roman" w:cs="Times New Roman"/>
                <w:bCs/>
                <w:color w:val="auto"/>
                <w:szCs w:val="21"/>
                <w:highlight w:val="none"/>
              </w:rPr>
            </w:pPr>
          </w:p>
          <w:p w14:paraId="4AA7EF2D">
            <w:pPr>
              <w:adjustRightInd w:val="0"/>
              <w:snapToGrid w:val="0"/>
              <w:jc w:val="center"/>
              <w:rPr>
                <w:rFonts w:hint="default" w:ascii="Times New Roman" w:hAnsi="Times New Roman" w:cs="Times New Roman"/>
                <w:bCs/>
                <w:color w:val="auto"/>
                <w:szCs w:val="21"/>
                <w:highlight w:val="none"/>
              </w:rPr>
            </w:pPr>
          </w:p>
          <w:p w14:paraId="39D38A1F">
            <w:pPr>
              <w:adjustRightInd w:val="0"/>
              <w:snapToGrid w:val="0"/>
              <w:jc w:val="center"/>
              <w:rPr>
                <w:rFonts w:hint="default" w:ascii="Times New Roman" w:hAnsi="Times New Roman" w:cs="Times New Roman"/>
                <w:bCs/>
                <w:color w:val="auto"/>
                <w:szCs w:val="21"/>
                <w:highlight w:val="none"/>
              </w:rPr>
            </w:pPr>
          </w:p>
          <w:p w14:paraId="0C569498">
            <w:pPr>
              <w:adjustRightInd w:val="0"/>
              <w:snapToGrid w:val="0"/>
              <w:jc w:val="center"/>
              <w:rPr>
                <w:rFonts w:hint="default" w:ascii="Times New Roman" w:hAnsi="Times New Roman" w:cs="Times New Roman"/>
                <w:bCs/>
                <w:color w:val="auto"/>
                <w:szCs w:val="21"/>
                <w:highlight w:val="none"/>
              </w:rPr>
            </w:pPr>
          </w:p>
          <w:p w14:paraId="4003AE8C">
            <w:pPr>
              <w:adjustRightInd w:val="0"/>
              <w:snapToGrid w:val="0"/>
              <w:jc w:val="center"/>
              <w:rPr>
                <w:rFonts w:hint="default" w:ascii="Times New Roman" w:hAnsi="Times New Roman" w:cs="Times New Roman"/>
                <w:bCs/>
                <w:color w:val="auto"/>
                <w:szCs w:val="21"/>
                <w:highlight w:val="none"/>
              </w:rPr>
            </w:pPr>
          </w:p>
          <w:p w14:paraId="49130068">
            <w:pPr>
              <w:adjustRightInd w:val="0"/>
              <w:snapToGrid w:val="0"/>
              <w:jc w:val="center"/>
              <w:rPr>
                <w:rFonts w:hint="default" w:ascii="Times New Roman" w:hAnsi="Times New Roman" w:cs="Times New Roman"/>
                <w:bCs/>
                <w:color w:val="auto"/>
                <w:szCs w:val="21"/>
                <w:highlight w:val="none"/>
              </w:rPr>
            </w:pPr>
          </w:p>
          <w:p w14:paraId="0ECF71D4">
            <w:pPr>
              <w:adjustRightInd w:val="0"/>
              <w:snapToGrid w:val="0"/>
              <w:jc w:val="center"/>
              <w:rPr>
                <w:rFonts w:hint="default" w:ascii="Times New Roman" w:hAnsi="Times New Roman" w:cs="Times New Roman"/>
                <w:bCs/>
                <w:color w:val="auto"/>
                <w:szCs w:val="21"/>
                <w:highlight w:val="none"/>
              </w:rPr>
            </w:pPr>
          </w:p>
          <w:p w14:paraId="374E598E">
            <w:pPr>
              <w:adjustRightInd w:val="0"/>
              <w:snapToGrid w:val="0"/>
              <w:jc w:val="center"/>
              <w:rPr>
                <w:rFonts w:hint="default" w:ascii="Times New Roman" w:hAnsi="Times New Roman" w:cs="Times New Roman"/>
                <w:bCs/>
                <w:color w:val="auto"/>
                <w:szCs w:val="21"/>
                <w:highlight w:val="none"/>
              </w:rPr>
            </w:pPr>
          </w:p>
          <w:p w14:paraId="1075386F">
            <w:pPr>
              <w:adjustRightInd w:val="0"/>
              <w:snapToGrid w:val="0"/>
              <w:jc w:val="center"/>
              <w:rPr>
                <w:rFonts w:hint="default" w:ascii="Times New Roman" w:hAnsi="Times New Roman" w:cs="Times New Roman"/>
                <w:bCs/>
                <w:color w:val="auto"/>
                <w:szCs w:val="21"/>
                <w:highlight w:val="none"/>
              </w:rPr>
            </w:pPr>
          </w:p>
          <w:p w14:paraId="717A9A9C">
            <w:pPr>
              <w:adjustRightInd w:val="0"/>
              <w:snapToGrid w:val="0"/>
              <w:jc w:val="center"/>
              <w:rPr>
                <w:rFonts w:hint="default" w:ascii="Times New Roman" w:hAnsi="Times New Roman" w:cs="Times New Roman"/>
                <w:bCs/>
                <w:color w:val="auto"/>
                <w:szCs w:val="21"/>
                <w:highlight w:val="none"/>
              </w:rPr>
            </w:pPr>
          </w:p>
          <w:p w14:paraId="3D1F6A61">
            <w:pPr>
              <w:adjustRightInd w:val="0"/>
              <w:snapToGrid w:val="0"/>
              <w:jc w:val="center"/>
              <w:rPr>
                <w:rFonts w:hint="default" w:ascii="Times New Roman" w:hAnsi="Times New Roman" w:cs="Times New Roman"/>
                <w:bCs/>
                <w:color w:val="auto"/>
                <w:szCs w:val="21"/>
                <w:highlight w:val="none"/>
              </w:rPr>
            </w:pPr>
          </w:p>
          <w:p w14:paraId="56B612B9">
            <w:pPr>
              <w:adjustRightInd w:val="0"/>
              <w:snapToGrid w:val="0"/>
              <w:jc w:val="center"/>
              <w:rPr>
                <w:rFonts w:hint="default" w:ascii="Times New Roman" w:hAnsi="Times New Roman" w:cs="Times New Roman"/>
                <w:bCs/>
                <w:color w:val="auto"/>
                <w:szCs w:val="21"/>
                <w:highlight w:val="none"/>
              </w:rPr>
            </w:pPr>
          </w:p>
          <w:p w14:paraId="4509B9BD">
            <w:pPr>
              <w:adjustRightInd w:val="0"/>
              <w:snapToGrid w:val="0"/>
              <w:jc w:val="center"/>
              <w:rPr>
                <w:rFonts w:hint="default" w:ascii="Times New Roman" w:hAnsi="Times New Roman" w:cs="Times New Roman"/>
                <w:bCs/>
                <w:color w:val="auto"/>
                <w:szCs w:val="21"/>
                <w:highlight w:val="none"/>
              </w:rPr>
            </w:pPr>
          </w:p>
          <w:p w14:paraId="2973C686">
            <w:pPr>
              <w:adjustRightInd w:val="0"/>
              <w:snapToGrid w:val="0"/>
              <w:rPr>
                <w:rFonts w:hint="default" w:ascii="Times New Roman" w:hAnsi="Times New Roman" w:cs="Times New Roman"/>
                <w:bCs/>
                <w:color w:val="auto"/>
                <w:sz w:val="24"/>
                <w:highlight w:val="none"/>
              </w:rPr>
            </w:pPr>
          </w:p>
          <w:p w14:paraId="140337F5">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12176CD5">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07669C11">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2886C989">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1C5EA718">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2271301A">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37B04E0B">
            <w:pPr>
              <w:adjustRightInd w:val="0"/>
              <w:snapToGrid w:val="0"/>
              <w:jc w:val="center"/>
              <w:rPr>
                <w:rFonts w:hint="default" w:ascii="Times New Roman" w:hAnsi="Times New Roman" w:cs="Times New Roman"/>
                <w:bCs/>
                <w:color w:val="auto"/>
                <w:szCs w:val="21"/>
                <w:highlight w:val="none"/>
              </w:rPr>
            </w:pPr>
          </w:p>
          <w:p w14:paraId="67467BD2">
            <w:pPr>
              <w:adjustRightInd w:val="0"/>
              <w:snapToGrid w:val="0"/>
              <w:jc w:val="center"/>
              <w:rPr>
                <w:rFonts w:hint="default" w:ascii="Times New Roman" w:hAnsi="Times New Roman" w:cs="Times New Roman"/>
                <w:bCs/>
                <w:color w:val="auto"/>
                <w:szCs w:val="21"/>
                <w:highlight w:val="none"/>
              </w:rPr>
            </w:pPr>
          </w:p>
          <w:p w14:paraId="5BDC9871">
            <w:pPr>
              <w:adjustRightInd w:val="0"/>
              <w:snapToGrid w:val="0"/>
              <w:jc w:val="center"/>
              <w:rPr>
                <w:rFonts w:hint="default" w:ascii="Times New Roman" w:hAnsi="Times New Roman" w:cs="Times New Roman"/>
                <w:bCs/>
                <w:color w:val="auto"/>
                <w:szCs w:val="21"/>
                <w:highlight w:val="none"/>
              </w:rPr>
            </w:pPr>
          </w:p>
          <w:p w14:paraId="716603B7">
            <w:pPr>
              <w:adjustRightInd w:val="0"/>
              <w:snapToGrid w:val="0"/>
              <w:jc w:val="center"/>
              <w:rPr>
                <w:rFonts w:hint="default" w:ascii="Times New Roman" w:hAnsi="Times New Roman" w:cs="Times New Roman"/>
                <w:bCs/>
                <w:color w:val="auto"/>
                <w:szCs w:val="21"/>
                <w:highlight w:val="none"/>
              </w:rPr>
            </w:pPr>
          </w:p>
          <w:p w14:paraId="14C7BA20">
            <w:pPr>
              <w:adjustRightInd w:val="0"/>
              <w:snapToGrid w:val="0"/>
              <w:jc w:val="center"/>
              <w:rPr>
                <w:rFonts w:hint="default" w:ascii="Times New Roman" w:hAnsi="Times New Roman" w:cs="Times New Roman"/>
                <w:bCs/>
                <w:color w:val="auto"/>
                <w:szCs w:val="21"/>
                <w:highlight w:val="none"/>
              </w:rPr>
            </w:pPr>
          </w:p>
          <w:p w14:paraId="56E67104">
            <w:pPr>
              <w:adjustRightInd w:val="0"/>
              <w:snapToGrid w:val="0"/>
              <w:jc w:val="center"/>
              <w:rPr>
                <w:rFonts w:hint="default" w:ascii="Times New Roman" w:hAnsi="Times New Roman" w:cs="Times New Roman"/>
                <w:bCs/>
                <w:color w:val="auto"/>
                <w:szCs w:val="21"/>
                <w:highlight w:val="none"/>
              </w:rPr>
            </w:pPr>
          </w:p>
          <w:p w14:paraId="0A79AE44">
            <w:pPr>
              <w:adjustRightInd w:val="0"/>
              <w:snapToGrid w:val="0"/>
              <w:jc w:val="center"/>
              <w:rPr>
                <w:rFonts w:hint="default" w:ascii="Times New Roman" w:hAnsi="Times New Roman" w:cs="Times New Roman"/>
                <w:bCs/>
                <w:color w:val="auto"/>
                <w:szCs w:val="21"/>
                <w:highlight w:val="none"/>
              </w:rPr>
            </w:pPr>
          </w:p>
          <w:p w14:paraId="11DCAA7D">
            <w:pPr>
              <w:adjustRightInd w:val="0"/>
              <w:snapToGrid w:val="0"/>
              <w:jc w:val="center"/>
              <w:rPr>
                <w:rFonts w:hint="default" w:ascii="Times New Roman" w:hAnsi="Times New Roman" w:cs="Times New Roman"/>
                <w:bCs/>
                <w:color w:val="auto"/>
                <w:szCs w:val="21"/>
                <w:highlight w:val="none"/>
              </w:rPr>
            </w:pPr>
          </w:p>
          <w:p w14:paraId="7C1AC216">
            <w:pPr>
              <w:adjustRightInd w:val="0"/>
              <w:snapToGrid w:val="0"/>
              <w:jc w:val="center"/>
              <w:rPr>
                <w:rFonts w:hint="default" w:ascii="Times New Roman" w:hAnsi="Times New Roman" w:cs="Times New Roman"/>
                <w:bCs/>
                <w:color w:val="auto"/>
                <w:szCs w:val="21"/>
                <w:highlight w:val="none"/>
              </w:rPr>
            </w:pPr>
          </w:p>
          <w:p w14:paraId="26B02409">
            <w:pPr>
              <w:adjustRightInd w:val="0"/>
              <w:snapToGrid w:val="0"/>
              <w:jc w:val="center"/>
              <w:rPr>
                <w:rFonts w:hint="default" w:ascii="Times New Roman" w:hAnsi="Times New Roman" w:cs="Times New Roman"/>
                <w:bCs/>
                <w:color w:val="auto"/>
                <w:szCs w:val="21"/>
                <w:highlight w:val="none"/>
              </w:rPr>
            </w:pPr>
          </w:p>
          <w:p w14:paraId="3C1239E3">
            <w:pPr>
              <w:adjustRightInd w:val="0"/>
              <w:snapToGrid w:val="0"/>
              <w:jc w:val="center"/>
              <w:rPr>
                <w:rFonts w:hint="default" w:ascii="Times New Roman" w:hAnsi="Times New Roman" w:cs="Times New Roman"/>
                <w:bCs/>
                <w:color w:val="auto"/>
                <w:szCs w:val="21"/>
                <w:highlight w:val="none"/>
              </w:rPr>
            </w:pPr>
          </w:p>
          <w:p w14:paraId="7D346381">
            <w:pPr>
              <w:adjustRightInd w:val="0"/>
              <w:snapToGrid w:val="0"/>
              <w:jc w:val="center"/>
              <w:rPr>
                <w:rFonts w:hint="default" w:ascii="Times New Roman" w:hAnsi="Times New Roman" w:cs="Times New Roman"/>
                <w:bCs/>
                <w:color w:val="auto"/>
                <w:szCs w:val="21"/>
                <w:highlight w:val="none"/>
              </w:rPr>
            </w:pPr>
          </w:p>
          <w:p w14:paraId="5CA2322E">
            <w:pPr>
              <w:adjustRightInd w:val="0"/>
              <w:snapToGrid w:val="0"/>
              <w:jc w:val="center"/>
              <w:rPr>
                <w:rFonts w:hint="default" w:ascii="Times New Roman" w:hAnsi="Times New Roman" w:cs="Times New Roman"/>
                <w:bCs/>
                <w:color w:val="auto"/>
                <w:szCs w:val="21"/>
                <w:highlight w:val="none"/>
              </w:rPr>
            </w:pPr>
          </w:p>
          <w:p w14:paraId="685ABDEF">
            <w:pPr>
              <w:adjustRightInd w:val="0"/>
              <w:snapToGrid w:val="0"/>
              <w:jc w:val="center"/>
              <w:rPr>
                <w:rFonts w:hint="default" w:ascii="Times New Roman" w:hAnsi="Times New Roman" w:cs="Times New Roman"/>
                <w:bCs/>
                <w:color w:val="auto"/>
                <w:szCs w:val="21"/>
                <w:highlight w:val="none"/>
              </w:rPr>
            </w:pPr>
          </w:p>
          <w:p w14:paraId="375C3296">
            <w:pPr>
              <w:adjustRightInd w:val="0"/>
              <w:snapToGrid w:val="0"/>
              <w:jc w:val="center"/>
              <w:rPr>
                <w:rFonts w:hint="default" w:ascii="Times New Roman" w:hAnsi="Times New Roman" w:cs="Times New Roman"/>
                <w:bCs/>
                <w:color w:val="auto"/>
                <w:szCs w:val="21"/>
                <w:highlight w:val="none"/>
              </w:rPr>
            </w:pPr>
          </w:p>
          <w:p w14:paraId="44224097">
            <w:pPr>
              <w:adjustRightInd w:val="0"/>
              <w:snapToGrid w:val="0"/>
              <w:jc w:val="center"/>
              <w:rPr>
                <w:rFonts w:hint="default" w:ascii="Times New Roman" w:hAnsi="Times New Roman" w:cs="Times New Roman"/>
                <w:bCs/>
                <w:color w:val="auto"/>
                <w:szCs w:val="21"/>
                <w:highlight w:val="none"/>
              </w:rPr>
            </w:pPr>
          </w:p>
          <w:p w14:paraId="4AA0439C">
            <w:pPr>
              <w:adjustRightInd w:val="0"/>
              <w:snapToGrid w:val="0"/>
              <w:jc w:val="center"/>
              <w:rPr>
                <w:rFonts w:hint="default" w:ascii="Times New Roman" w:hAnsi="Times New Roman" w:cs="Times New Roman"/>
                <w:bCs/>
                <w:color w:val="auto"/>
                <w:szCs w:val="21"/>
                <w:highlight w:val="none"/>
              </w:rPr>
            </w:pPr>
          </w:p>
          <w:p w14:paraId="2929DBF0">
            <w:pPr>
              <w:adjustRightInd w:val="0"/>
              <w:snapToGrid w:val="0"/>
              <w:jc w:val="center"/>
              <w:rPr>
                <w:rFonts w:hint="default" w:ascii="Times New Roman" w:hAnsi="Times New Roman" w:cs="Times New Roman"/>
                <w:bCs/>
                <w:color w:val="auto"/>
                <w:szCs w:val="21"/>
                <w:highlight w:val="none"/>
              </w:rPr>
            </w:pPr>
          </w:p>
          <w:p w14:paraId="1EA02D3E">
            <w:pPr>
              <w:adjustRightInd w:val="0"/>
              <w:snapToGrid w:val="0"/>
              <w:jc w:val="center"/>
              <w:rPr>
                <w:rFonts w:hint="default" w:ascii="Times New Roman" w:hAnsi="Times New Roman" w:cs="Times New Roman"/>
                <w:bCs/>
                <w:color w:val="auto"/>
                <w:szCs w:val="21"/>
                <w:highlight w:val="none"/>
              </w:rPr>
            </w:pPr>
          </w:p>
          <w:p w14:paraId="4FA84F51">
            <w:pPr>
              <w:adjustRightInd w:val="0"/>
              <w:snapToGrid w:val="0"/>
              <w:jc w:val="center"/>
              <w:rPr>
                <w:rFonts w:hint="default" w:ascii="Times New Roman" w:hAnsi="Times New Roman" w:cs="Times New Roman"/>
                <w:bCs/>
                <w:color w:val="auto"/>
                <w:szCs w:val="21"/>
                <w:highlight w:val="none"/>
              </w:rPr>
            </w:pPr>
          </w:p>
          <w:p w14:paraId="7F5BDA70">
            <w:pPr>
              <w:adjustRightInd w:val="0"/>
              <w:snapToGrid w:val="0"/>
              <w:jc w:val="center"/>
              <w:rPr>
                <w:rFonts w:hint="default" w:ascii="Times New Roman" w:hAnsi="Times New Roman" w:cs="Times New Roman"/>
                <w:bCs/>
                <w:color w:val="auto"/>
                <w:szCs w:val="21"/>
                <w:highlight w:val="none"/>
              </w:rPr>
            </w:pPr>
          </w:p>
          <w:p w14:paraId="66352FF7">
            <w:pPr>
              <w:adjustRightInd w:val="0"/>
              <w:snapToGrid w:val="0"/>
              <w:jc w:val="center"/>
              <w:rPr>
                <w:rFonts w:hint="default" w:ascii="Times New Roman" w:hAnsi="Times New Roman" w:cs="Times New Roman"/>
                <w:bCs/>
                <w:color w:val="auto"/>
                <w:szCs w:val="21"/>
                <w:highlight w:val="none"/>
              </w:rPr>
            </w:pPr>
          </w:p>
          <w:p w14:paraId="40F7607E">
            <w:pPr>
              <w:adjustRightInd w:val="0"/>
              <w:snapToGrid w:val="0"/>
              <w:jc w:val="center"/>
              <w:rPr>
                <w:rFonts w:hint="default" w:ascii="Times New Roman" w:hAnsi="Times New Roman" w:cs="Times New Roman"/>
                <w:bCs/>
                <w:color w:val="auto"/>
                <w:szCs w:val="21"/>
                <w:highlight w:val="none"/>
              </w:rPr>
            </w:pPr>
          </w:p>
          <w:p w14:paraId="7C0C7882">
            <w:pPr>
              <w:adjustRightInd w:val="0"/>
              <w:snapToGrid w:val="0"/>
              <w:jc w:val="center"/>
              <w:rPr>
                <w:rFonts w:hint="default" w:ascii="Times New Roman" w:hAnsi="Times New Roman" w:cs="Times New Roman"/>
                <w:bCs/>
                <w:color w:val="auto"/>
                <w:szCs w:val="21"/>
                <w:highlight w:val="none"/>
              </w:rPr>
            </w:pPr>
          </w:p>
          <w:p w14:paraId="40CB1F77">
            <w:pPr>
              <w:adjustRightInd w:val="0"/>
              <w:snapToGrid w:val="0"/>
              <w:jc w:val="center"/>
              <w:rPr>
                <w:rFonts w:hint="default" w:ascii="Times New Roman" w:hAnsi="Times New Roman" w:cs="Times New Roman"/>
                <w:bCs/>
                <w:color w:val="auto"/>
                <w:szCs w:val="21"/>
                <w:highlight w:val="none"/>
              </w:rPr>
            </w:pPr>
          </w:p>
          <w:p w14:paraId="485DCAE7">
            <w:pPr>
              <w:adjustRightInd w:val="0"/>
              <w:snapToGrid w:val="0"/>
              <w:jc w:val="center"/>
              <w:rPr>
                <w:rFonts w:hint="default" w:ascii="Times New Roman" w:hAnsi="Times New Roman" w:cs="Times New Roman"/>
                <w:bCs/>
                <w:color w:val="auto"/>
                <w:szCs w:val="21"/>
                <w:highlight w:val="none"/>
              </w:rPr>
            </w:pPr>
          </w:p>
          <w:p w14:paraId="2BA34774">
            <w:pPr>
              <w:adjustRightInd w:val="0"/>
              <w:snapToGrid w:val="0"/>
              <w:jc w:val="center"/>
              <w:rPr>
                <w:rFonts w:hint="default" w:ascii="Times New Roman" w:hAnsi="Times New Roman" w:cs="Times New Roman"/>
                <w:bCs/>
                <w:color w:val="auto"/>
                <w:szCs w:val="21"/>
                <w:highlight w:val="none"/>
              </w:rPr>
            </w:pPr>
          </w:p>
          <w:p w14:paraId="492A19B0">
            <w:pPr>
              <w:adjustRightInd w:val="0"/>
              <w:snapToGrid w:val="0"/>
              <w:jc w:val="center"/>
              <w:rPr>
                <w:rFonts w:hint="default" w:ascii="Times New Roman" w:hAnsi="Times New Roman" w:cs="Times New Roman"/>
                <w:bCs/>
                <w:color w:val="auto"/>
                <w:szCs w:val="21"/>
                <w:highlight w:val="none"/>
              </w:rPr>
            </w:pPr>
          </w:p>
          <w:p w14:paraId="476479EC">
            <w:pPr>
              <w:adjustRightInd w:val="0"/>
              <w:snapToGrid w:val="0"/>
              <w:jc w:val="center"/>
              <w:rPr>
                <w:rFonts w:hint="default" w:ascii="Times New Roman" w:hAnsi="Times New Roman" w:cs="Times New Roman"/>
                <w:bCs/>
                <w:color w:val="auto"/>
                <w:szCs w:val="21"/>
                <w:highlight w:val="none"/>
              </w:rPr>
            </w:pPr>
          </w:p>
          <w:p w14:paraId="2658DBBC">
            <w:pPr>
              <w:adjustRightInd w:val="0"/>
              <w:snapToGrid w:val="0"/>
              <w:jc w:val="center"/>
              <w:rPr>
                <w:rFonts w:hint="default" w:ascii="Times New Roman" w:hAnsi="Times New Roman" w:cs="Times New Roman"/>
                <w:bCs/>
                <w:color w:val="auto"/>
                <w:szCs w:val="21"/>
                <w:highlight w:val="none"/>
              </w:rPr>
            </w:pPr>
          </w:p>
          <w:p w14:paraId="7AE94BBE">
            <w:pPr>
              <w:adjustRightInd w:val="0"/>
              <w:snapToGrid w:val="0"/>
              <w:jc w:val="center"/>
              <w:rPr>
                <w:rFonts w:hint="default" w:ascii="Times New Roman" w:hAnsi="Times New Roman" w:cs="Times New Roman"/>
                <w:bCs/>
                <w:color w:val="auto"/>
                <w:szCs w:val="21"/>
                <w:highlight w:val="none"/>
              </w:rPr>
            </w:pPr>
          </w:p>
          <w:p w14:paraId="3AFC649C">
            <w:pPr>
              <w:adjustRightInd w:val="0"/>
              <w:snapToGrid w:val="0"/>
              <w:jc w:val="center"/>
              <w:rPr>
                <w:rFonts w:hint="default" w:ascii="Times New Roman" w:hAnsi="Times New Roman" w:cs="Times New Roman"/>
                <w:bCs/>
                <w:color w:val="auto"/>
                <w:szCs w:val="21"/>
                <w:highlight w:val="none"/>
              </w:rPr>
            </w:pPr>
          </w:p>
          <w:p w14:paraId="73755F28">
            <w:pPr>
              <w:adjustRightInd w:val="0"/>
              <w:snapToGrid w:val="0"/>
              <w:jc w:val="center"/>
              <w:rPr>
                <w:rFonts w:hint="default" w:ascii="Times New Roman" w:hAnsi="Times New Roman" w:cs="Times New Roman"/>
                <w:bCs/>
                <w:color w:val="auto"/>
                <w:szCs w:val="21"/>
                <w:highlight w:val="none"/>
              </w:rPr>
            </w:pPr>
          </w:p>
          <w:p w14:paraId="1B5C43ED">
            <w:pPr>
              <w:adjustRightInd w:val="0"/>
              <w:snapToGrid w:val="0"/>
              <w:jc w:val="center"/>
              <w:rPr>
                <w:rFonts w:hint="default" w:ascii="Times New Roman" w:hAnsi="Times New Roman" w:cs="Times New Roman"/>
                <w:bCs/>
                <w:color w:val="auto"/>
                <w:szCs w:val="21"/>
                <w:highlight w:val="none"/>
              </w:rPr>
            </w:pPr>
          </w:p>
          <w:p w14:paraId="56D09EAC">
            <w:pPr>
              <w:adjustRightInd w:val="0"/>
              <w:snapToGrid w:val="0"/>
              <w:jc w:val="center"/>
              <w:rPr>
                <w:rFonts w:hint="default" w:ascii="Times New Roman" w:hAnsi="Times New Roman" w:cs="Times New Roman"/>
                <w:bCs/>
                <w:color w:val="auto"/>
                <w:szCs w:val="21"/>
                <w:highlight w:val="none"/>
              </w:rPr>
            </w:pPr>
          </w:p>
          <w:p w14:paraId="3CEEDD0F">
            <w:pPr>
              <w:pStyle w:val="2"/>
              <w:rPr>
                <w:rFonts w:hint="default" w:ascii="Times New Roman" w:hAnsi="Times New Roman" w:cs="Times New Roman"/>
                <w:bCs/>
                <w:color w:val="auto"/>
                <w:szCs w:val="21"/>
                <w:highlight w:val="none"/>
              </w:rPr>
            </w:pPr>
          </w:p>
          <w:p w14:paraId="13C0B8CC">
            <w:pPr>
              <w:rPr>
                <w:rFonts w:hint="default" w:ascii="Times New Roman" w:hAnsi="Times New Roman" w:cs="Times New Roman"/>
                <w:bCs/>
                <w:color w:val="auto"/>
                <w:szCs w:val="21"/>
                <w:highlight w:val="none"/>
              </w:rPr>
            </w:pPr>
          </w:p>
          <w:p w14:paraId="0CB6745E">
            <w:pPr>
              <w:pStyle w:val="2"/>
              <w:rPr>
                <w:rFonts w:hint="default"/>
              </w:rPr>
            </w:pPr>
          </w:p>
          <w:p w14:paraId="0C42F397">
            <w:pPr>
              <w:adjustRightInd w:val="0"/>
              <w:snapToGrid w:val="0"/>
              <w:rPr>
                <w:rFonts w:hint="default" w:ascii="Times New Roman" w:hAnsi="Times New Roman" w:cs="Times New Roman"/>
                <w:bCs/>
                <w:color w:val="auto"/>
                <w:szCs w:val="21"/>
                <w:highlight w:val="none"/>
              </w:rPr>
            </w:pPr>
          </w:p>
          <w:p w14:paraId="4B8144B9">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570B1F49">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217C498F">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712C89FD">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229F2C26">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6C1E884E">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735E83E5">
            <w:pPr>
              <w:adjustRightInd w:val="0"/>
              <w:snapToGrid w:val="0"/>
              <w:jc w:val="center"/>
              <w:rPr>
                <w:rFonts w:hint="default" w:ascii="Times New Roman" w:hAnsi="Times New Roman" w:cs="Times New Roman"/>
                <w:bCs/>
                <w:color w:val="auto"/>
                <w:szCs w:val="21"/>
                <w:highlight w:val="none"/>
              </w:rPr>
            </w:pPr>
          </w:p>
          <w:p w14:paraId="3B824FFF">
            <w:pPr>
              <w:adjustRightInd w:val="0"/>
              <w:snapToGrid w:val="0"/>
              <w:jc w:val="center"/>
              <w:rPr>
                <w:rFonts w:hint="default" w:ascii="Times New Roman" w:hAnsi="Times New Roman" w:cs="Times New Roman"/>
                <w:bCs/>
                <w:color w:val="auto"/>
                <w:szCs w:val="21"/>
                <w:highlight w:val="none"/>
              </w:rPr>
            </w:pPr>
          </w:p>
          <w:p w14:paraId="591A5050">
            <w:pPr>
              <w:adjustRightInd w:val="0"/>
              <w:snapToGrid w:val="0"/>
              <w:jc w:val="center"/>
              <w:rPr>
                <w:rFonts w:hint="default" w:ascii="Times New Roman" w:hAnsi="Times New Roman" w:cs="Times New Roman"/>
                <w:bCs/>
                <w:color w:val="auto"/>
                <w:szCs w:val="21"/>
                <w:highlight w:val="none"/>
              </w:rPr>
            </w:pPr>
          </w:p>
          <w:p w14:paraId="19690305">
            <w:pPr>
              <w:adjustRightInd w:val="0"/>
              <w:snapToGrid w:val="0"/>
              <w:jc w:val="center"/>
              <w:rPr>
                <w:rFonts w:hint="default" w:ascii="Times New Roman" w:hAnsi="Times New Roman" w:cs="Times New Roman"/>
                <w:bCs/>
                <w:color w:val="auto"/>
                <w:szCs w:val="21"/>
                <w:highlight w:val="none"/>
              </w:rPr>
            </w:pPr>
          </w:p>
          <w:p w14:paraId="06142025">
            <w:pPr>
              <w:adjustRightInd w:val="0"/>
              <w:snapToGrid w:val="0"/>
              <w:jc w:val="center"/>
              <w:rPr>
                <w:rFonts w:hint="default" w:ascii="Times New Roman" w:hAnsi="Times New Roman" w:cs="Times New Roman"/>
                <w:bCs/>
                <w:color w:val="auto"/>
                <w:szCs w:val="21"/>
                <w:highlight w:val="none"/>
              </w:rPr>
            </w:pPr>
          </w:p>
          <w:p w14:paraId="5FDBD988">
            <w:pPr>
              <w:adjustRightInd w:val="0"/>
              <w:snapToGrid w:val="0"/>
              <w:jc w:val="center"/>
              <w:rPr>
                <w:rFonts w:hint="default" w:ascii="Times New Roman" w:hAnsi="Times New Roman" w:cs="Times New Roman"/>
                <w:bCs/>
                <w:color w:val="auto"/>
                <w:szCs w:val="21"/>
                <w:highlight w:val="none"/>
              </w:rPr>
            </w:pPr>
          </w:p>
          <w:p w14:paraId="74D15A66">
            <w:pPr>
              <w:adjustRightInd w:val="0"/>
              <w:snapToGrid w:val="0"/>
              <w:jc w:val="center"/>
              <w:rPr>
                <w:rFonts w:hint="default" w:ascii="Times New Roman" w:hAnsi="Times New Roman" w:cs="Times New Roman"/>
                <w:bCs/>
                <w:color w:val="auto"/>
                <w:szCs w:val="21"/>
                <w:highlight w:val="none"/>
              </w:rPr>
            </w:pPr>
          </w:p>
          <w:p w14:paraId="5B06FC29">
            <w:pPr>
              <w:adjustRightInd w:val="0"/>
              <w:snapToGrid w:val="0"/>
              <w:jc w:val="center"/>
              <w:rPr>
                <w:rFonts w:hint="default" w:ascii="Times New Roman" w:hAnsi="Times New Roman" w:cs="Times New Roman"/>
                <w:bCs/>
                <w:color w:val="auto"/>
                <w:szCs w:val="21"/>
                <w:highlight w:val="none"/>
              </w:rPr>
            </w:pPr>
          </w:p>
          <w:p w14:paraId="54D0AF23">
            <w:pPr>
              <w:adjustRightInd w:val="0"/>
              <w:snapToGrid w:val="0"/>
              <w:jc w:val="center"/>
              <w:rPr>
                <w:rFonts w:hint="default" w:ascii="Times New Roman" w:hAnsi="Times New Roman" w:cs="Times New Roman"/>
                <w:bCs/>
                <w:color w:val="auto"/>
                <w:szCs w:val="21"/>
                <w:highlight w:val="none"/>
              </w:rPr>
            </w:pPr>
          </w:p>
          <w:p w14:paraId="5885E691">
            <w:pPr>
              <w:adjustRightInd w:val="0"/>
              <w:snapToGrid w:val="0"/>
              <w:jc w:val="center"/>
              <w:rPr>
                <w:rFonts w:hint="default" w:ascii="Times New Roman" w:hAnsi="Times New Roman" w:cs="Times New Roman"/>
                <w:bCs/>
                <w:color w:val="auto"/>
                <w:szCs w:val="21"/>
                <w:highlight w:val="none"/>
              </w:rPr>
            </w:pPr>
          </w:p>
          <w:p w14:paraId="70AA3AF2">
            <w:pPr>
              <w:adjustRightInd w:val="0"/>
              <w:snapToGrid w:val="0"/>
              <w:jc w:val="center"/>
              <w:rPr>
                <w:rFonts w:hint="default" w:ascii="Times New Roman" w:hAnsi="Times New Roman" w:cs="Times New Roman"/>
                <w:bCs/>
                <w:color w:val="auto"/>
                <w:szCs w:val="21"/>
                <w:highlight w:val="none"/>
              </w:rPr>
            </w:pPr>
          </w:p>
          <w:p w14:paraId="2D26A609">
            <w:pPr>
              <w:adjustRightInd w:val="0"/>
              <w:snapToGrid w:val="0"/>
              <w:jc w:val="center"/>
              <w:rPr>
                <w:rFonts w:hint="default" w:ascii="Times New Roman" w:hAnsi="Times New Roman" w:cs="Times New Roman"/>
                <w:bCs/>
                <w:color w:val="auto"/>
                <w:szCs w:val="21"/>
                <w:highlight w:val="none"/>
              </w:rPr>
            </w:pPr>
          </w:p>
          <w:p w14:paraId="67F68F20">
            <w:pPr>
              <w:adjustRightInd w:val="0"/>
              <w:snapToGrid w:val="0"/>
              <w:jc w:val="center"/>
              <w:rPr>
                <w:rFonts w:hint="default" w:ascii="Times New Roman" w:hAnsi="Times New Roman" w:cs="Times New Roman"/>
                <w:bCs/>
                <w:color w:val="auto"/>
                <w:szCs w:val="21"/>
                <w:highlight w:val="none"/>
              </w:rPr>
            </w:pPr>
          </w:p>
          <w:p w14:paraId="52115346">
            <w:pPr>
              <w:adjustRightInd w:val="0"/>
              <w:snapToGrid w:val="0"/>
              <w:jc w:val="center"/>
              <w:rPr>
                <w:rFonts w:hint="default" w:ascii="Times New Roman" w:hAnsi="Times New Roman" w:cs="Times New Roman"/>
                <w:bCs/>
                <w:color w:val="auto"/>
                <w:szCs w:val="21"/>
                <w:highlight w:val="none"/>
              </w:rPr>
            </w:pPr>
          </w:p>
          <w:p w14:paraId="5E2E7E6A">
            <w:pPr>
              <w:adjustRightInd w:val="0"/>
              <w:snapToGrid w:val="0"/>
              <w:jc w:val="center"/>
              <w:rPr>
                <w:rFonts w:hint="default" w:ascii="Times New Roman" w:hAnsi="Times New Roman" w:cs="Times New Roman"/>
                <w:bCs/>
                <w:color w:val="auto"/>
                <w:szCs w:val="21"/>
                <w:highlight w:val="none"/>
              </w:rPr>
            </w:pPr>
          </w:p>
          <w:p w14:paraId="5CBBF9B1">
            <w:pPr>
              <w:adjustRightInd w:val="0"/>
              <w:snapToGrid w:val="0"/>
              <w:jc w:val="center"/>
              <w:rPr>
                <w:rFonts w:hint="default" w:ascii="Times New Roman" w:hAnsi="Times New Roman" w:cs="Times New Roman"/>
                <w:bCs/>
                <w:color w:val="auto"/>
                <w:szCs w:val="21"/>
                <w:highlight w:val="none"/>
              </w:rPr>
            </w:pPr>
          </w:p>
          <w:p w14:paraId="63889819">
            <w:pPr>
              <w:adjustRightInd w:val="0"/>
              <w:snapToGrid w:val="0"/>
              <w:jc w:val="center"/>
              <w:rPr>
                <w:rFonts w:hint="default" w:ascii="Times New Roman" w:hAnsi="Times New Roman" w:cs="Times New Roman"/>
                <w:bCs/>
                <w:color w:val="auto"/>
                <w:szCs w:val="21"/>
                <w:highlight w:val="none"/>
              </w:rPr>
            </w:pPr>
          </w:p>
          <w:p w14:paraId="1BC92742">
            <w:pPr>
              <w:adjustRightInd w:val="0"/>
              <w:snapToGrid w:val="0"/>
              <w:jc w:val="center"/>
              <w:rPr>
                <w:rFonts w:hint="default" w:ascii="Times New Roman" w:hAnsi="Times New Roman" w:cs="Times New Roman"/>
                <w:bCs/>
                <w:color w:val="auto"/>
                <w:szCs w:val="21"/>
                <w:highlight w:val="none"/>
              </w:rPr>
            </w:pPr>
          </w:p>
          <w:p w14:paraId="32C1E271">
            <w:pPr>
              <w:adjustRightInd w:val="0"/>
              <w:snapToGrid w:val="0"/>
              <w:jc w:val="center"/>
              <w:rPr>
                <w:rFonts w:hint="default" w:ascii="Times New Roman" w:hAnsi="Times New Roman" w:cs="Times New Roman"/>
                <w:bCs/>
                <w:color w:val="auto"/>
                <w:szCs w:val="21"/>
                <w:highlight w:val="none"/>
              </w:rPr>
            </w:pPr>
          </w:p>
          <w:p w14:paraId="4B30F50B">
            <w:pPr>
              <w:adjustRightInd w:val="0"/>
              <w:snapToGrid w:val="0"/>
              <w:jc w:val="center"/>
              <w:rPr>
                <w:rFonts w:hint="default" w:ascii="Times New Roman" w:hAnsi="Times New Roman" w:cs="Times New Roman"/>
                <w:bCs/>
                <w:color w:val="auto"/>
                <w:szCs w:val="21"/>
                <w:highlight w:val="none"/>
              </w:rPr>
            </w:pPr>
          </w:p>
          <w:p w14:paraId="413F853D">
            <w:pPr>
              <w:adjustRightInd w:val="0"/>
              <w:snapToGrid w:val="0"/>
              <w:jc w:val="center"/>
              <w:rPr>
                <w:rFonts w:hint="default" w:ascii="Times New Roman" w:hAnsi="Times New Roman" w:cs="Times New Roman"/>
                <w:bCs/>
                <w:color w:val="auto"/>
                <w:szCs w:val="21"/>
                <w:highlight w:val="none"/>
              </w:rPr>
            </w:pPr>
          </w:p>
          <w:p w14:paraId="23020F4D">
            <w:pPr>
              <w:adjustRightInd w:val="0"/>
              <w:snapToGrid w:val="0"/>
              <w:jc w:val="center"/>
              <w:rPr>
                <w:rFonts w:hint="default" w:ascii="Times New Roman" w:hAnsi="Times New Roman" w:cs="Times New Roman"/>
                <w:bCs/>
                <w:color w:val="auto"/>
                <w:szCs w:val="21"/>
                <w:highlight w:val="none"/>
              </w:rPr>
            </w:pPr>
          </w:p>
          <w:p w14:paraId="11AF8208">
            <w:pPr>
              <w:adjustRightInd w:val="0"/>
              <w:snapToGrid w:val="0"/>
              <w:jc w:val="center"/>
              <w:rPr>
                <w:rFonts w:hint="default" w:ascii="Times New Roman" w:hAnsi="Times New Roman" w:cs="Times New Roman"/>
                <w:bCs/>
                <w:color w:val="auto"/>
                <w:szCs w:val="21"/>
                <w:highlight w:val="none"/>
              </w:rPr>
            </w:pPr>
          </w:p>
          <w:p w14:paraId="74BC94E2">
            <w:pPr>
              <w:adjustRightInd w:val="0"/>
              <w:snapToGrid w:val="0"/>
              <w:jc w:val="center"/>
              <w:rPr>
                <w:rFonts w:hint="default" w:ascii="Times New Roman" w:hAnsi="Times New Roman" w:cs="Times New Roman"/>
                <w:bCs/>
                <w:color w:val="auto"/>
                <w:szCs w:val="21"/>
                <w:highlight w:val="none"/>
              </w:rPr>
            </w:pPr>
          </w:p>
          <w:p w14:paraId="1AE262CD">
            <w:pPr>
              <w:adjustRightInd w:val="0"/>
              <w:snapToGrid w:val="0"/>
              <w:jc w:val="center"/>
              <w:rPr>
                <w:rFonts w:hint="default" w:ascii="Times New Roman" w:hAnsi="Times New Roman" w:cs="Times New Roman"/>
                <w:bCs/>
                <w:color w:val="auto"/>
                <w:szCs w:val="21"/>
                <w:highlight w:val="none"/>
              </w:rPr>
            </w:pPr>
          </w:p>
          <w:p w14:paraId="47538D58">
            <w:pPr>
              <w:adjustRightInd w:val="0"/>
              <w:snapToGrid w:val="0"/>
              <w:jc w:val="center"/>
              <w:rPr>
                <w:rFonts w:hint="default" w:ascii="Times New Roman" w:hAnsi="Times New Roman" w:cs="Times New Roman"/>
                <w:bCs/>
                <w:color w:val="auto"/>
                <w:szCs w:val="21"/>
                <w:highlight w:val="none"/>
              </w:rPr>
            </w:pPr>
          </w:p>
          <w:p w14:paraId="14578607">
            <w:pPr>
              <w:adjustRightInd w:val="0"/>
              <w:snapToGrid w:val="0"/>
              <w:rPr>
                <w:rFonts w:hint="default" w:ascii="Times New Roman" w:hAnsi="Times New Roman" w:cs="Times New Roman"/>
                <w:bCs/>
                <w:color w:val="auto"/>
                <w:szCs w:val="21"/>
                <w:highlight w:val="none"/>
              </w:rPr>
            </w:pPr>
          </w:p>
          <w:p w14:paraId="5BCF6A54">
            <w:pPr>
              <w:pStyle w:val="46"/>
              <w:rPr>
                <w:rFonts w:hint="default" w:ascii="Times New Roman" w:hAnsi="Times New Roman" w:cs="Times New Roman"/>
                <w:bCs/>
                <w:color w:val="auto"/>
                <w:szCs w:val="21"/>
                <w:highlight w:val="none"/>
              </w:rPr>
            </w:pPr>
          </w:p>
          <w:p w14:paraId="7153C06B">
            <w:pPr>
              <w:pStyle w:val="46"/>
              <w:rPr>
                <w:rFonts w:hint="default" w:ascii="Times New Roman" w:hAnsi="Times New Roman" w:cs="Times New Roman"/>
                <w:bCs/>
                <w:color w:val="auto"/>
                <w:szCs w:val="21"/>
                <w:highlight w:val="none"/>
              </w:rPr>
            </w:pPr>
          </w:p>
          <w:p w14:paraId="1B829C7B">
            <w:pPr>
              <w:pStyle w:val="46"/>
              <w:rPr>
                <w:rFonts w:hint="default" w:ascii="Times New Roman" w:hAnsi="Times New Roman" w:cs="Times New Roman"/>
                <w:bCs/>
                <w:color w:val="auto"/>
                <w:szCs w:val="21"/>
                <w:highlight w:val="none"/>
              </w:rPr>
            </w:pPr>
          </w:p>
          <w:p w14:paraId="55E147FB">
            <w:pPr>
              <w:pStyle w:val="46"/>
              <w:rPr>
                <w:rFonts w:hint="default" w:ascii="Times New Roman" w:hAnsi="Times New Roman" w:cs="Times New Roman"/>
                <w:bCs/>
                <w:color w:val="auto"/>
                <w:szCs w:val="21"/>
                <w:highlight w:val="none"/>
              </w:rPr>
            </w:pPr>
          </w:p>
          <w:p w14:paraId="3F8CD2A7">
            <w:pPr>
              <w:adjustRightInd w:val="0"/>
              <w:snapToGrid w:val="0"/>
              <w:jc w:val="center"/>
              <w:rPr>
                <w:rFonts w:hint="default" w:ascii="Times New Roman" w:hAnsi="Times New Roman" w:cs="Times New Roman"/>
                <w:bCs/>
                <w:color w:val="auto"/>
                <w:szCs w:val="21"/>
                <w:highlight w:val="none"/>
              </w:rPr>
            </w:pPr>
          </w:p>
          <w:p w14:paraId="3F114F71">
            <w:pPr>
              <w:adjustRightInd w:val="0"/>
              <w:snapToGrid w:val="0"/>
              <w:jc w:val="center"/>
              <w:rPr>
                <w:rFonts w:hint="default" w:ascii="Times New Roman" w:hAnsi="Times New Roman" w:cs="Times New Roman"/>
                <w:bCs/>
                <w:color w:val="auto"/>
                <w:sz w:val="24"/>
                <w:highlight w:val="none"/>
              </w:rPr>
            </w:pPr>
          </w:p>
          <w:p w14:paraId="3D61B5ED">
            <w:pPr>
              <w:adjustRightInd w:val="0"/>
              <w:snapToGrid w:val="0"/>
              <w:jc w:val="center"/>
              <w:rPr>
                <w:rFonts w:hint="default" w:ascii="Times New Roman" w:hAnsi="Times New Roman" w:cs="Times New Roman"/>
                <w:bCs/>
                <w:color w:val="auto"/>
                <w:sz w:val="24"/>
                <w:highlight w:val="none"/>
              </w:rPr>
            </w:pPr>
          </w:p>
          <w:p w14:paraId="62AF68F4">
            <w:pPr>
              <w:pStyle w:val="2"/>
              <w:rPr>
                <w:rFonts w:hint="default" w:ascii="Times New Roman" w:hAnsi="Times New Roman" w:cs="Times New Roman"/>
                <w:bCs/>
                <w:color w:val="auto"/>
                <w:sz w:val="24"/>
                <w:highlight w:val="none"/>
              </w:rPr>
            </w:pPr>
          </w:p>
          <w:p w14:paraId="06E2C776">
            <w:pPr>
              <w:rPr>
                <w:rFonts w:hint="default" w:ascii="Times New Roman" w:hAnsi="Times New Roman" w:cs="Times New Roman"/>
                <w:bCs/>
                <w:color w:val="auto"/>
                <w:sz w:val="24"/>
                <w:highlight w:val="none"/>
              </w:rPr>
            </w:pPr>
          </w:p>
          <w:p w14:paraId="3E14A23B">
            <w:pPr>
              <w:pStyle w:val="2"/>
              <w:rPr>
                <w:rFonts w:hint="default"/>
              </w:rPr>
            </w:pPr>
          </w:p>
          <w:p w14:paraId="18119FB0">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5EDE7D08">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207A268C">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56BFA7B6">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4091573C">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54D0FD08">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5B8A2646">
            <w:pPr>
              <w:adjustRightInd w:val="0"/>
              <w:snapToGrid w:val="0"/>
              <w:jc w:val="center"/>
              <w:rPr>
                <w:rFonts w:hint="default" w:ascii="Times New Roman" w:hAnsi="Times New Roman" w:cs="Times New Roman"/>
                <w:bCs/>
                <w:color w:val="auto"/>
                <w:szCs w:val="21"/>
                <w:highlight w:val="none"/>
              </w:rPr>
            </w:pPr>
          </w:p>
          <w:p w14:paraId="24C4E5E9">
            <w:pPr>
              <w:adjustRightInd w:val="0"/>
              <w:snapToGrid w:val="0"/>
              <w:jc w:val="center"/>
              <w:rPr>
                <w:rFonts w:hint="default" w:ascii="Times New Roman" w:hAnsi="Times New Roman" w:cs="Times New Roman"/>
                <w:bCs/>
                <w:color w:val="auto"/>
                <w:szCs w:val="21"/>
                <w:highlight w:val="none"/>
              </w:rPr>
            </w:pPr>
          </w:p>
          <w:p w14:paraId="6E07D73A">
            <w:pPr>
              <w:adjustRightInd w:val="0"/>
              <w:snapToGrid w:val="0"/>
              <w:jc w:val="center"/>
              <w:rPr>
                <w:rFonts w:hint="default" w:ascii="Times New Roman" w:hAnsi="Times New Roman" w:cs="Times New Roman"/>
                <w:bCs/>
                <w:color w:val="auto"/>
                <w:szCs w:val="21"/>
                <w:highlight w:val="none"/>
              </w:rPr>
            </w:pPr>
          </w:p>
          <w:p w14:paraId="7202AAA6">
            <w:pPr>
              <w:adjustRightInd w:val="0"/>
              <w:snapToGrid w:val="0"/>
              <w:jc w:val="center"/>
              <w:rPr>
                <w:rFonts w:hint="default" w:ascii="Times New Roman" w:hAnsi="Times New Roman" w:cs="Times New Roman"/>
                <w:bCs/>
                <w:color w:val="auto"/>
                <w:szCs w:val="21"/>
                <w:highlight w:val="none"/>
              </w:rPr>
            </w:pPr>
          </w:p>
          <w:p w14:paraId="5D7852D8">
            <w:pPr>
              <w:adjustRightInd w:val="0"/>
              <w:snapToGrid w:val="0"/>
              <w:jc w:val="center"/>
              <w:rPr>
                <w:rFonts w:hint="default" w:ascii="Times New Roman" w:hAnsi="Times New Roman" w:cs="Times New Roman"/>
                <w:bCs/>
                <w:color w:val="auto"/>
                <w:szCs w:val="21"/>
                <w:highlight w:val="none"/>
              </w:rPr>
            </w:pPr>
          </w:p>
          <w:p w14:paraId="12A010FD">
            <w:pPr>
              <w:adjustRightInd w:val="0"/>
              <w:snapToGrid w:val="0"/>
              <w:jc w:val="center"/>
              <w:rPr>
                <w:rFonts w:hint="default" w:ascii="Times New Roman" w:hAnsi="Times New Roman" w:cs="Times New Roman"/>
                <w:bCs/>
                <w:color w:val="auto"/>
                <w:szCs w:val="21"/>
                <w:highlight w:val="none"/>
              </w:rPr>
            </w:pPr>
          </w:p>
          <w:p w14:paraId="6A6483AA">
            <w:pPr>
              <w:adjustRightInd w:val="0"/>
              <w:snapToGrid w:val="0"/>
              <w:jc w:val="center"/>
              <w:rPr>
                <w:rFonts w:hint="default" w:ascii="Times New Roman" w:hAnsi="Times New Roman" w:cs="Times New Roman"/>
                <w:bCs/>
                <w:color w:val="auto"/>
                <w:szCs w:val="21"/>
                <w:highlight w:val="none"/>
              </w:rPr>
            </w:pPr>
          </w:p>
          <w:p w14:paraId="77438BE1">
            <w:pPr>
              <w:adjustRightInd w:val="0"/>
              <w:snapToGrid w:val="0"/>
              <w:jc w:val="center"/>
              <w:rPr>
                <w:rFonts w:hint="default" w:ascii="Times New Roman" w:hAnsi="Times New Roman" w:cs="Times New Roman"/>
                <w:bCs/>
                <w:color w:val="auto"/>
                <w:szCs w:val="21"/>
                <w:highlight w:val="none"/>
              </w:rPr>
            </w:pPr>
          </w:p>
          <w:p w14:paraId="52A4EE8B">
            <w:pPr>
              <w:adjustRightInd w:val="0"/>
              <w:snapToGrid w:val="0"/>
              <w:jc w:val="center"/>
              <w:rPr>
                <w:rFonts w:hint="default" w:ascii="Times New Roman" w:hAnsi="Times New Roman" w:cs="Times New Roman"/>
                <w:bCs/>
                <w:color w:val="auto"/>
                <w:szCs w:val="21"/>
                <w:highlight w:val="none"/>
              </w:rPr>
            </w:pPr>
          </w:p>
          <w:p w14:paraId="11BE356A">
            <w:pPr>
              <w:adjustRightInd w:val="0"/>
              <w:snapToGrid w:val="0"/>
              <w:jc w:val="center"/>
              <w:rPr>
                <w:rFonts w:hint="default" w:ascii="Times New Roman" w:hAnsi="Times New Roman" w:cs="Times New Roman"/>
                <w:bCs/>
                <w:color w:val="auto"/>
                <w:szCs w:val="21"/>
                <w:highlight w:val="none"/>
              </w:rPr>
            </w:pPr>
          </w:p>
          <w:p w14:paraId="1709D3CA">
            <w:pPr>
              <w:adjustRightInd w:val="0"/>
              <w:snapToGrid w:val="0"/>
              <w:jc w:val="center"/>
              <w:rPr>
                <w:rFonts w:hint="default" w:ascii="Times New Roman" w:hAnsi="Times New Roman" w:cs="Times New Roman"/>
                <w:bCs/>
                <w:color w:val="auto"/>
                <w:szCs w:val="21"/>
                <w:highlight w:val="none"/>
              </w:rPr>
            </w:pPr>
          </w:p>
          <w:p w14:paraId="68203F68">
            <w:pPr>
              <w:adjustRightInd w:val="0"/>
              <w:snapToGrid w:val="0"/>
              <w:jc w:val="center"/>
              <w:rPr>
                <w:rFonts w:hint="default" w:ascii="Times New Roman" w:hAnsi="Times New Roman" w:cs="Times New Roman"/>
                <w:bCs/>
                <w:color w:val="auto"/>
                <w:szCs w:val="21"/>
                <w:highlight w:val="none"/>
              </w:rPr>
            </w:pPr>
          </w:p>
          <w:p w14:paraId="5162DC67">
            <w:pPr>
              <w:adjustRightInd w:val="0"/>
              <w:snapToGrid w:val="0"/>
              <w:jc w:val="center"/>
              <w:rPr>
                <w:rFonts w:hint="default" w:ascii="Times New Roman" w:hAnsi="Times New Roman" w:cs="Times New Roman"/>
                <w:bCs/>
                <w:color w:val="auto"/>
                <w:szCs w:val="21"/>
                <w:highlight w:val="none"/>
              </w:rPr>
            </w:pPr>
          </w:p>
          <w:p w14:paraId="348B117B">
            <w:pPr>
              <w:adjustRightInd w:val="0"/>
              <w:snapToGrid w:val="0"/>
              <w:jc w:val="center"/>
              <w:rPr>
                <w:rFonts w:hint="default" w:ascii="Times New Roman" w:hAnsi="Times New Roman" w:cs="Times New Roman"/>
                <w:bCs/>
                <w:color w:val="auto"/>
                <w:szCs w:val="21"/>
                <w:highlight w:val="none"/>
              </w:rPr>
            </w:pPr>
          </w:p>
          <w:p w14:paraId="017F16BE">
            <w:pPr>
              <w:adjustRightInd w:val="0"/>
              <w:snapToGrid w:val="0"/>
              <w:jc w:val="center"/>
              <w:rPr>
                <w:rFonts w:hint="default" w:ascii="Times New Roman" w:hAnsi="Times New Roman" w:cs="Times New Roman"/>
                <w:bCs/>
                <w:color w:val="auto"/>
                <w:szCs w:val="21"/>
                <w:highlight w:val="none"/>
              </w:rPr>
            </w:pPr>
          </w:p>
          <w:p w14:paraId="638004FF">
            <w:pPr>
              <w:adjustRightInd w:val="0"/>
              <w:snapToGrid w:val="0"/>
              <w:jc w:val="center"/>
              <w:rPr>
                <w:rFonts w:hint="default" w:ascii="Times New Roman" w:hAnsi="Times New Roman" w:cs="Times New Roman"/>
                <w:bCs/>
                <w:color w:val="auto"/>
                <w:szCs w:val="21"/>
                <w:highlight w:val="none"/>
              </w:rPr>
            </w:pPr>
          </w:p>
          <w:p w14:paraId="13ED8FFF">
            <w:pPr>
              <w:adjustRightInd w:val="0"/>
              <w:snapToGrid w:val="0"/>
              <w:jc w:val="center"/>
              <w:rPr>
                <w:rFonts w:hint="default" w:ascii="Times New Roman" w:hAnsi="Times New Roman" w:cs="Times New Roman"/>
                <w:bCs/>
                <w:color w:val="auto"/>
                <w:szCs w:val="21"/>
                <w:highlight w:val="none"/>
              </w:rPr>
            </w:pPr>
          </w:p>
          <w:p w14:paraId="5642E492">
            <w:pPr>
              <w:adjustRightInd w:val="0"/>
              <w:snapToGrid w:val="0"/>
              <w:jc w:val="center"/>
              <w:rPr>
                <w:rFonts w:hint="default" w:ascii="Times New Roman" w:hAnsi="Times New Roman" w:cs="Times New Roman"/>
                <w:bCs/>
                <w:color w:val="auto"/>
                <w:szCs w:val="21"/>
                <w:highlight w:val="none"/>
              </w:rPr>
            </w:pPr>
          </w:p>
          <w:p w14:paraId="41BBA092">
            <w:pPr>
              <w:adjustRightInd w:val="0"/>
              <w:snapToGrid w:val="0"/>
              <w:jc w:val="center"/>
              <w:rPr>
                <w:rFonts w:hint="default" w:ascii="Times New Roman" w:hAnsi="Times New Roman" w:cs="Times New Roman"/>
                <w:bCs/>
                <w:color w:val="auto"/>
                <w:szCs w:val="21"/>
                <w:highlight w:val="none"/>
              </w:rPr>
            </w:pPr>
          </w:p>
          <w:p w14:paraId="2409448E">
            <w:pPr>
              <w:adjustRightInd w:val="0"/>
              <w:snapToGrid w:val="0"/>
              <w:jc w:val="center"/>
              <w:rPr>
                <w:rFonts w:hint="default" w:ascii="Times New Roman" w:hAnsi="Times New Roman" w:cs="Times New Roman"/>
                <w:bCs/>
                <w:color w:val="auto"/>
                <w:szCs w:val="21"/>
                <w:highlight w:val="none"/>
              </w:rPr>
            </w:pPr>
          </w:p>
          <w:p w14:paraId="1B24C747">
            <w:pPr>
              <w:adjustRightInd w:val="0"/>
              <w:snapToGrid w:val="0"/>
              <w:jc w:val="center"/>
              <w:rPr>
                <w:rFonts w:hint="default" w:ascii="Times New Roman" w:hAnsi="Times New Roman" w:cs="Times New Roman"/>
                <w:bCs/>
                <w:color w:val="auto"/>
                <w:szCs w:val="21"/>
                <w:highlight w:val="none"/>
              </w:rPr>
            </w:pPr>
          </w:p>
          <w:p w14:paraId="68757DED">
            <w:pPr>
              <w:adjustRightInd w:val="0"/>
              <w:snapToGrid w:val="0"/>
              <w:jc w:val="center"/>
              <w:rPr>
                <w:rFonts w:hint="default" w:ascii="Times New Roman" w:hAnsi="Times New Roman" w:cs="Times New Roman"/>
                <w:bCs/>
                <w:color w:val="auto"/>
                <w:szCs w:val="21"/>
                <w:highlight w:val="none"/>
              </w:rPr>
            </w:pPr>
          </w:p>
          <w:p w14:paraId="51261CAC">
            <w:pPr>
              <w:adjustRightInd w:val="0"/>
              <w:snapToGrid w:val="0"/>
              <w:jc w:val="center"/>
              <w:rPr>
                <w:rFonts w:hint="default" w:ascii="Times New Roman" w:hAnsi="Times New Roman" w:cs="Times New Roman"/>
                <w:bCs/>
                <w:color w:val="auto"/>
                <w:szCs w:val="21"/>
                <w:highlight w:val="none"/>
              </w:rPr>
            </w:pPr>
          </w:p>
          <w:p w14:paraId="128098C5">
            <w:pPr>
              <w:adjustRightInd w:val="0"/>
              <w:snapToGrid w:val="0"/>
              <w:jc w:val="center"/>
              <w:rPr>
                <w:rFonts w:hint="default" w:ascii="Times New Roman" w:hAnsi="Times New Roman" w:cs="Times New Roman"/>
                <w:bCs/>
                <w:color w:val="auto"/>
                <w:szCs w:val="21"/>
                <w:highlight w:val="none"/>
              </w:rPr>
            </w:pPr>
          </w:p>
          <w:p w14:paraId="3EE613B5">
            <w:pPr>
              <w:adjustRightInd w:val="0"/>
              <w:snapToGrid w:val="0"/>
              <w:jc w:val="center"/>
              <w:rPr>
                <w:rFonts w:hint="default" w:ascii="Times New Roman" w:hAnsi="Times New Roman" w:cs="Times New Roman"/>
                <w:bCs/>
                <w:color w:val="auto"/>
                <w:szCs w:val="21"/>
                <w:highlight w:val="none"/>
              </w:rPr>
            </w:pPr>
          </w:p>
          <w:p w14:paraId="49718CF8">
            <w:pPr>
              <w:adjustRightInd w:val="0"/>
              <w:snapToGrid w:val="0"/>
              <w:jc w:val="center"/>
              <w:rPr>
                <w:rFonts w:hint="default" w:ascii="Times New Roman" w:hAnsi="Times New Roman" w:cs="Times New Roman"/>
                <w:bCs/>
                <w:color w:val="auto"/>
                <w:szCs w:val="21"/>
                <w:highlight w:val="none"/>
              </w:rPr>
            </w:pPr>
          </w:p>
          <w:p w14:paraId="6177D10B">
            <w:pPr>
              <w:adjustRightInd w:val="0"/>
              <w:snapToGrid w:val="0"/>
              <w:jc w:val="center"/>
              <w:rPr>
                <w:rFonts w:hint="default" w:ascii="Times New Roman" w:hAnsi="Times New Roman" w:cs="Times New Roman"/>
                <w:bCs/>
                <w:color w:val="auto"/>
                <w:szCs w:val="21"/>
                <w:highlight w:val="none"/>
              </w:rPr>
            </w:pPr>
          </w:p>
          <w:p w14:paraId="01BA89B4">
            <w:pPr>
              <w:adjustRightInd w:val="0"/>
              <w:snapToGrid w:val="0"/>
              <w:jc w:val="center"/>
              <w:rPr>
                <w:rFonts w:hint="default" w:ascii="Times New Roman" w:hAnsi="Times New Roman" w:cs="Times New Roman"/>
                <w:bCs/>
                <w:color w:val="auto"/>
                <w:szCs w:val="21"/>
                <w:highlight w:val="none"/>
              </w:rPr>
            </w:pPr>
          </w:p>
          <w:p w14:paraId="677E3F69">
            <w:pPr>
              <w:adjustRightInd w:val="0"/>
              <w:snapToGrid w:val="0"/>
              <w:jc w:val="center"/>
              <w:rPr>
                <w:rFonts w:hint="default" w:ascii="Times New Roman" w:hAnsi="Times New Roman" w:cs="Times New Roman"/>
                <w:bCs/>
                <w:color w:val="auto"/>
                <w:szCs w:val="21"/>
                <w:highlight w:val="none"/>
              </w:rPr>
            </w:pPr>
          </w:p>
          <w:p w14:paraId="301980DF">
            <w:pPr>
              <w:adjustRightInd w:val="0"/>
              <w:snapToGrid w:val="0"/>
              <w:jc w:val="center"/>
              <w:rPr>
                <w:rFonts w:hint="default" w:ascii="Times New Roman" w:hAnsi="Times New Roman" w:cs="Times New Roman"/>
                <w:bCs/>
                <w:color w:val="auto"/>
                <w:szCs w:val="21"/>
                <w:highlight w:val="none"/>
              </w:rPr>
            </w:pPr>
          </w:p>
          <w:p w14:paraId="17E446F2">
            <w:pPr>
              <w:adjustRightInd w:val="0"/>
              <w:snapToGrid w:val="0"/>
              <w:jc w:val="center"/>
              <w:rPr>
                <w:rFonts w:hint="default" w:ascii="Times New Roman" w:hAnsi="Times New Roman" w:cs="Times New Roman"/>
                <w:bCs/>
                <w:color w:val="auto"/>
                <w:szCs w:val="21"/>
                <w:highlight w:val="none"/>
              </w:rPr>
            </w:pPr>
          </w:p>
          <w:p w14:paraId="2A08ED47">
            <w:pPr>
              <w:adjustRightInd w:val="0"/>
              <w:snapToGrid w:val="0"/>
              <w:jc w:val="center"/>
              <w:rPr>
                <w:rFonts w:hint="default" w:ascii="Times New Roman" w:hAnsi="Times New Roman" w:cs="Times New Roman"/>
                <w:bCs/>
                <w:color w:val="auto"/>
                <w:szCs w:val="21"/>
                <w:highlight w:val="none"/>
              </w:rPr>
            </w:pPr>
          </w:p>
          <w:p w14:paraId="172D0DC2">
            <w:pPr>
              <w:adjustRightInd w:val="0"/>
              <w:snapToGrid w:val="0"/>
              <w:jc w:val="center"/>
              <w:rPr>
                <w:rFonts w:hint="default" w:ascii="Times New Roman" w:hAnsi="Times New Roman" w:cs="Times New Roman"/>
                <w:bCs/>
                <w:color w:val="auto"/>
                <w:szCs w:val="21"/>
                <w:highlight w:val="none"/>
              </w:rPr>
            </w:pPr>
          </w:p>
          <w:p w14:paraId="67BB9411">
            <w:pPr>
              <w:adjustRightInd w:val="0"/>
              <w:snapToGrid w:val="0"/>
              <w:jc w:val="center"/>
              <w:rPr>
                <w:rFonts w:hint="default" w:ascii="Times New Roman" w:hAnsi="Times New Roman" w:cs="Times New Roman"/>
                <w:bCs/>
                <w:color w:val="auto"/>
                <w:szCs w:val="21"/>
                <w:highlight w:val="none"/>
              </w:rPr>
            </w:pPr>
          </w:p>
          <w:p w14:paraId="4BD61899">
            <w:pPr>
              <w:adjustRightInd w:val="0"/>
              <w:snapToGrid w:val="0"/>
              <w:rPr>
                <w:rFonts w:hint="default" w:ascii="Times New Roman" w:hAnsi="Times New Roman" w:cs="Times New Roman"/>
                <w:bCs/>
                <w:color w:val="auto"/>
                <w:szCs w:val="21"/>
                <w:highlight w:val="none"/>
              </w:rPr>
            </w:pPr>
          </w:p>
          <w:p w14:paraId="278F5F86">
            <w:pPr>
              <w:adjustRightInd w:val="0"/>
              <w:snapToGrid w:val="0"/>
              <w:jc w:val="center"/>
              <w:rPr>
                <w:rFonts w:hint="default" w:ascii="Times New Roman" w:hAnsi="Times New Roman" w:cs="Times New Roman"/>
                <w:bCs/>
                <w:color w:val="auto"/>
                <w:szCs w:val="21"/>
                <w:highlight w:val="none"/>
              </w:rPr>
            </w:pPr>
          </w:p>
          <w:p w14:paraId="2A019D7C">
            <w:pPr>
              <w:pStyle w:val="2"/>
              <w:rPr>
                <w:rFonts w:hint="default" w:ascii="Times New Roman" w:hAnsi="Times New Roman" w:cs="Times New Roman"/>
                <w:bCs/>
                <w:color w:val="auto"/>
                <w:szCs w:val="21"/>
                <w:highlight w:val="none"/>
              </w:rPr>
            </w:pPr>
          </w:p>
          <w:p w14:paraId="04FC9377">
            <w:pPr>
              <w:rPr>
                <w:rFonts w:hint="default" w:ascii="Times New Roman" w:hAnsi="Times New Roman" w:cs="Times New Roman"/>
                <w:bCs/>
                <w:color w:val="auto"/>
                <w:szCs w:val="21"/>
                <w:highlight w:val="none"/>
              </w:rPr>
            </w:pPr>
          </w:p>
          <w:p w14:paraId="78AA67A8">
            <w:pPr>
              <w:pStyle w:val="2"/>
              <w:rPr>
                <w:rFonts w:hint="default"/>
              </w:rPr>
            </w:pPr>
          </w:p>
          <w:p w14:paraId="1A9FEF99">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28AB7FDC">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07483DF2">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007DAD8A">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66F674AD">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167DBA91">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5A89BEE4">
            <w:pPr>
              <w:adjustRightInd w:val="0"/>
              <w:snapToGrid w:val="0"/>
              <w:jc w:val="center"/>
              <w:rPr>
                <w:rFonts w:hint="default" w:ascii="Times New Roman" w:hAnsi="Times New Roman" w:cs="Times New Roman"/>
                <w:bCs/>
                <w:color w:val="auto"/>
                <w:szCs w:val="21"/>
                <w:highlight w:val="none"/>
              </w:rPr>
            </w:pPr>
          </w:p>
          <w:p w14:paraId="77BBF046">
            <w:pPr>
              <w:adjustRightInd w:val="0"/>
              <w:snapToGrid w:val="0"/>
              <w:jc w:val="center"/>
              <w:rPr>
                <w:rFonts w:hint="default" w:ascii="Times New Roman" w:hAnsi="Times New Roman" w:cs="Times New Roman"/>
                <w:bCs/>
                <w:color w:val="auto"/>
                <w:szCs w:val="21"/>
                <w:highlight w:val="none"/>
              </w:rPr>
            </w:pPr>
          </w:p>
          <w:p w14:paraId="4CD31AF8">
            <w:pPr>
              <w:adjustRightInd w:val="0"/>
              <w:snapToGrid w:val="0"/>
              <w:jc w:val="center"/>
              <w:rPr>
                <w:rFonts w:hint="default" w:ascii="Times New Roman" w:hAnsi="Times New Roman" w:cs="Times New Roman"/>
                <w:bCs/>
                <w:color w:val="auto"/>
                <w:szCs w:val="21"/>
                <w:highlight w:val="none"/>
              </w:rPr>
            </w:pPr>
          </w:p>
          <w:p w14:paraId="0D20AC46">
            <w:pPr>
              <w:adjustRightInd w:val="0"/>
              <w:snapToGrid w:val="0"/>
              <w:jc w:val="center"/>
              <w:rPr>
                <w:rFonts w:hint="default" w:ascii="Times New Roman" w:hAnsi="Times New Roman" w:cs="Times New Roman"/>
                <w:bCs/>
                <w:color w:val="auto"/>
                <w:szCs w:val="21"/>
                <w:highlight w:val="none"/>
              </w:rPr>
            </w:pPr>
          </w:p>
          <w:p w14:paraId="4AB98C69">
            <w:pPr>
              <w:adjustRightInd w:val="0"/>
              <w:snapToGrid w:val="0"/>
              <w:jc w:val="center"/>
              <w:rPr>
                <w:rFonts w:hint="default" w:ascii="Times New Roman" w:hAnsi="Times New Roman" w:cs="Times New Roman"/>
                <w:bCs/>
                <w:color w:val="auto"/>
                <w:szCs w:val="21"/>
                <w:highlight w:val="none"/>
              </w:rPr>
            </w:pPr>
          </w:p>
          <w:p w14:paraId="44D353AB">
            <w:pPr>
              <w:adjustRightInd w:val="0"/>
              <w:snapToGrid w:val="0"/>
              <w:jc w:val="center"/>
              <w:rPr>
                <w:rFonts w:hint="default" w:ascii="Times New Roman" w:hAnsi="Times New Roman" w:cs="Times New Roman"/>
                <w:bCs/>
                <w:color w:val="auto"/>
                <w:szCs w:val="21"/>
                <w:highlight w:val="none"/>
              </w:rPr>
            </w:pPr>
          </w:p>
          <w:p w14:paraId="234F7E4B">
            <w:pPr>
              <w:adjustRightInd w:val="0"/>
              <w:snapToGrid w:val="0"/>
              <w:jc w:val="center"/>
              <w:rPr>
                <w:rFonts w:hint="default" w:ascii="Times New Roman" w:hAnsi="Times New Roman" w:cs="Times New Roman"/>
                <w:bCs/>
                <w:color w:val="auto"/>
                <w:szCs w:val="21"/>
                <w:highlight w:val="none"/>
              </w:rPr>
            </w:pPr>
          </w:p>
          <w:p w14:paraId="48EBB4FF">
            <w:pPr>
              <w:adjustRightInd w:val="0"/>
              <w:snapToGrid w:val="0"/>
              <w:jc w:val="center"/>
              <w:rPr>
                <w:rFonts w:hint="default" w:ascii="Times New Roman" w:hAnsi="Times New Roman" w:cs="Times New Roman"/>
                <w:bCs/>
                <w:color w:val="auto"/>
                <w:szCs w:val="21"/>
                <w:highlight w:val="none"/>
              </w:rPr>
            </w:pPr>
          </w:p>
          <w:p w14:paraId="3713FA16">
            <w:pPr>
              <w:adjustRightInd w:val="0"/>
              <w:snapToGrid w:val="0"/>
              <w:jc w:val="center"/>
              <w:rPr>
                <w:rFonts w:hint="default" w:ascii="Times New Roman" w:hAnsi="Times New Roman" w:cs="Times New Roman"/>
                <w:bCs/>
                <w:color w:val="auto"/>
                <w:szCs w:val="21"/>
                <w:highlight w:val="none"/>
              </w:rPr>
            </w:pPr>
          </w:p>
          <w:p w14:paraId="352BECF2">
            <w:pPr>
              <w:adjustRightInd w:val="0"/>
              <w:snapToGrid w:val="0"/>
              <w:jc w:val="center"/>
              <w:rPr>
                <w:rFonts w:hint="default" w:ascii="Times New Roman" w:hAnsi="Times New Roman" w:cs="Times New Roman"/>
                <w:bCs/>
                <w:color w:val="auto"/>
                <w:szCs w:val="21"/>
                <w:highlight w:val="none"/>
              </w:rPr>
            </w:pPr>
          </w:p>
          <w:p w14:paraId="52708C51">
            <w:pPr>
              <w:adjustRightInd w:val="0"/>
              <w:snapToGrid w:val="0"/>
              <w:jc w:val="center"/>
              <w:rPr>
                <w:rFonts w:hint="default" w:ascii="Times New Roman" w:hAnsi="Times New Roman" w:cs="Times New Roman"/>
                <w:bCs/>
                <w:color w:val="auto"/>
                <w:szCs w:val="21"/>
                <w:highlight w:val="none"/>
              </w:rPr>
            </w:pPr>
          </w:p>
          <w:p w14:paraId="7B057B1D">
            <w:pPr>
              <w:adjustRightInd w:val="0"/>
              <w:snapToGrid w:val="0"/>
              <w:jc w:val="center"/>
              <w:rPr>
                <w:rFonts w:hint="default" w:ascii="Times New Roman" w:hAnsi="Times New Roman" w:cs="Times New Roman"/>
                <w:bCs/>
                <w:color w:val="auto"/>
                <w:szCs w:val="21"/>
                <w:highlight w:val="none"/>
              </w:rPr>
            </w:pPr>
          </w:p>
          <w:p w14:paraId="5D2BBFF8">
            <w:pPr>
              <w:adjustRightInd w:val="0"/>
              <w:snapToGrid w:val="0"/>
              <w:jc w:val="center"/>
              <w:rPr>
                <w:rFonts w:hint="default" w:ascii="Times New Roman" w:hAnsi="Times New Roman" w:cs="Times New Roman"/>
                <w:bCs/>
                <w:color w:val="auto"/>
                <w:szCs w:val="21"/>
                <w:highlight w:val="none"/>
              </w:rPr>
            </w:pPr>
          </w:p>
          <w:p w14:paraId="19012CC3">
            <w:pPr>
              <w:adjustRightInd w:val="0"/>
              <w:snapToGrid w:val="0"/>
              <w:jc w:val="center"/>
              <w:rPr>
                <w:rFonts w:hint="default" w:ascii="Times New Roman" w:hAnsi="Times New Roman" w:cs="Times New Roman"/>
                <w:bCs/>
                <w:color w:val="auto"/>
                <w:szCs w:val="21"/>
                <w:highlight w:val="none"/>
              </w:rPr>
            </w:pPr>
          </w:p>
          <w:p w14:paraId="44BB5E6F">
            <w:pPr>
              <w:adjustRightInd w:val="0"/>
              <w:snapToGrid w:val="0"/>
              <w:jc w:val="center"/>
              <w:rPr>
                <w:rFonts w:hint="default" w:ascii="Times New Roman" w:hAnsi="Times New Roman" w:cs="Times New Roman"/>
                <w:bCs/>
                <w:color w:val="auto"/>
                <w:szCs w:val="21"/>
                <w:highlight w:val="none"/>
              </w:rPr>
            </w:pPr>
          </w:p>
          <w:p w14:paraId="64CB5A80">
            <w:pPr>
              <w:adjustRightInd w:val="0"/>
              <w:snapToGrid w:val="0"/>
              <w:jc w:val="center"/>
              <w:rPr>
                <w:rFonts w:hint="default" w:ascii="Times New Roman" w:hAnsi="Times New Roman" w:cs="Times New Roman"/>
                <w:bCs/>
                <w:color w:val="auto"/>
                <w:szCs w:val="21"/>
                <w:highlight w:val="none"/>
              </w:rPr>
            </w:pPr>
          </w:p>
          <w:p w14:paraId="5E18CC67">
            <w:pPr>
              <w:adjustRightInd w:val="0"/>
              <w:snapToGrid w:val="0"/>
              <w:jc w:val="center"/>
              <w:rPr>
                <w:rFonts w:hint="default" w:ascii="Times New Roman" w:hAnsi="Times New Roman" w:cs="Times New Roman"/>
                <w:bCs/>
                <w:color w:val="auto"/>
                <w:szCs w:val="21"/>
                <w:highlight w:val="none"/>
              </w:rPr>
            </w:pPr>
          </w:p>
          <w:p w14:paraId="2DC41E94">
            <w:pPr>
              <w:adjustRightInd w:val="0"/>
              <w:snapToGrid w:val="0"/>
              <w:jc w:val="center"/>
              <w:rPr>
                <w:rFonts w:hint="default" w:ascii="Times New Roman" w:hAnsi="Times New Roman" w:cs="Times New Roman"/>
                <w:bCs/>
                <w:color w:val="auto"/>
                <w:szCs w:val="21"/>
                <w:highlight w:val="none"/>
              </w:rPr>
            </w:pPr>
          </w:p>
          <w:p w14:paraId="3AAC1D94">
            <w:pPr>
              <w:adjustRightInd w:val="0"/>
              <w:snapToGrid w:val="0"/>
              <w:jc w:val="center"/>
              <w:rPr>
                <w:rFonts w:hint="default" w:ascii="Times New Roman" w:hAnsi="Times New Roman" w:cs="Times New Roman"/>
                <w:bCs/>
                <w:color w:val="auto"/>
                <w:szCs w:val="21"/>
                <w:highlight w:val="none"/>
              </w:rPr>
            </w:pPr>
          </w:p>
          <w:p w14:paraId="193F2A3E">
            <w:pPr>
              <w:adjustRightInd w:val="0"/>
              <w:snapToGrid w:val="0"/>
              <w:jc w:val="center"/>
              <w:rPr>
                <w:rFonts w:hint="default" w:ascii="Times New Roman" w:hAnsi="Times New Roman" w:cs="Times New Roman"/>
                <w:bCs/>
                <w:color w:val="auto"/>
                <w:szCs w:val="21"/>
                <w:highlight w:val="none"/>
              </w:rPr>
            </w:pPr>
          </w:p>
          <w:p w14:paraId="3608440A">
            <w:pPr>
              <w:adjustRightInd w:val="0"/>
              <w:snapToGrid w:val="0"/>
              <w:jc w:val="center"/>
              <w:rPr>
                <w:rFonts w:hint="default" w:ascii="Times New Roman" w:hAnsi="Times New Roman" w:cs="Times New Roman"/>
                <w:bCs/>
                <w:color w:val="auto"/>
                <w:szCs w:val="21"/>
                <w:highlight w:val="none"/>
              </w:rPr>
            </w:pPr>
          </w:p>
          <w:p w14:paraId="1F946314">
            <w:pPr>
              <w:adjustRightInd w:val="0"/>
              <w:snapToGrid w:val="0"/>
              <w:jc w:val="center"/>
              <w:rPr>
                <w:rFonts w:hint="default" w:ascii="Times New Roman" w:hAnsi="Times New Roman" w:cs="Times New Roman"/>
                <w:bCs/>
                <w:color w:val="auto"/>
                <w:szCs w:val="21"/>
                <w:highlight w:val="none"/>
              </w:rPr>
            </w:pPr>
          </w:p>
          <w:p w14:paraId="1EECE8FD">
            <w:pPr>
              <w:adjustRightInd w:val="0"/>
              <w:snapToGrid w:val="0"/>
              <w:jc w:val="center"/>
              <w:rPr>
                <w:rFonts w:hint="default" w:ascii="Times New Roman" w:hAnsi="Times New Roman" w:cs="Times New Roman"/>
                <w:bCs/>
                <w:color w:val="auto"/>
                <w:szCs w:val="21"/>
                <w:highlight w:val="none"/>
              </w:rPr>
            </w:pPr>
          </w:p>
          <w:p w14:paraId="27462F19">
            <w:pPr>
              <w:adjustRightInd w:val="0"/>
              <w:snapToGrid w:val="0"/>
              <w:jc w:val="center"/>
              <w:rPr>
                <w:rFonts w:hint="default" w:ascii="Times New Roman" w:hAnsi="Times New Roman" w:cs="Times New Roman"/>
                <w:bCs/>
                <w:color w:val="auto"/>
                <w:szCs w:val="21"/>
                <w:highlight w:val="none"/>
              </w:rPr>
            </w:pPr>
          </w:p>
          <w:p w14:paraId="2395FFFB">
            <w:pPr>
              <w:adjustRightInd w:val="0"/>
              <w:snapToGrid w:val="0"/>
              <w:jc w:val="center"/>
              <w:rPr>
                <w:rFonts w:hint="default" w:ascii="Times New Roman" w:hAnsi="Times New Roman" w:cs="Times New Roman"/>
                <w:bCs/>
                <w:color w:val="auto"/>
                <w:szCs w:val="21"/>
                <w:highlight w:val="none"/>
              </w:rPr>
            </w:pPr>
          </w:p>
          <w:p w14:paraId="472A36D8">
            <w:pPr>
              <w:adjustRightInd w:val="0"/>
              <w:snapToGrid w:val="0"/>
              <w:jc w:val="center"/>
              <w:rPr>
                <w:rFonts w:hint="default" w:ascii="Times New Roman" w:hAnsi="Times New Roman" w:cs="Times New Roman"/>
                <w:bCs/>
                <w:color w:val="auto"/>
                <w:szCs w:val="21"/>
                <w:highlight w:val="none"/>
              </w:rPr>
            </w:pPr>
          </w:p>
          <w:p w14:paraId="02065182">
            <w:pPr>
              <w:adjustRightInd w:val="0"/>
              <w:snapToGrid w:val="0"/>
              <w:jc w:val="center"/>
              <w:rPr>
                <w:rFonts w:hint="default" w:ascii="Times New Roman" w:hAnsi="Times New Roman" w:cs="Times New Roman"/>
                <w:bCs/>
                <w:color w:val="auto"/>
                <w:szCs w:val="21"/>
                <w:highlight w:val="none"/>
              </w:rPr>
            </w:pPr>
          </w:p>
          <w:p w14:paraId="7FDB4226">
            <w:pPr>
              <w:adjustRightInd w:val="0"/>
              <w:snapToGrid w:val="0"/>
              <w:jc w:val="center"/>
              <w:rPr>
                <w:rFonts w:hint="default" w:ascii="Times New Roman" w:hAnsi="Times New Roman" w:cs="Times New Roman"/>
                <w:bCs/>
                <w:color w:val="auto"/>
                <w:szCs w:val="21"/>
                <w:highlight w:val="none"/>
              </w:rPr>
            </w:pPr>
          </w:p>
          <w:p w14:paraId="33639E79">
            <w:pPr>
              <w:adjustRightInd w:val="0"/>
              <w:snapToGrid w:val="0"/>
              <w:jc w:val="center"/>
              <w:rPr>
                <w:rFonts w:hint="default" w:ascii="Times New Roman" w:hAnsi="Times New Roman" w:cs="Times New Roman"/>
                <w:bCs/>
                <w:color w:val="auto"/>
                <w:szCs w:val="21"/>
                <w:highlight w:val="none"/>
              </w:rPr>
            </w:pPr>
          </w:p>
          <w:p w14:paraId="0A66AB5F">
            <w:pPr>
              <w:adjustRightInd w:val="0"/>
              <w:snapToGrid w:val="0"/>
              <w:jc w:val="center"/>
              <w:rPr>
                <w:rFonts w:hint="default" w:ascii="Times New Roman" w:hAnsi="Times New Roman" w:cs="Times New Roman"/>
                <w:bCs/>
                <w:color w:val="auto"/>
                <w:szCs w:val="21"/>
                <w:highlight w:val="none"/>
              </w:rPr>
            </w:pPr>
          </w:p>
          <w:p w14:paraId="2C4660A1">
            <w:pPr>
              <w:adjustRightInd w:val="0"/>
              <w:snapToGrid w:val="0"/>
              <w:jc w:val="center"/>
              <w:rPr>
                <w:rFonts w:hint="default" w:ascii="Times New Roman" w:hAnsi="Times New Roman" w:cs="Times New Roman"/>
                <w:bCs/>
                <w:color w:val="auto"/>
                <w:szCs w:val="21"/>
                <w:highlight w:val="none"/>
              </w:rPr>
            </w:pPr>
          </w:p>
          <w:p w14:paraId="674CC504">
            <w:pPr>
              <w:adjustRightInd w:val="0"/>
              <w:snapToGrid w:val="0"/>
              <w:jc w:val="center"/>
              <w:rPr>
                <w:rFonts w:hint="default" w:ascii="Times New Roman" w:hAnsi="Times New Roman" w:cs="Times New Roman"/>
                <w:bCs/>
                <w:color w:val="auto"/>
                <w:szCs w:val="21"/>
                <w:highlight w:val="none"/>
              </w:rPr>
            </w:pPr>
          </w:p>
          <w:p w14:paraId="334F9F3C">
            <w:pPr>
              <w:adjustRightInd w:val="0"/>
              <w:snapToGrid w:val="0"/>
              <w:rPr>
                <w:rFonts w:hint="default" w:ascii="Times New Roman" w:hAnsi="Times New Roman" w:cs="Times New Roman"/>
                <w:bCs/>
                <w:color w:val="auto"/>
                <w:szCs w:val="21"/>
                <w:highlight w:val="none"/>
              </w:rPr>
            </w:pPr>
          </w:p>
          <w:p w14:paraId="5A624932">
            <w:pPr>
              <w:adjustRightInd w:val="0"/>
              <w:snapToGrid w:val="0"/>
              <w:jc w:val="center"/>
              <w:rPr>
                <w:rFonts w:hint="default" w:ascii="Times New Roman" w:hAnsi="Times New Roman" w:cs="Times New Roman"/>
                <w:bCs/>
                <w:color w:val="auto"/>
                <w:szCs w:val="21"/>
                <w:highlight w:val="none"/>
              </w:rPr>
            </w:pPr>
          </w:p>
          <w:p w14:paraId="075C9593">
            <w:pPr>
              <w:adjustRightInd w:val="0"/>
              <w:snapToGrid w:val="0"/>
              <w:jc w:val="center"/>
              <w:rPr>
                <w:rFonts w:hint="default" w:ascii="Times New Roman" w:hAnsi="Times New Roman" w:cs="Times New Roman"/>
                <w:bCs/>
                <w:color w:val="auto"/>
                <w:sz w:val="24"/>
                <w:highlight w:val="none"/>
              </w:rPr>
            </w:pPr>
          </w:p>
          <w:p w14:paraId="1B66868A">
            <w:pPr>
              <w:pStyle w:val="2"/>
              <w:rPr>
                <w:rFonts w:hint="default" w:ascii="Times New Roman" w:hAnsi="Times New Roman" w:cs="Times New Roman"/>
                <w:bCs/>
                <w:color w:val="auto"/>
                <w:sz w:val="24"/>
                <w:highlight w:val="none"/>
              </w:rPr>
            </w:pPr>
          </w:p>
          <w:p w14:paraId="6981CA4B">
            <w:pPr>
              <w:rPr>
                <w:rFonts w:hint="default" w:ascii="Times New Roman" w:hAnsi="Times New Roman" w:cs="Times New Roman"/>
                <w:bCs/>
                <w:color w:val="auto"/>
                <w:sz w:val="24"/>
                <w:highlight w:val="none"/>
              </w:rPr>
            </w:pPr>
          </w:p>
          <w:p w14:paraId="3D2F44CB">
            <w:pPr>
              <w:pStyle w:val="2"/>
              <w:rPr>
                <w:rFonts w:hint="default" w:ascii="Times New Roman" w:hAnsi="Times New Roman" w:cs="Times New Roman"/>
                <w:bCs/>
                <w:color w:val="auto"/>
                <w:sz w:val="24"/>
                <w:highlight w:val="none"/>
              </w:rPr>
            </w:pPr>
          </w:p>
          <w:p w14:paraId="18A60CAC">
            <w:pPr>
              <w:rPr>
                <w:rFonts w:hint="default"/>
              </w:rPr>
            </w:pPr>
          </w:p>
          <w:p w14:paraId="60588B55">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534CDA6D">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74C9A028">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1630C230">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166E0373">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2DAB6194">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6516CB22">
            <w:pPr>
              <w:adjustRightInd w:val="0"/>
              <w:snapToGrid w:val="0"/>
              <w:jc w:val="center"/>
              <w:rPr>
                <w:rFonts w:hint="default" w:ascii="Times New Roman" w:hAnsi="Times New Roman" w:cs="Times New Roman"/>
                <w:bCs/>
                <w:color w:val="auto"/>
                <w:szCs w:val="21"/>
                <w:highlight w:val="none"/>
              </w:rPr>
            </w:pPr>
          </w:p>
          <w:p w14:paraId="6DFA9091">
            <w:pPr>
              <w:adjustRightInd w:val="0"/>
              <w:snapToGrid w:val="0"/>
              <w:jc w:val="center"/>
              <w:rPr>
                <w:rFonts w:hint="default" w:ascii="Times New Roman" w:hAnsi="Times New Roman" w:cs="Times New Roman"/>
                <w:bCs/>
                <w:color w:val="auto"/>
                <w:szCs w:val="21"/>
                <w:highlight w:val="none"/>
              </w:rPr>
            </w:pPr>
          </w:p>
          <w:p w14:paraId="08353C78">
            <w:pPr>
              <w:adjustRightInd w:val="0"/>
              <w:snapToGrid w:val="0"/>
              <w:jc w:val="center"/>
              <w:rPr>
                <w:rFonts w:hint="default" w:ascii="Times New Roman" w:hAnsi="Times New Roman" w:cs="Times New Roman"/>
                <w:bCs/>
                <w:color w:val="auto"/>
                <w:szCs w:val="21"/>
                <w:highlight w:val="none"/>
              </w:rPr>
            </w:pPr>
          </w:p>
          <w:p w14:paraId="48B167F3">
            <w:pPr>
              <w:adjustRightInd w:val="0"/>
              <w:snapToGrid w:val="0"/>
              <w:jc w:val="center"/>
              <w:rPr>
                <w:rFonts w:hint="default" w:ascii="Times New Roman" w:hAnsi="Times New Roman" w:cs="Times New Roman"/>
                <w:bCs/>
                <w:color w:val="auto"/>
                <w:szCs w:val="21"/>
                <w:highlight w:val="none"/>
              </w:rPr>
            </w:pPr>
          </w:p>
          <w:p w14:paraId="5F55BF55">
            <w:pPr>
              <w:adjustRightInd w:val="0"/>
              <w:snapToGrid w:val="0"/>
              <w:jc w:val="center"/>
              <w:rPr>
                <w:rFonts w:hint="default" w:ascii="Times New Roman" w:hAnsi="Times New Roman" w:cs="Times New Roman"/>
                <w:bCs/>
                <w:color w:val="auto"/>
                <w:szCs w:val="21"/>
                <w:highlight w:val="none"/>
              </w:rPr>
            </w:pPr>
          </w:p>
          <w:p w14:paraId="4069D480">
            <w:pPr>
              <w:adjustRightInd w:val="0"/>
              <w:snapToGrid w:val="0"/>
              <w:jc w:val="center"/>
              <w:rPr>
                <w:rFonts w:hint="default" w:ascii="Times New Roman" w:hAnsi="Times New Roman" w:cs="Times New Roman"/>
                <w:bCs/>
                <w:color w:val="auto"/>
                <w:szCs w:val="21"/>
                <w:highlight w:val="none"/>
              </w:rPr>
            </w:pPr>
          </w:p>
          <w:p w14:paraId="75BB0F31">
            <w:pPr>
              <w:adjustRightInd w:val="0"/>
              <w:snapToGrid w:val="0"/>
              <w:jc w:val="center"/>
              <w:rPr>
                <w:rFonts w:hint="default" w:ascii="Times New Roman" w:hAnsi="Times New Roman" w:cs="Times New Roman"/>
                <w:bCs/>
                <w:color w:val="auto"/>
                <w:szCs w:val="21"/>
                <w:highlight w:val="none"/>
              </w:rPr>
            </w:pPr>
          </w:p>
          <w:p w14:paraId="2C27448B">
            <w:pPr>
              <w:adjustRightInd w:val="0"/>
              <w:snapToGrid w:val="0"/>
              <w:jc w:val="center"/>
              <w:rPr>
                <w:rFonts w:hint="default" w:ascii="Times New Roman" w:hAnsi="Times New Roman" w:cs="Times New Roman"/>
                <w:bCs/>
                <w:color w:val="auto"/>
                <w:szCs w:val="21"/>
                <w:highlight w:val="none"/>
              </w:rPr>
            </w:pPr>
          </w:p>
          <w:p w14:paraId="287A405B">
            <w:pPr>
              <w:adjustRightInd w:val="0"/>
              <w:snapToGrid w:val="0"/>
              <w:jc w:val="center"/>
              <w:rPr>
                <w:rFonts w:hint="default" w:ascii="Times New Roman" w:hAnsi="Times New Roman" w:cs="Times New Roman"/>
                <w:bCs/>
                <w:color w:val="auto"/>
                <w:szCs w:val="21"/>
                <w:highlight w:val="none"/>
              </w:rPr>
            </w:pPr>
          </w:p>
          <w:p w14:paraId="4681A728">
            <w:pPr>
              <w:adjustRightInd w:val="0"/>
              <w:snapToGrid w:val="0"/>
              <w:jc w:val="center"/>
              <w:rPr>
                <w:rFonts w:hint="default" w:ascii="Times New Roman" w:hAnsi="Times New Roman" w:cs="Times New Roman"/>
                <w:bCs/>
                <w:color w:val="auto"/>
                <w:szCs w:val="21"/>
                <w:highlight w:val="none"/>
              </w:rPr>
            </w:pPr>
          </w:p>
          <w:p w14:paraId="3EE872A1">
            <w:pPr>
              <w:adjustRightInd w:val="0"/>
              <w:snapToGrid w:val="0"/>
              <w:jc w:val="center"/>
              <w:rPr>
                <w:rFonts w:hint="default" w:ascii="Times New Roman" w:hAnsi="Times New Roman" w:cs="Times New Roman"/>
                <w:bCs/>
                <w:color w:val="auto"/>
                <w:szCs w:val="21"/>
                <w:highlight w:val="none"/>
              </w:rPr>
            </w:pPr>
          </w:p>
          <w:p w14:paraId="0BEF8E2E">
            <w:pPr>
              <w:adjustRightInd w:val="0"/>
              <w:snapToGrid w:val="0"/>
              <w:jc w:val="center"/>
              <w:rPr>
                <w:rFonts w:hint="default" w:ascii="Times New Roman" w:hAnsi="Times New Roman" w:cs="Times New Roman"/>
                <w:bCs/>
                <w:color w:val="auto"/>
                <w:szCs w:val="21"/>
                <w:highlight w:val="none"/>
              </w:rPr>
            </w:pPr>
          </w:p>
          <w:p w14:paraId="15A1B0FB">
            <w:pPr>
              <w:adjustRightInd w:val="0"/>
              <w:snapToGrid w:val="0"/>
              <w:jc w:val="center"/>
              <w:rPr>
                <w:rFonts w:hint="default" w:ascii="Times New Roman" w:hAnsi="Times New Roman" w:cs="Times New Roman"/>
                <w:bCs/>
                <w:color w:val="auto"/>
                <w:szCs w:val="21"/>
                <w:highlight w:val="none"/>
              </w:rPr>
            </w:pPr>
          </w:p>
          <w:p w14:paraId="65FF2BDA">
            <w:pPr>
              <w:adjustRightInd w:val="0"/>
              <w:snapToGrid w:val="0"/>
              <w:jc w:val="center"/>
              <w:rPr>
                <w:rFonts w:hint="default" w:ascii="Times New Roman" w:hAnsi="Times New Roman" w:cs="Times New Roman"/>
                <w:bCs/>
                <w:color w:val="auto"/>
                <w:szCs w:val="21"/>
                <w:highlight w:val="none"/>
              </w:rPr>
            </w:pPr>
          </w:p>
          <w:p w14:paraId="5A55BCC3">
            <w:pPr>
              <w:adjustRightInd w:val="0"/>
              <w:snapToGrid w:val="0"/>
              <w:jc w:val="center"/>
              <w:rPr>
                <w:rFonts w:hint="default" w:ascii="Times New Roman" w:hAnsi="Times New Roman" w:cs="Times New Roman"/>
                <w:bCs/>
                <w:color w:val="auto"/>
                <w:szCs w:val="21"/>
                <w:highlight w:val="none"/>
              </w:rPr>
            </w:pPr>
          </w:p>
          <w:p w14:paraId="4271E088">
            <w:pPr>
              <w:adjustRightInd w:val="0"/>
              <w:snapToGrid w:val="0"/>
              <w:jc w:val="center"/>
              <w:rPr>
                <w:rFonts w:hint="default" w:ascii="Times New Roman" w:hAnsi="Times New Roman" w:cs="Times New Roman"/>
                <w:bCs/>
                <w:color w:val="auto"/>
                <w:szCs w:val="21"/>
                <w:highlight w:val="none"/>
              </w:rPr>
            </w:pPr>
          </w:p>
          <w:p w14:paraId="310DD39C">
            <w:pPr>
              <w:adjustRightInd w:val="0"/>
              <w:snapToGrid w:val="0"/>
              <w:jc w:val="center"/>
              <w:rPr>
                <w:rFonts w:hint="default" w:ascii="Times New Roman" w:hAnsi="Times New Roman" w:cs="Times New Roman"/>
                <w:bCs/>
                <w:color w:val="auto"/>
                <w:szCs w:val="21"/>
                <w:highlight w:val="none"/>
              </w:rPr>
            </w:pPr>
          </w:p>
          <w:p w14:paraId="232778E8">
            <w:pPr>
              <w:adjustRightInd w:val="0"/>
              <w:snapToGrid w:val="0"/>
              <w:jc w:val="center"/>
              <w:rPr>
                <w:rFonts w:hint="default" w:ascii="Times New Roman" w:hAnsi="Times New Roman" w:cs="Times New Roman"/>
                <w:bCs/>
                <w:color w:val="auto"/>
                <w:szCs w:val="21"/>
                <w:highlight w:val="none"/>
              </w:rPr>
            </w:pPr>
          </w:p>
          <w:p w14:paraId="1AF2B0A3">
            <w:pPr>
              <w:adjustRightInd w:val="0"/>
              <w:snapToGrid w:val="0"/>
              <w:jc w:val="center"/>
              <w:rPr>
                <w:rFonts w:hint="default" w:ascii="Times New Roman" w:hAnsi="Times New Roman" w:cs="Times New Roman"/>
                <w:bCs/>
                <w:color w:val="auto"/>
                <w:szCs w:val="21"/>
                <w:highlight w:val="none"/>
              </w:rPr>
            </w:pPr>
          </w:p>
          <w:p w14:paraId="1164A34C">
            <w:pPr>
              <w:adjustRightInd w:val="0"/>
              <w:snapToGrid w:val="0"/>
              <w:rPr>
                <w:rFonts w:hint="default" w:ascii="Times New Roman" w:hAnsi="Times New Roman" w:cs="Times New Roman"/>
                <w:bCs/>
                <w:color w:val="auto"/>
                <w:szCs w:val="21"/>
                <w:highlight w:val="none"/>
              </w:rPr>
            </w:pPr>
          </w:p>
          <w:p w14:paraId="05C14F58">
            <w:pPr>
              <w:adjustRightInd w:val="0"/>
              <w:snapToGrid w:val="0"/>
              <w:jc w:val="center"/>
              <w:rPr>
                <w:rFonts w:hint="default" w:ascii="Times New Roman" w:hAnsi="Times New Roman" w:cs="Times New Roman"/>
                <w:bCs/>
                <w:color w:val="auto"/>
                <w:sz w:val="24"/>
                <w:highlight w:val="none"/>
              </w:rPr>
            </w:pPr>
          </w:p>
          <w:p w14:paraId="7076E8AE">
            <w:pPr>
              <w:adjustRightInd w:val="0"/>
              <w:snapToGrid w:val="0"/>
              <w:jc w:val="center"/>
              <w:rPr>
                <w:rFonts w:hint="default" w:ascii="Times New Roman" w:hAnsi="Times New Roman" w:cs="Times New Roman"/>
                <w:bCs/>
                <w:color w:val="auto"/>
                <w:sz w:val="24"/>
                <w:highlight w:val="none"/>
              </w:rPr>
            </w:pPr>
          </w:p>
          <w:p w14:paraId="27207481">
            <w:pPr>
              <w:adjustRightInd w:val="0"/>
              <w:snapToGrid w:val="0"/>
              <w:jc w:val="center"/>
              <w:rPr>
                <w:rFonts w:hint="default" w:ascii="Times New Roman" w:hAnsi="Times New Roman" w:cs="Times New Roman"/>
                <w:bCs/>
                <w:color w:val="auto"/>
                <w:sz w:val="24"/>
                <w:highlight w:val="none"/>
              </w:rPr>
            </w:pPr>
          </w:p>
          <w:p w14:paraId="62C9289D">
            <w:pPr>
              <w:adjustRightInd w:val="0"/>
              <w:snapToGrid w:val="0"/>
              <w:jc w:val="center"/>
              <w:rPr>
                <w:rFonts w:hint="default" w:ascii="Times New Roman" w:hAnsi="Times New Roman" w:cs="Times New Roman"/>
                <w:bCs/>
                <w:color w:val="auto"/>
                <w:sz w:val="24"/>
                <w:highlight w:val="none"/>
              </w:rPr>
            </w:pPr>
          </w:p>
          <w:p w14:paraId="71BCE93A">
            <w:pPr>
              <w:adjustRightInd w:val="0"/>
              <w:snapToGrid w:val="0"/>
              <w:jc w:val="center"/>
              <w:rPr>
                <w:rFonts w:hint="default" w:ascii="Times New Roman" w:hAnsi="Times New Roman" w:cs="Times New Roman"/>
                <w:bCs/>
                <w:color w:val="auto"/>
                <w:sz w:val="24"/>
                <w:highlight w:val="none"/>
              </w:rPr>
            </w:pPr>
          </w:p>
          <w:p w14:paraId="3EF05939">
            <w:pPr>
              <w:adjustRightInd w:val="0"/>
              <w:snapToGrid w:val="0"/>
              <w:jc w:val="center"/>
              <w:rPr>
                <w:rFonts w:hint="default" w:ascii="Times New Roman" w:hAnsi="Times New Roman" w:cs="Times New Roman"/>
                <w:bCs/>
                <w:color w:val="auto"/>
                <w:sz w:val="24"/>
                <w:highlight w:val="none"/>
              </w:rPr>
            </w:pPr>
          </w:p>
          <w:p w14:paraId="4AB647DC">
            <w:pPr>
              <w:adjustRightInd w:val="0"/>
              <w:snapToGrid w:val="0"/>
              <w:jc w:val="center"/>
              <w:rPr>
                <w:rFonts w:hint="default" w:ascii="Times New Roman" w:hAnsi="Times New Roman" w:cs="Times New Roman"/>
                <w:bCs/>
                <w:color w:val="auto"/>
                <w:sz w:val="24"/>
                <w:highlight w:val="none"/>
              </w:rPr>
            </w:pPr>
          </w:p>
          <w:p w14:paraId="4819A99F">
            <w:pPr>
              <w:adjustRightInd w:val="0"/>
              <w:snapToGrid w:val="0"/>
              <w:jc w:val="center"/>
              <w:rPr>
                <w:rFonts w:hint="default" w:ascii="Times New Roman" w:hAnsi="Times New Roman" w:cs="Times New Roman"/>
                <w:bCs/>
                <w:color w:val="auto"/>
                <w:sz w:val="24"/>
                <w:highlight w:val="none"/>
              </w:rPr>
            </w:pPr>
          </w:p>
          <w:p w14:paraId="63DE1427">
            <w:pPr>
              <w:adjustRightInd w:val="0"/>
              <w:snapToGrid w:val="0"/>
              <w:jc w:val="center"/>
              <w:rPr>
                <w:rFonts w:hint="default" w:ascii="Times New Roman" w:hAnsi="Times New Roman" w:cs="Times New Roman"/>
                <w:bCs/>
                <w:color w:val="auto"/>
                <w:sz w:val="24"/>
                <w:highlight w:val="none"/>
              </w:rPr>
            </w:pPr>
          </w:p>
          <w:p w14:paraId="1D252C91">
            <w:pPr>
              <w:adjustRightInd w:val="0"/>
              <w:snapToGrid w:val="0"/>
              <w:jc w:val="center"/>
              <w:rPr>
                <w:rFonts w:hint="default" w:ascii="Times New Roman" w:hAnsi="Times New Roman" w:cs="Times New Roman"/>
                <w:bCs/>
                <w:color w:val="auto"/>
                <w:sz w:val="24"/>
                <w:highlight w:val="none"/>
              </w:rPr>
            </w:pPr>
          </w:p>
          <w:p w14:paraId="15C60C94">
            <w:pPr>
              <w:adjustRightInd w:val="0"/>
              <w:snapToGrid w:val="0"/>
              <w:jc w:val="center"/>
              <w:rPr>
                <w:rFonts w:hint="default" w:ascii="Times New Roman" w:hAnsi="Times New Roman" w:cs="Times New Roman"/>
                <w:bCs/>
                <w:color w:val="auto"/>
                <w:sz w:val="24"/>
                <w:highlight w:val="none"/>
              </w:rPr>
            </w:pPr>
          </w:p>
          <w:p w14:paraId="714C3FA7">
            <w:pPr>
              <w:adjustRightInd w:val="0"/>
              <w:snapToGrid w:val="0"/>
              <w:jc w:val="center"/>
              <w:rPr>
                <w:rFonts w:hint="default" w:ascii="Times New Roman" w:hAnsi="Times New Roman" w:cs="Times New Roman"/>
                <w:bCs/>
                <w:color w:val="auto"/>
                <w:sz w:val="24"/>
                <w:highlight w:val="none"/>
              </w:rPr>
            </w:pPr>
          </w:p>
          <w:p w14:paraId="4FF3DB0F">
            <w:pPr>
              <w:pStyle w:val="2"/>
              <w:rPr>
                <w:rFonts w:hint="default" w:ascii="Times New Roman" w:hAnsi="Times New Roman" w:cs="Times New Roman"/>
                <w:bCs/>
                <w:color w:val="auto"/>
                <w:sz w:val="24"/>
                <w:highlight w:val="none"/>
              </w:rPr>
            </w:pPr>
          </w:p>
          <w:p w14:paraId="5E5A9A0D">
            <w:pPr>
              <w:rPr>
                <w:rFonts w:hint="default" w:ascii="Times New Roman" w:hAnsi="Times New Roman" w:cs="Times New Roman"/>
                <w:bCs/>
                <w:color w:val="auto"/>
                <w:sz w:val="24"/>
                <w:highlight w:val="none"/>
              </w:rPr>
            </w:pPr>
          </w:p>
          <w:p w14:paraId="4A5391B0">
            <w:pPr>
              <w:pStyle w:val="2"/>
              <w:rPr>
                <w:rFonts w:hint="default" w:ascii="Times New Roman" w:hAnsi="Times New Roman" w:cs="Times New Roman"/>
                <w:bCs/>
                <w:color w:val="auto"/>
                <w:sz w:val="24"/>
                <w:highlight w:val="none"/>
              </w:rPr>
            </w:pPr>
          </w:p>
          <w:p w14:paraId="428A3766">
            <w:pPr>
              <w:rPr>
                <w:rFonts w:hint="default" w:ascii="Times New Roman" w:hAnsi="Times New Roman" w:cs="Times New Roman"/>
                <w:bCs/>
                <w:color w:val="auto"/>
                <w:sz w:val="24"/>
                <w:highlight w:val="none"/>
              </w:rPr>
            </w:pPr>
          </w:p>
          <w:p w14:paraId="5A3D8248">
            <w:pPr>
              <w:pStyle w:val="2"/>
              <w:rPr>
                <w:rFonts w:hint="default" w:ascii="Times New Roman" w:hAnsi="Times New Roman" w:cs="Times New Roman"/>
                <w:bCs/>
                <w:color w:val="auto"/>
                <w:sz w:val="24"/>
                <w:highlight w:val="none"/>
              </w:rPr>
            </w:pPr>
          </w:p>
          <w:p w14:paraId="27872944">
            <w:pPr>
              <w:rPr>
                <w:rFonts w:hint="default" w:ascii="Times New Roman" w:hAnsi="Times New Roman" w:cs="Times New Roman"/>
                <w:bCs/>
                <w:color w:val="auto"/>
                <w:sz w:val="24"/>
                <w:highlight w:val="none"/>
              </w:rPr>
            </w:pPr>
          </w:p>
          <w:p w14:paraId="0EAAA784">
            <w:pPr>
              <w:pStyle w:val="2"/>
              <w:rPr>
                <w:rFonts w:hint="default"/>
              </w:rPr>
            </w:pPr>
          </w:p>
          <w:p w14:paraId="638C8BAC">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0103C526">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7E92EF54">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4377647F">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6BB00F87">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5B39A5D0">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48C2AC7F">
            <w:pPr>
              <w:adjustRightInd w:val="0"/>
              <w:snapToGrid w:val="0"/>
              <w:jc w:val="center"/>
              <w:rPr>
                <w:rFonts w:hint="default" w:ascii="Times New Roman" w:hAnsi="Times New Roman" w:cs="Times New Roman"/>
                <w:bCs/>
                <w:color w:val="auto"/>
                <w:szCs w:val="21"/>
                <w:highlight w:val="none"/>
              </w:rPr>
            </w:pPr>
          </w:p>
          <w:p w14:paraId="358F41B1">
            <w:pPr>
              <w:adjustRightInd w:val="0"/>
              <w:snapToGrid w:val="0"/>
              <w:jc w:val="center"/>
              <w:rPr>
                <w:rFonts w:hint="default" w:ascii="Times New Roman" w:hAnsi="Times New Roman" w:cs="Times New Roman"/>
                <w:bCs/>
                <w:color w:val="auto"/>
                <w:szCs w:val="21"/>
                <w:highlight w:val="none"/>
              </w:rPr>
            </w:pPr>
          </w:p>
          <w:p w14:paraId="75AD3338">
            <w:pPr>
              <w:adjustRightInd w:val="0"/>
              <w:snapToGrid w:val="0"/>
              <w:jc w:val="center"/>
              <w:rPr>
                <w:rFonts w:hint="default" w:ascii="Times New Roman" w:hAnsi="Times New Roman" w:cs="Times New Roman"/>
                <w:bCs/>
                <w:color w:val="auto"/>
                <w:szCs w:val="21"/>
                <w:highlight w:val="none"/>
              </w:rPr>
            </w:pPr>
          </w:p>
          <w:p w14:paraId="35ED8D2C">
            <w:pPr>
              <w:adjustRightInd w:val="0"/>
              <w:snapToGrid w:val="0"/>
              <w:jc w:val="center"/>
              <w:rPr>
                <w:rFonts w:hint="default" w:ascii="Times New Roman" w:hAnsi="Times New Roman" w:cs="Times New Roman"/>
                <w:bCs/>
                <w:color w:val="auto"/>
                <w:szCs w:val="21"/>
                <w:highlight w:val="none"/>
              </w:rPr>
            </w:pPr>
          </w:p>
          <w:p w14:paraId="45F3AFF6">
            <w:pPr>
              <w:adjustRightInd w:val="0"/>
              <w:snapToGrid w:val="0"/>
              <w:jc w:val="center"/>
              <w:rPr>
                <w:rFonts w:hint="default" w:ascii="Times New Roman" w:hAnsi="Times New Roman" w:cs="Times New Roman"/>
                <w:bCs/>
                <w:color w:val="auto"/>
                <w:szCs w:val="21"/>
                <w:highlight w:val="none"/>
              </w:rPr>
            </w:pPr>
          </w:p>
          <w:p w14:paraId="0F83A5D8">
            <w:pPr>
              <w:adjustRightInd w:val="0"/>
              <w:snapToGrid w:val="0"/>
              <w:jc w:val="center"/>
              <w:rPr>
                <w:rFonts w:hint="default" w:ascii="Times New Roman" w:hAnsi="Times New Roman" w:cs="Times New Roman"/>
                <w:bCs/>
                <w:color w:val="auto"/>
                <w:szCs w:val="21"/>
                <w:highlight w:val="none"/>
              </w:rPr>
            </w:pPr>
          </w:p>
          <w:p w14:paraId="6D6DAFE8">
            <w:pPr>
              <w:adjustRightInd w:val="0"/>
              <w:snapToGrid w:val="0"/>
              <w:jc w:val="center"/>
              <w:rPr>
                <w:rFonts w:hint="default" w:ascii="Times New Roman" w:hAnsi="Times New Roman" w:cs="Times New Roman"/>
                <w:bCs/>
                <w:color w:val="auto"/>
                <w:szCs w:val="21"/>
                <w:highlight w:val="none"/>
              </w:rPr>
            </w:pPr>
          </w:p>
          <w:p w14:paraId="7972F132">
            <w:pPr>
              <w:adjustRightInd w:val="0"/>
              <w:snapToGrid w:val="0"/>
              <w:jc w:val="center"/>
              <w:rPr>
                <w:rFonts w:hint="default" w:ascii="Times New Roman" w:hAnsi="Times New Roman" w:cs="Times New Roman"/>
                <w:bCs/>
                <w:color w:val="auto"/>
                <w:szCs w:val="21"/>
                <w:highlight w:val="none"/>
              </w:rPr>
            </w:pPr>
          </w:p>
          <w:p w14:paraId="4A09AC5E">
            <w:pPr>
              <w:adjustRightInd w:val="0"/>
              <w:snapToGrid w:val="0"/>
              <w:jc w:val="center"/>
              <w:rPr>
                <w:rFonts w:hint="default" w:ascii="Times New Roman" w:hAnsi="Times New Roman" w:cs="Times New Roman"/>
                <w:bCs/>
                <w:color w:val="auto"/>
                <w:szCs w:val="21"/>
                <w:highlight w:val="none"/>
              </w:rPr>
            </w:pPr>
          </w:p>
          <w:p w14:paraId="71F71E8B">
            <w:pPr>
              <w:adjustRightInd w:val="0"/>
              <w:snapToGrid w:val="0"/>
              <w:jc w:val="center"/>
              <w:rPr>
                <w:rFonts w:hint="default" w:ascii="Times New Roman" w:hAnsi="Times New Roman" w:cs="Times New Roman"/>
                <w:bCs/>
                <w:color w:val="auto"/>
                <w:szCs w:val="21"/>
                <w:highlight w:val="none"/>
              </w:rPr>
            </w:pPr>
          </w:p>
          <w:p w14:paraId="6CD75032">
            <w:pPr>
              <w:adjustRightInd w:val="0"/>
              <w:snapToGrid w:val="0"/>
              <w:jc w:val="center"/>
              <w:rPr>
                <w:rFonts w:hint="default" w:ascii="Times New Roman" w:hAnsi="Times New Roman" w:cs="Times New Roman"/>
                <w:bCs/>
                <w:color w:val="auto"/>
                <w:szCs w:val="21"/>
                <w:highlight w:val="none"/>
              </w:rPr>
            </w:pPr>
          </w:p>
          <w:p w14:paraId="3730456F">
            <w:pPr>
              <w:adjustRightInd w:val="0"/>
              <w:snapToGrid w:val="0"/>
              <w:jc w:val="center"/>
              <w:rPr>
                <w:rFonts w:hint="default" w:ascii="Times New Roman" w:hAnsi="Times New Roman" w:cs="Times New Roman"/>
                <w:bCs/>
                <w:color w:val="auto"/>
                <w:szCs w:val="21"/>
                <w:highlight w:val="none"/>
              </w:rPr>
            </w:pPr>
          </w:p>
          <w:p w14:paraId="52565F3A">
            <w:pPr>
              <w:adjustRightInd w:val="0"/>
              <w:snapToGrid w:val="0"/>
              <w:jc w:val="center"/>
              <w:rPr>
                <w:rFonts w:hint="default" w:ascii="Times New Roman" w:hAnsi="Times New Roman" w:cs="Times New Roman"/>
                <w:bCs/>
                <w:color w:val="auto"/>
                <w:szCs w:val="21"/>
                <w:highlight w:val="none"/>
              </w:rPr>
            </w:pPr>
          </w:p>
          <w:p w14:paraId="675495EB">
            <w:pPr>
              <w:adjustRightInd w:val="0"/>
              <w:snapToGrid w:val="0"/>
              <w:jc w:val="center"/>
              <w:rPr>
                <w:rFonts w:hint="default" w:ascii="Times New Roman" w:hAnsi="Times New Roman" w:cs="Times New Roman"/>
                <w:bCs/>
                <w:color w:val="auto"/>
                <w:szCs w:val="21"/>
                <w:highlight w:val="none"/>
              </w:rPr>
            </w:pPr>
          </w:p>
          <w:p w14:paraId="30F1D15E">
            <w:pPr>
              <w:adjustRightInd w:val="0"/>
              <w:snapToGrid w:val="0"/>
              <w:jc w:val="center"/>
              <w:rPr>
                <w:rFonts w:hint="default" w:ascii="Times New Roman" w:hAnsi="Times New Roman" w:cs="Times New Roman"/>
                <w:bCs/>
                <w:color w:val="auto"/>
                <w:szCs w:val="21"/>
                <w:highlight w:val="none"/>
              </w:rPr>
            </w:pPr>
          </w:p>
          <w:p w14:paraId="3A1AEC6D">
            <w:pPr>
              <w:adjustRightInd w:val="0"/>
              <w:snapToGrid w:val="0"/>
              <w:jc w:val="center"/>
              <w:rPr>
                <w:rFonts w:hint="default" w:ascii="Times New Roman" w:hAnsi="Times New Roman" w:cs="Times New Roman"/>
                <w:bCs/>
                <w:color w:val="auto"/>
                <w:szCs w:val="21"/>
                <w:highlight w:val="none"/>
              </w:rPr>
            </w:pPr>
          </w:p>
          <w:p w14:paraId="132D1ED8">
            <w:pPr>
              <w:adjustRightInd w:val="0"/>
              <w:snapToGrid w:val="0"/>
              <w:jc w:val="center"/>
              <w:rPr>
                <w:rFonts w:hint="default" w:ascii="Times New Roman" w:hAnsi="Times New Roman" w:cs="Times New Roman"/>
                <w:bCs/>
                <w:color w:val="auto"/>
                <w:szCs w:val="21"/>
                <w:highlight w:val="none"/>
              </w:rPr>
            </w:pPr>
          </w:p>
          <w:p w14:paraId="45A227C1">
            <w:pPr>
              <w:adjustRightInd w:val="0"/>
              <w:snapToGrid w:val="0"/>
              <w:jc w:val="center"/>
              <w:rPr>
                <w:rFonts w:hint="default" w:ascii="Times New Roman" w:hAnsi="Times New Roman" w:cs="Times New Roman"/>
                <w:bCs/>
                <w:color w:val="auto"/>
                <w:szCs w:val="21"/>
                <w:highlight w:val="none"/>
              </w:rPr>
            </w:pPr>
          </w:p>
          <w:p w14:paraId="744355F4">
            <w:pPr>
              <w:adjustRightInd w:val="0"/>
              <w:snapToGrid w:val="0"/>
              <w:jc w:val="center"/>
              <w:rPr>
                <w:rFonts w:hint="default" w:ascii="Times New Roman" w:hAnsi="Times New Roman" w:cs="Times New Roman"/>
                <w:bCs/>
                <w:color w:val="auto"/>
                <w:szCs w:val="21"/>
                <w:highlight w:val="none"/>
              </w:rPr>
            </w:pPr>
          </w:p>
          <w:p w14:paraId="15B38307">
            <w:pPr>
              <w:adjustRightInd w:val="0"/>
              <w:snapToGrid w:val="0"/>
              <w:jc w:val="center"/>
              <w:rPr>
                <w:rFonts w:hint="default" w:ascii="Times New Roman" w:hAnsi="Times New Roman" w:cs="Times New Roman"/>
                <w:bCs/>
                <w:color w:val="auto"/>
                <w:szCs w:val="21"/>
                <w:highlight w:val="none"/>
              </w:rPr>
            </w:pPr>
          </w:p>
          <w:p w14:paraId="381A42B5">
            <w:pPr>
              <w:adjustRightInd w:val="0"/>
              <w:snapToGrid w:val="0"/>
              <w:jc w:val="center"/>
              <w:rPr>
                <w:rFonts w:hint="default" w:ascii="Times New Roman" w:hAnsi="Times New Roman" w:cs="Times New Roman"/>
                <w:bCs/>
                <w:color w:val="auto"/>
                <w:szCs w:val="21"/>
                <w:highlight w:val="none"/>
              </w:rPr>
            </w:pPr>
          </w:p>
          <w:p w14:paraId="29723D6D">
            <w:pPr>
              <w:adjustRightInd w:val="0"/>
              <w:snapToGrid w:val="0"/>
              <w:jc w:val="center"/>
              <w:rPr>
                <w:rFonts w:hint="default" w:ascii="Times New Roman" w:hAnsi="Times New Roman" w:cs="Times New Roman"/>
                <w:bCs/>
                <w:color w:val="auto"/>
                <w:szCs w:val="21"/>
                <w:highlight w:val="none"/>
              </w:rPr>
            </w:pPr>
          </w:p>
          <w:p w14:paraId="1AFA17C6">
            <w:pPr>
              <w:adjustRightInd w:val="0"/>
              <w:snapToGrid w:val="0"/>
              <w:jc w:val="center"/>
              <w:rPr>
                <w:rFonts w:hint="default" w:ascii="Times New Roman" w:hAnsi="Times New Roman" w:cs="Times New Roman"/>
                <w:bCs/>
                <w:color w:val="auto"/>
                <w:szCs w:val="21"/>
                <w:highlight w:val="none"/>
              </w:rPr>
            </w:pPr>
          </w:p>
          <w:p w14:paraId="4B5D1FDF">
            <w:pPr>
              <w:adjustRightInd w:val="0"/>
              <w:snapToGrid w:val="0"/>
              <w:jc w:val="center"/>
              <w:rPr>
                <w:rFonts w:hint="default" w:ascii="Times New Roman" w:hAnsi="Times New Roman" w:cs="Times New Roman"/>
                <w:bCs/>
                <w:color w:val="auto"/>
                <w:szCs w:val="21"/>
                <w:highlight w:val="none"/>
              </w:rPr>
            </w:pPr>
          </w:p>
          <w:p w14:paraId="1C05F044">
            <w:pPr>
              <w:adjustRightInd w:val="0"/>
              <w:snapToGrid w:val="0"/>
              <w:jc w:val="center"/>
              <w:rPr>
                <w:rFonts w:hint="default" w:ascii="Times New Roman" w:hAnsi="Times New Roman" w:cs="Times New Roman"/>
                <w:bCs/>
                <w:color w:val="auto"/>
                <w:szCs w:val="21"/>
                <w:highlight w:val="none"/>
              </w:rPr>
            </w:pPr>
          </w:p>
          <w:p w14:paraId="48B0435F">
            <w:pPr>
              <w:adjustRightInd w:val="0"/>
              <w:snapToGrid w:val="0"/>
              <w:jc w:val="center"/>
              <w:rPr>
                <w:rFonts w:hint="default" w:ascii="Times New Roman" w:hAnsi="Times New Roman" w:cs="Times New Roman"/>
                <w:bCs/>
                <w:color w:val="auto"/>
                <w:szCs w:val="21"/>
                <w:highlight w:val="none"/>
              </w:rPr>
            </w:pPr>
          </w:p>
          <w:p w14:paraId="0F62D22E">
            <w:pPr>
              <w:adjustRightInd w:val="0"/>
              <w:snapToGrid w:val="0"/>
              <w:jc w:val="center"/>
              <w:rPr>
                <w:rFonts w:hint="default" w:ascii="Times New Roman" w:hAnsi="Times New Roman" w:cs="Times New Roman"/>
                <w:bCs/>
                <w:color w:val="auto"/>
                <w:szCs w:val="21"/>
                <w:highlight w:val="none"/>
              </w:rPr>
            </w:pPr>
          </w:p>
          <w:p w14:paraId="38A491BB">
            <w:pPr>
              <w:adjustRightInd w:val="0"/>
              <w:snapToGrid w:val="0"/>
              <w:jc w:val="center"/>
              <w:rPr>
                <w:rFonts w:hint="default" w:ascii="Times New Roman" w:hAnsi="Times New Roman" w:cs="Times New Roman"/>
                <w:bCs/>
                <w:color w:val="auto"/>
                <w:szCs w:val="21"/>
                <w:highlight w:val="none"/>
              </w:rPr>
            </w:pPr>
          </w:p>
          <w:p w14:paraId="0922B128">
            <w:pPr>
              <w:adjustRightInd w:val="0"/>
              <w:snapToGrid w:val="0"/>
              <w:rPr>
                <w:rFonts w:hint="default" w:ascii="Times New Roman" w:hAnsi="Times New Roman" w:cs="Times New Roman"/>
                <w:bCs/>
                <w:color w:val="auto"/>
                <w:szCs w:val="21"/>
                <w:highlight w:val="none"/>
              </w:rPr>
            </w:pPr>
          </w:p>
          <w:p w14:paraId="1048AD2E">
            <w:pPr>
              <w:pStyle w:val="46"/>
              <w:rPr>
                <w:rFonts w:hint="default" w:ascii="Times New Roman" w:hAnsi="Times New Roman" w:cs="Times New Roman"/>
                <w:bCs/>
                <w:color w:val="auto"/>
                <w:szCs w:val="21"/>
                <w:highlight w:val="none"/>
              </w:rPr>
            </w:pPr>
          </w:p>
          <w:p w14:paraId="7B01D98C">
            <w:pPr>
              <w:pStyle w:val="46"/>
              <w:rPr>
                <w:rFonts w:hint="default" w:ascii="Times New Roman" w:hAnsi="Times New Roman" w:cs="Times New Roman"/>
                <w:bCs/>
                <w:color w:val="auto"/>
                <w:szCs w:val="21"/>
                <w:highlight w:val="none"/>
              </w:rPr>
            </w:pPr>
          </w:p>
          <w:p w14:paraId="461EE2DE">
            <w:pPr>
              <w:pStyle w:val="46"/>
              <w:rPr>
                <w:rFonts w:hint="default" w:ascii="Times New Roman" w:hAnsi="Times New Roman" w:cs="Times New Roman"/>
                <w:bCs/>
                <w:color w:val="auto"/>
                <w:szCs w:val="21"/>
                <w:highlight w:val="none"/>
              </w:rPr>
            </w:pPr>
          </w:p>
          <w:p w14:paraId="46DAA172">
            <w:pPr>
              <w:pStyle w:val="46"/>
              <w:rPr>
                <w:rFonts w:hint="default" w:ascii="Times New Roman" w:hAnsi="Times New Roman" w:cs="Times New Roman"/>
                <w:bCs/>
                <w:color w:val="auto"/>
                <w:szCs w:val="21"/>
                <w:highlight w:val="none"/>
              </w:rPr>
            </w:pPr>
          </w:p>
          <w:p w14:paraId="1C695C36">
            <w:pPr>
              <w:adjustRightInd w:val="0"/>
              <w:snapToGrid w:val="0"/>
              <w:rPr>
                <w:rFonts w:hint="default" w:ascii="Times New Roman" w:hAnsi="Times New Roman" w:cs="Times New Roman"/>
                <w:bCs/>
                <w:color w:val="auto"/>
                <w:sz w:val="24"/>
                <w:highlight w:val="none"/>
              </w:rPr>
            </w:pPr>
          </w:p>
          <w:p w14:paraId="482F89D8">
            <w:pPr>
              <w:pStyle w:val="2"/>
              <w:rPr>
                <w:rFonts w:hint="default" w:ascii="Times New Roman" w:hAnsi="Times New Roman" w:cs="Times New Roman"/>
                <w:bCs/>
                <w:color w:val="auto"/>
                <w:sz w:val="24"/>
                <w:highlight w:val="none"/>
              </w:rPr>
            </w:pPr>
          </w:p>
          <w:p w14:paraId="3AEDF9D9">
            <w:pPr>
              <w:rPr>
                <w:rFonts w:hint="default" w:ascii="Times New Roman" w:hAnsi="Times New Roman" w:cs="Times New Roman"/>
                <w:bCs/>
                <w:color w:val="auto"/>
                <w:sz w:val="24"/>
                <w:highlight w:val="none"/>
              </w:rPr>
            </w:pPr>
          </w:p>
          <w:p w14:paraId="34DB76BF">
            <w:pPr>
              <w:pStyle w:val="2"/>
              <w:rPr>
                <w:rFonts w:hint="default" w:ascii="Times New Roman" w:hAnsi="Times New Roman" w:cs="Times New Roman"/>
                <w:bCs/>
                <w:color w:val="auto"/>
                <w:sz w:val="24"/>
                <w:highlight w:val="none"/>
              </w:rPr>
            </w:pPr>
          </w:p>
          <w:p w14:paraId="035402CC">
            <w:pPr>
              <w:rPr>
                <w:rFonts w:hint="default"/>
              </w:rPr>
            </w:pPr>
          </w:p>
          <w:p w14:paraId="1F3AB20E">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23E6DB4B">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505E2903">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0D986D77">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570F4A5D">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1DF9BDA2">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28CB8706">
            <w:pPr>
              <w:adjustRightInd w:val="0"/>
              <w:snapToGrid w:val="0"/>
              <w:jc w:val="center"/>
              <w:rPr>
                <w:rFonts w:hint="default" w:ascii="Times New Roman" w:hAnsi="Times New Roman" w:cs="Times New Roman"/>
                <w:bCs/>
                <w:color w:val="auto"/>
                <w:szCs w:val="21"/>
                <w:highlight w:val="none"/>
              </w:rPr>
            </w:pPr>
          </w:p>
          <w:p w14:paraId="4D13849B">
            <w:pPr>
              <w:adjustRightInd w:val="0"/>
              <w:snapToGrid w:val="0"/>
              <w:jc w:val="center"/>
              <w:rPr>
                <w:rFonts w:hint="default" w:ascii="Times New Roman" w:hAnsi="Times New Roman" w:cs="Times New Roman"/>
                <w:bCs/>
                <w:color w:val="auto"/>
                <w:szCs w:val="21"/>
                <w:highlight w:val="none"/>
              </w:rPr>
            </w:pPr>
          </w:p>
          <w:p w14:paraId="2704BCC7">
            <w:pPr>
              <w:adjustRightInd w:val="0"/>
              <w:snapToGrid w:val="0"/>
              <w:jc w:val="center"/>
              <w:rPr>
                <w:rFonts w:hint="default" w:ascii="Times New Roman" w:hAnsi="Times New Roman" w:cs="Times New Roman"/>
                <w:bCs/>
                <w:color w:val="auto"/>
                <w:szCs w:val="21"/>
                <w:highlight w:val="none"/>
              </w:rPr>
            </w:pPr>
          </w:p>
          <w:p w14:paraId="251B96D4">
            <w:pPr>
              <w:adjustRightInd w:val="0"/>
              <w:snapToGrid w:val="0"/>
              <w:jc w:val="center"/>
              <w:rPr>
                <w:rFonts w:hint="default" w:ascii="Times New Roman" w:hAnsi="Times New Roman" w:cs="Times New Roman"/>
                <w:bCs/>
                <w:color w:val="auto"/>
                <w:szCs w:val="21"/>
                <w:highlight w:val="none"/>
              </w:rPr>
            </w:pPr>
          </w:p>
          <w:p w14:paraId="54A58C0B">
            <w:pPr>
              <w:adjustRightInd w:val="0"/>
              <w:snapToGrid w:val="0"/>
              <w:jc w:val="center"/>
              <w:rPr>
                <w:rFonts w:hint="default" w:ascii="Times New Roman" w:hAnsi="Times New Roman" w:cs="Times New Roman"/>
                <w:bCs/>
                <w:color w:val="auto"/>
                <w:szCs w:val="21"/>
                <w:highlight w:val="none"/>
              </w:rPr>
            </w:pPr>
          </w:p>
          <w:p w14:paraId="442E0DBE">
            <w:pPr>
              <w:adjustRightInd w:val="0"/>
              <w:snapToGrid w:val="0"/>
              <w:jc w:val="center"/>
              <w:rPr>
                <w:rFonts w:hint="default" w:ascii="Times New Roman" w:hAnsi="Times New Roman" w:cs="Times New Roman"/>
                <w:bCs/>
                <w:color w:val="auto"/>
                <w:szCs w:val="21"/>
                <w:highlight w:val="none"/>
              </w:rPr>
            </w:pPr>
          </w:p>
          <w:p w14:paraId="58617260">
            <w:pPr>
              <w:adjustRightInd w:val="0"/>
              <w:snapToGrid w:val="0"/>
              <w:jc w:val="center"/>
              <w:rPr>
                <w:rFonts w:hint="default" w:ascii="Times New Roman" w:hAnsi="Times New Roman" w:cs="Times New Roman"/>
                <w:bCs/>
                <w:color w:val="auto"/>
                <w:szCs w:val="21"/>
                <w:highlight w:val="none"/>
              </w:rPr>
            </w:pPr>
          </w:p>
          <w:p w14:paraId="13816CF7">
            <w:pPr>
              <w:adjustRightInd w:val="0"/>
              <w:snapToGrid w:val="0"/>
              <w:jc w:val="center"/>
              <w:rPr>
                <w:rFonts w:hint="default" w:ascii="Times New Roman" w:hAnsi="Times New Roman" w:cs="Times New Roman"/>
                <w:bCs/>
                <w:color w:val="auto"/>
                <w:szCs w:val="21"/>
                <w:highlight w:val="none"/>
              </w:rPr>
            </w:pPr>
          </w:p>
          <w:p w14:paraId="4FF06E7D">
            <w:pPr>
              <w:adjustRightInd w:val="0"/>
              <w:snapToGrid w:val="0"/>
              <w:jc w:val="center"/>
              <w:rPr>
                <w:rFonts w:hint="default" w:ascii="Times New Roman" w:hAnsi="Times New Roman" w:cs="Times New Roman"/>
                <w:bCs/>
                <w:color w:val="auto"/>
                <w:szCs w:val="21"/>
                <w:highlight w:val="none"/>
              </w:rPr>
            </w:pPr>
          </w:p>
          <w:p w14:paraId="733EB4E3">
            <w:pPr>
              <w:adjustRightInd w:val="0"/>
              <w:snapToGrid w:val="0"/>
              <w:jc w:val="center"/>
              <w:rPr>
                <w:rFonts w:hint="default" w:ascii="Times New Roman" w:hAnsi="Times New Roman" w:cs="Times New Roman"/>
                <w:bCs/>
                <w:color w:val="auto"/>
                <w:szCs w:val="21"/>
                <w:highlight w:val="none"/>
              </w:rPr>
            </w:pPr>
          </w:p>
          <w:p w14:paraId="2C5798EB">
            <w:pPr>
              <w:adjustRightInd w:val="0"/>
              <w:snapToGrid w:val="0"/>
              <w:jc w:val="center"/>
              <w:rPr>
                <w:rFonts w:hint="default" w:ascii="Times New Roman" w:hAnsi="Times New Roman" w:cs="Times New Roman"/>
                <w:bCs/>
                <w:color w:val="auto"/>
                <w:szCs w:val="21"/>
                <w:highlight w:val="none"/>
              </w:rPr>
            </w:pPr>
          </w:p>
          <w:p w14:paraId="7575ECB2">
            <w:pPr>
              <w:adjustRightInd w:val="0"/>
              <w:snapToGrid w:val="0"/>
              <w:jc w:val="center"/>
              <w:rPr>
                <w:rFonts w:hint="default" w:ascii="Times New Roman" w:hAnsi="Times New Roman" w:cs="Times New Roman"/>
                <w:bCs/>
                <w:color w:val="auto"/>
                <w:szCs w:val="21"/>
                <w:highlight w:val="none"/>
              </w:rPr>
            </w:pPr>
          </w:p>
          <w:p w14:paraId="5DCD5668">
            <w:pPr>
              <w:adjustRightInd w:val="0"/>
              <w:snapToGrid w:val="0"/>
              <w:jc w:val="center"/>
              <w:rPr>
                <w:rFonts w:hint="default" w:ascii="Times New Roman" w:hAnsi="Times New Roman" w:cs="Times New Roman"/>
                <w:bCs/>
                <w:color w:val="auto"/>
                <w:szCs w:val="21"/>
                <w:highlight w:val="none"/>
              </w:rPr>
            </w:pPr>
          </w:p>
          <w:p w14:paraId="1128D38C">
            <w:pPr>
              <w:adjustRightInd w:val="0"/>
              <w:snapToGrid w:val="0"/>
              <w:jc w:val="center"/>
              <w:rPr>
                <w:rFonts w:hint="default" w:ascii="Times New Roman" w:hAnsi="Times New Roman" w:cs="Times New Roman"/>
                <w:bCs/>
                <w:color w:val="auto"/>
                <w:szCs w:val="21"/>
                <w:highlight w:val="none"/>
              </w:rPr>
            </w:pPr>
          </w:p>
          <w:p w14:paraId="4A6CDA56">
            <w:pPr>
              <w:adjustRightInd w:val="0"/>
              <w:snapToGrid w:val="0"/>
              <w:jc w:val="center"/>
              <w:rPr>
                <w:rFonts w:hint="default" w:ascii="Times New Roman" w:hAnsi="Times New Roman" w:cs="Times New Roman"/>
                <w:bCs/>
                <w:color w:val="auto"/>
                <w:szCs w:val="21"/>
                <w:highlight w:val="none"/>
              </w:rPr>
            </w:pPr>
          </w:p>
          <w:p w14:paraId="4120B527">
            <w:pPr>
              <w:adjustRightInd w:val="0"/>
              <w:snapToGrid w:val="0"/>
              <w:jc w:val="center"/>
              <w:rPr>
                <w:rFonts w:hint="default" w:ascii="Times New Roman" w:hAnsi="Times New Roman" w:cs="Times New Roman"/>
                <w:bCs/>
                <w:color w:val="auto"/>
                <w:szCs w:val="21"/>
                <w:highlight w:val="none"/>
              </w:rPr>
            </w:pPr>
          </w:p>
          <w:p w14:paraId="4942C681">
            <w:pPr>
              <w:adjustRightInd w:val="0"/>
              <w:snapToGrid w:val="0"/>
              <w:jc w:val="center"/>
              <w:rPr>
                <w:rFonts w:hint="default" w:ascii="Times New Roman" w:hAnsi="Times New Roman" w:cs="Times New Roman"/>
                <w:bCs/>
                <w:color w:val="auto"/>
                <w:szCs w:val="21"/>
                <w:highlight w:val="none"/>
              </w:rPr>
            </w:pPr>
          </w:p>
          <w:p w14:paraId="019FACB9">
            <w:pPr>
              <w:adjustRightInd w:val="0"/>
              <w:snapToGrid w:val="0"/>
              <w:jc w:val="center"/>
              <w:rPr>
                <w:rFonts w:hint="default" w:ascii="Times New Roman" w:hAnsi="Times New Roman" w:cs="Times New Roman"/>
                <w:bCs/>
                <w:color w:val="auto"/>
                <w:szCs w:val="21"/>
                <w:highlight w:val="none"/>
              </w:rPr>
            </w:pPr>
          </w:p>
          <w:p w14:paraId="570358F6">
            <w:pPr>
              <w:adjustRightInd w:val="0"/>
              <w:snapToGrid w:val="0"/>
              <w:jc w:val="center"/>
              <w:rPr>
                <w:rFonts w:hint="default" w:ascii="Times New Roman" w:hAnsi="Times New Roman" w:cs="Times New Roman"/>
                <w:bCs/>
                <w:color w:val="auto"/>
                <w:szCs w:val="21"/>
                <w:highlight w:val="none"/>
              </w:rPr>
            </w:pPr>
          </w:p>
          <w:p w14:paraId="19ED4856">
            <w:pPr>
              <w:adjustRightInd w:val="0"/>
              <w:snapToGrid w:val="0"/>
              <w:jc w:val="center"/>
              <w:rPr>
                <w:rFonts w:hint="default" w:ascii="Times New Roman" w:hAnsi="Times New Roman" w:cs="Times New Roman"/>
                <w:bCs/>
                <w:color w:val="auto"/>
                <w:szCs w:val="21"/>
                <w:highlight w:val="none"/>
              </w:rPr>
            </w:pPr>
          </w:p>
          <w:p w14:paraId="1C986978">
            <w:pPr>
              <w:adjustRightInd w:val="0"/>
              <w:snapToGrid w:val="0"/>
              <w:jc w:val="center"/>
              <w:rPr>
                <w:rFonts w:hint="default" w:ascii="Times New Roman" w:hAnsi="Times New Roman" w:cs="Times New Roman"/>
                <w:bCs/>
                <w:color w:val="auto"/>
                <w:szCs w:val="21"/>
                <w:highlight w:val="none"/>
              </w:rPr>
            </w:pPr>
          </w:p>
          <w:p w14:paraId="4798AC51">
            <w:pPr>
              <w:adjustRightInd w:val="0"/>
              <w:snapToGrid w:val="0"/>
              <w:jc w:val="center"/>
              <w:rPr>
                <w:rFonts w:hint="default" w:ascii="Times New Roman" w:hAnsi="Times New Roman" w:cs="Times New Roman"/>
                <w:bCs/>
                <w:color w:val="auto"/>
                <w:szCs w:val="21"/>
                <w:highlight w:val="none"/>
              </w:rPr>
            </w:pPr>
          </w:p>
          <w:p w14:paraId="07B08288">
            <w:pPr>
              <w:adjustRightInd w:val="0"/>
              <w:snapToGrid w:val="0"/>
              <w:jc w:val="center"/>
              <w:rPr>
                <w:rFonts w:hint="default" w:ascii="Times New Roman" w:hAnsi="Times New Roman" w:cs="Times New Roman"/>
                <w:bCs/>
                <w:color w:val="auto"/>
                <w:szCs w:val="21"/>
                <w:highlight w:val="none"/>
              </w:rPr>
            </w:pPr>
          </w:p>
          <w:p w14:paraId="1BD45D0B">
            <w:pPr>
              <w:adjustRightInd w:val="0"/>
              <w:snapToGrid w:val="0"/>
              <w:jc w:val="center"/>
              <w:rPr>
                <w:rFonts w:hint="default" w:ascii="Times New Roman" w:hAnsi="Times New Roman" w:cs="Times New Roman"/>
                <w:bCs/>
                <w:color w:val="auto"/>
                <w:szCs w:val="21"/>
                <w:highlight w:val="none"/>
              </w:rPr>
            </w:pPr>
          </w:p>
          <w:p w14:paraId="476AC403">
            <w:pPr>
              <w:adjustRightInd w:val="0"/>
              <w:snapToGrid w:val="0"/>
              <w:jc w:val="center"/>
              <w:rPr>
                <w:rFonts w:hint="default" w:ascii="Times New Roman" w:hAnsi="Times New Roman" w:cs="Times New Roman"/>
                <w:bCs/>
                <w:color w:val="auto"/>
                <w:szCs w:val="21"/>
                <w:highlight w:val="none"/>
              </w:rPr>
            </w:pPr>
          </w:p>
          <w:p w14:paraId="0F547B71">
            <w:pPr>
              <w:adjustRightInd w:val="0"/>
              <w:snapToGrid w:val="0"/>
              <w:jc w:val="center"/>
              <w:rPr>
                <w:rFonts w:hint="default" w:ascii="Times New Roman" w:hAnsi="Times New Roman" w:cs="Times New Roman"/>
                <w:bCs/>
                <w:color w:val="auto"/>
                <w:szCs w:val="21"/>
                <w:highlight w:val="none"/>
              </w:rPr>
            </w:pPr>
          </w:p>
          <w:p w14:paraId="10236E03">
            <w:pPr>
              <w:adjustRightInd w:val="0"/>
              <w:snapToGrid w:val="0"/>
              <w:jc w:val="center"/>
              <w:rPr>
                <w:rFonts w:hint="default" w:ascii="Times New Roman" w:hAnsi="Times New Roman" w:cs="Times New Roman"/>
                <w:bCs/>
                <w:color w:val="auto"/>
                <w:szCs w:val="21"/>
                <w:highlight w:val="none"/>
              </w:rPr>
            </w:pPr>
          </w:p>
          <w:p w14:paraId="3BDF4B93">
            <w:pPr>
              <w:adjustRightInd w:val="0"/>
              <w:snapToGrid w:val="0"/>
              <w:jc w:val="center"/>
              <w:rPr>
                <w:rFonts w:hint="default" w:ascii="Times New Roman" w:hAnsi="Times New Roman" w:cs="Times New Roman"/>
                <w:bCs/>
                <w:color w:val="auto"/>
                <w:szCs w:val="21"/>
                <w:highlight w:val="none"/>
              </w:rPr>
            </w:pPr>
          </w:p>
          <w:p w14:paraId="23DFB1F2">
            <w:pPr>
              <w:adjustRightInd w:val="0"/>
              <w:snapToGrid w:val="0"/>
              <w:jc w:val="center"/>
              <w:rPr>
                <w:rFonts w:hint="default" w:ascii="Times New Roman" w:hAnsi="Times New Roman" w:cs="Times New Roman"/>
                <w:bCs/>
                <w:color w:val="auto"/>
                <w:szCs w:val="21"/>
                <w:highlight w:val="none"/>
              </w:rPr>
            </w:pPr>
          </w:p>
          <w:p w14:paraId="45611287">
            <w:pPr>
              <w:adjustRightInd w:val="0"/>
              <w:snapToGrid w:val="0"/>
              <w:jc w:val="center"/>
              <w:rPr>
                <w:rFonts w:hint="default" w:ascii="Times New Roman" w:hAnsi="Times New Roman" w:cs="Times New Roman"/>
                <w:bCs/>
                <w:color w:val="auto"/>
                <w:szCs w:val="21"/>
                <w:highlight w:val="none"/>
              </w:rPr>
            </w:pPr>
          </w:p>
          <w:p w14:paraId="326D6118">
            <w:pPr>
              <w:adjustRightInd w:val="0"/>
              <w:snapToGrid w:val="0"/>
              <w:jc w:val="center"/>
              <w:rPr>
                <w:rFonts w:hint="default" w:ascii="Times New Roman" w:hAnsi="Times New Roman" w:cs="Times New Roman"/>
                <w:bCs/>
                <w:color w:val="auto"/>
                <w:szCs w:val="21"/>
                <w:highlight w:val="none"/>
              </w:rPr>
            </w:pPr>
          </w:p>
          <w:p w14:paraId="52602540">
            <w:pPr>
              <w:adjustRightInd w:val="0"/>
              <w:snapToGrid w:val="0"/>
              <w:jc w:val="center"/>
              <w:rPr>
                <w:rFonts w:hint="default" w:ascii="Times New Roman" w:hAnsi="Times New Roman" w:cs="Times New Roman"/>
                <w:bCs/>
                <w:color w:val="auto"/>
                <w:szCs w:val="21"/>
                <w:highlight w:val="none"/>
              </w:rPr>
            </w:pPr>
          </w:p>
          <w:p w14:paraId="18BC7FDA">
            <w:pPr>
              <w:adjustRightInd w:val="0"/>
              <w:snapToGrid w:val="0"/>
              <w:jc w:val="center"/>
              <w:rPr>
                <w:rFonts w:hint="default" w:ascii="Times New Roman" w:hAnsi="Times New Roman" w:cs="Times New Roman"/>
                <w:bCs/>
                <w:color w:val="auto"/>
                <w:szCs w:val="21"/>
                <w:highlight w:val="none"/>
              </w:rPr>
            </w:pPr>
          </w:p>
          <w:p w14:paraId="588545BE">
            <w:pPr>
              <w:adjustRightInd w:val="0"/>
              <w:snapToGrid w:val="0"/>
              <w:jc w:val="center"/>
              <w:rPr>
                <w:rFonts w:hint="default" w:ascii="Times New Roman" w:hAnsi="Times New Roman" w:cs="Times New Roman"/>
                <w:bCs/>
                <w:color w:val="auto"/>
                <w:szCs w:val="21"/>
                <w:highlight w:val="none"/>
              </w:rPr>
            </w:pPr>
          </w:p>
          <w:p w14:paraId="10B7BC60">
            <w:pPr>
              <w:adjustRightInd w:val="0"/>
              <w:snapToGrid w:val="0"/>
              <w:rPr>
                <w:rFonts w:hint="default" w:ascii="Times New Roman" w:hAnsi="Times New Roman" w:cs="Times New Roman"/>
                <w:bCs/>
                <w:color w:val="auto"/>
                <w:sz w:val="24"/>
                <w:highlight w:val="none"/>
              </w:rPr>
            </w:pPr>
          </w:p>
          <w:p w14:paraId="52C2B469">
            <w:pPr>
              <w:pStyle w:val="2"/>
              <w:rPr>
                <w:rFonts w:hint="default" w:ascii="Times New Roman" w:hAnsi="Times New Roman" w:cs="Times New Roman"/>
                <w:bCs/>
                <w:color w:val="auto"/>
                <w:sz w:val="24"/>
                <w:highlight w:val="none"/>
              </w:rPr>
            </w:pPr>
          </w:p>
          <w:p w14:paraId="59860AE7">
            <w:pPr>
              <w:rPr>
                <w:rFonts w:hint="default" w:ascii="Times New Roman" w:hAnsi="Times New Roman" w:cs="Times New Roman"/>
                <w:bCs/>
                <w:color w:val="auto"/>
                <w:sz w:val="24"/>
                <w:highlight w:val="none"/>
              </w:rPr>
            </w:pPr>
          </w:p>
          <w:p w14:paraId="33416418">
            <w:pPr>
              <w:pStyle w:val="2"/>
              <w:rPr>
                <w:rFonts w:hint="default" w:ascii="Times New Roman" w:hAnsi="Times New Roman" w:cs="Times New Roman"/>
                <w:bCs/>
                <w:color w:val="auto"/>
                <w:sz w:val="24"/>
                <w:highlight w:val="none"/>
              </w:rPr>
            </w:pPr>
          </w:p>
          <w:p w14:paraId="7F67EBC5">
            <w:pPr>
              <w:rPr>
                <w:rFonts w:hint="default" w:ascii="Times New Roman" w:hAnsi="Times New Roman" w:cs="Times New Roman"/>
                <w:bCs/>
                <w:color w:val="auto"/>
                <w:sz w:val="24"/>
                <w:highlight w:val="none"/>
              </w:rPr>
            </w:pPr>
          </w:p>
          <w:p w14:paraId="662C545A">
            <w:pPr>
              <w:pStyle w:val="2"/>
              <w:rPr>
                <w:rFonts w:hint="default" w:ascii="Times New Roman" w:hAnsi="Times New Roman" w:cs="Times New Roman"/>
                <w:bCs/>
                <w:color w:val="auto"/>
                <w:sz w:val="24"/>
                <w:highlight w:val="none"/>
              </w:rPr>
            </w:pPr>
          </w:p>
          <w:p w14:paraId="38E7C755">
            <w:pPr>
              <w:rPr>
                <w:rFonts w:hint="default"/>
              </w:rPr>
            </w:pPr>
          </w:p>
          <w:p w14:paraId="27A9BF9C">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76F1E7B7">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4784696D">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5987D526">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6510DE43">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7B278ADB">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580A9C34">
            <w:pPr>
              <w:adjustRightInd w:val="0"/>
              <w:snapToGrid w:val="0"/>
              <w:jc w:val="center"/>
              <w:rPr>
                <w:rFonts w:hint="default" w:ascii="Times New Roman" w:hAnsi="Times New Roman" w:cs="Times New Roman"/>
                <w:bCs/>
                <w:color w:val="auto"/>
                <w:szCs w:val="21"/>
                <w:highlight w:val="none"/>
              </w:rPr>
            </w:pPr>
          </w:p>
          <w:p w14:paraId="16D7F3D9">
            <w:pPr>
              <w:adjustRightInd w:val="0"/>
              <w:snapToGrid w:val="0"/>
              <w:jc w:val="center"/>
              <w:rPr>
                <w:rFonts w:hint="default" w:ascii="Times New Roman" w:hAnsi="Times New Roman" w:cs="Times New Roman"/>
                <w:bCs/>
                <w:color w:val="auto"/>
                <w:szCs w:val="21"/>
                <w:highlight w:val="none"/>
              </w:rPr>
            </w:pPr>
          </w:p>
          <w:p w14:paraId="2A9D5F88">
            <w:pPr>
              <w:adjustRightInd w:val="0"/>
              <w:snapToGrid w:val="0"/>
              <w:jc w:val="center"/>
              <w:rPr>
                <w:rFonts w:hint="default" w:ascii="Times New Roman" w:hAnsi="Times New Roman" w:cs="Times New Roman"/>
                <w:bCs/>
                <w:color w:val="auto"/>
                <w:szCs w:val="21"/>
                <w:highlight w:val="none"/>
              </w:rPr>
            </w:pPr>
          </w:p>
          <w:p w14:paraId="418B5FF4">
            <w:pPr>
              <w:adjustRightInd w:val="0"/>
              <w:snapToGrid w:val="0"/>
              <w:jc w:val="center"/>
              <w:rPr>
                <w:rFonts w:hint="default" w:ascii="Times New Roman" w:hAnsi="Times New Roman" w:cs="Times New Roman"/>
                <w:bCs/>
                <w:color w:val="auto"/>
                <w:szCs w:val="21"/>
                <w:highlight w:val="none"/>
              </w:rPr>
            </w:pPr>
          </w:p>
          <w:p w14:paraId="0BEC6943">
            <w:pPr>
              <w:adjustRightInd w:val="0"/>
              <w:snapToGrid w:val="0"/>
              <w:jc w:val="center"/>
              <w:rPr>
                <w:rFonts w:hint="default" w:ascii="Times New Roman" w:hAnsi="Times New Roman" w:cs="Times New Roman"/>
                <w:bCs/>
                <w:color w:val="auto"/>
                <w:szCs w:val="21"/>
                <w:highlight w:val="none"/>
              </w:rPr>
            </w:pPr>
          </w:p>
          <w:p w14:paraId="7C0D6573">
            <w:pPr>
              <w:adjustRightInd w:val="0"/>
              <w:snapToGrid w:val="0"/>
              <w:jc w:val="center"/>
              <w:rPr>
                <w:rFonts w:hint="default" w:ascii="Times New Roman" w:hAnsi="Times New Roman" w:cs="Times New Roman"/>
                <w:bCs/>
                <w:color w:val="auto"/>
                <w:szCs w:val="21"/>
                <w:highlight w:val="none"/>
              </w:rPr>
            </w:pPr>
          </w:p>
          <w:p w14:paraId="4D804154">
            <w:pPr>
              <w:adjustRightInd w:val="0"/>
              <w:snapToGrid w:val="0"/>
              <w:jc w:val="center"/>
              <w:rPr>
                <w:rFonts w:hint="default" w:ascii="Times New Roman" w:hAnsi="Times New Roman" w:cs="Times New Roman"/>
                <w:bCs/>
                <w:color w:val="auto"/>
                <w:szCs w:val="21"/>
                <w:highlight w:val="none"/>
              </w:rPr>
            </w:pPr>
          </w:p>
          <w:p w14:paraId="06C796E0">
            <w:pPr>
              <w:adjustRightInd w:val="0"/>
              <w:snapToGrid w:val="0"/>
              <w:jc w:val="center"/>
              <w:rPr>
                <w:rFonts w:hint="default" w:ascii="Times New Roman" w:hAnsi="Times New Roman" w:cs="Times New Roman"/>
                <w:bCs/>
                <w:color w:val="auto"/>
                <w:szCs w:val="21"/>
                <w:highlight w:val="none"/>
              </w:rPr>
            </w:pPr>
          </w:p>
          <w:p w14:paraId="33188BEB">
            <w:pPr>
              <w:adjustRightInd w:val="0"/>
              <w:snapToGrid w:val="0"/>
              <w:jc w:val="center"/>
              <w:rPr>
                <w:rFonts w:hint="default" w:ascii="Times New Roman" w:hAnsi="Times New Roman" w:cs="Times New Roman"/>
                <w:bCs/>
                <w:color w:val="auto"/>
                <w:szCs w:val="21"/>
                <w:highlight w:val="none"/>
              </w:rPr>
            </w:pPr>
          </w:p>
          <w:p w14:paraId="16101E8A">
            <w:pPr>
              <w:adjustRightInd w:val="0"/>
              <w:snapToGrid w:val="0"/>
              <w:jc w:val="center"/>
              <w:rPr>
                <w:rFonts w:hint="default" w:ascii="Times New Roman" w:hAnsi="Times New Roman" w:cs="Times New Roman"/>
                <w:bCs/>
                <w:color w:val="auto"/>
                <w:szCs w:val="21"/>
                <w:highlight w:val="none"/>
              </w:rPr>
            </w:pPr>
          </w:p>
          <w:p w14:paraId="56039696">
            <w:pPr>
              <w:adjustRightInd w:val="0"/>
              <w:snapToGrid w:val="0"/>
              <w:jc w:val="center"/>
              <w:rPr>
                <w:rFonts w:hint="default" w:ascii="Times New Roman" w:hAnsi="Times New Roman" w:cs="Times New Roman"/>
                <w:bCs/>
                <w:color w:val="auto"/>
                <w:szCs w:val="21"/>
                <w:highlight w:val="none"/>
              </w:rPr>
            </w:pPr>
          </w:p>
          <w:p w14:paraId="4ECBAFF3">
            <w:pPr>
              <w:adjustRightInd w:val="0"/>
              <w:snapToGrid w:val="0"/>
              <w:jc w:val="center"/>
              <w:rPr>
                <w:rFonts w:hint="default" w:ascii="Times New Roman" w:hAnsi="Times New Roman" w:cs="Times New Roman"/>
                <w:bCs/>
                <w:color w:val="auto"/>
                <w:szCs w:val="21"/>
                <w:highlight w:val="none"/>
              </w:rPr>
            </w:pPr>
          </w:p>
          <w:p w14:paraId="3B05CB23">
            <w:pPr>
              <w:adjustRightInd w:val="0"/>
              <w:snapToGrid w:val="0"/>
              <w:jc w:val="center"/>
              <w:rPr>
                <w:rFonts w:hint="default" w:ascii="Times New Roman" w:hAnsi="Times New Roman" w:cs="Times New Roman"/>
                <w:bCs/>
                <w:color w:val="auto"/>
                <w:szCs w:val="21"/>
                <w:highlight w:val="none"/>
              </w:rPr>
            </w:pPr>
          </w:p>
          <w:p w14:paraId="5CE54242">
            <w:pPr>
              <w:adjustRightInd w:val="0"/>
              <w:snapToGrid w:val="0"/>
              <w:jc w:val="center"/>
              <w:rPr>
                <w:rFonts w:hint="default" w:ascii="Times New Roman" w:hAnsi="Times New Roman" w:cs="Times New Roman"/>
                <w:bCs/>
                <w:color w:val="auto"/>
                <w:szCs w:val="21"/>
                <w:highlight w:val="none"/>
              </w:rPr>
            </w:pPr>
          </w:p>
          <w:p w14:paraId="1891BC7A">
            <w:pPr>
              <w:adjustRightInd w:val="0"/>
              <w:snapToGrid w:val="0"/>
              <w:jc w:val="center"/>
              <w:rPr>
                <w:rFonts w:hint="default" w:ascii="Times New Roman" w:hAnsi="Times New Roman" w:cs="Times New Roman"/>
                <w:bCs/>
                <w:color w:val="auto"/>
                <w:szCs w:val="21"/>
                <w:highlight w:val="none"/>
              </w:rPr>
            </w:pPr>
          </w:p>
          <w:p w14:paraId="091983D0">
            <w:pPr>
              <w:adjustRightInd w:val="0"/>
              <w:snapToGrid w:val="0"/>
              <w:jc w:val="center"/>
              <w:rPr>
                <w:rFonts w:hint="default" w:ascii="Times New Roman" w:hAnsi="Times New Roman" w:cs="Times New Roman"/>
                <w:bCs/>
                <w:color w:val="auto"/>
                <w:szCs w:val="21"/>
                <w:highlight w:val="none"/>
              </w:rPr>
            </w:pPr>
          </w:p>
          <w:p w14:paraId="5CEF0D95">
            <w:pPr>
              <w:adjustRightInd w:val="0"/>
              <w:snapToGrid w:val="0"/>
              <w:jc w:val="center"/>
              <w:rPr>
                <w:rFonts w:hint="default" w:ascii="Times New Roman" w:hAnsi="Times New Roman" w:cs="Times New Roman"/>
                <w:bCs/>
                <w:color w:val="auto"/>
                <w:szCs w:val="21"/>
                <w:highlight w:val="none"/>
              </w:rPr>
            </w:pPr>
          </w:p>
          <w:p w14:paraId="6F98DB54">
            <w:pPr>
              <w:adjustRightInd w:val="0"/>
              <w:snapToGrid w:val="0"/>
              <w:jc w:val="center"/>
              <w:rPr>
                <w:rFonts w:hint="default" w:ascii="Times New Roman" w:hAnsi="Times New Roman" w:cs="Times New Roman"/>
                <w:bCs/>
                <w:color w:val="auto"/>
                <w:szCs w:val="21"/>
                <w:highlight w:val="none"/>
              </w:rPr>
            </w:pPr>
          </w:p>
          <w:p w14:paraId="4E252E68">
            <w:pPr>
              <w:adjustRightInd w:val="0"/>
              <w:snapToGrid w:val="0"/>
              <w:jc w:val="center"/>
              <w:rPr>
                <w:rFonts w:hint="default" w:ascii="Times New Roman" w:hAnsi="Times New Roman" w:cs="Times New Roman"/>
                <w:bCs/>
                <w:color w:val="auto"/>
                <w:szCs w:val="21"/>
                <w:highlight w:val="none"/>
              </w:rPr>
            </w:pPr>
          </w:p>
          <w:p w14:paraId="084F5D1E">
            <w:pPr>
              <w:adjustRightInd w:val="0"/>
              <w:snapToGrid w:val="0"/>
              <w:jc w:val="center"/>
              <w:rPr>
                <w:rFonts w:hint="default" w:ascii="Times New Roman" w:hAnsi="Times New Roman" w:cs="Times New Roman"/>
                <w:bCs/>
                <w:color w:val="auto"/>
                <w:szCs w:val="21"/>
                <w:highlight w:val="none"/>
              </w:rPr>
            </w:pPr>
          </w:p>
          <w:p w14:paraId="607E447D">
            <w:pPr>
              <w:adjustRightInd w:val="0"/>
              <w:snapToGrid w:val="0"/>
              <w:jc w:val="center"/>
              <w:rPr>
                <w:rFonts w:hint="default" w:ascii="Times New Roman" w:hAnsi="Times New Roman" w:cs="Times New Roman"/>
                <w:bCs/>
                <w:color w:val="auto"/>
                <w:szCs w:val="21"/>
                <w:highlight w:val="none"/>
              </w:rPr>
            </w:pPr>
          </w:p>
          <w:p w14:paraId="5B3176F4">
            <w:pPr>
              <w:adjustRightInd w:val="0"/>
              <w:snapToGrid w:val="0"/>
              <w:jc w:val="center"/>
              <w:rPr>
                <w:rFonts w:hint="default" w:ascii="Times New Roman" w:hAnsi="Times New Roman" w:cs="Times New Roman"/>
                <w:bCs/>
                <w:color w:val="auto"/>
                <w:szCs w:val="21"/>
                <w:highlight w:val="none"/>
              </w:rPr>
            </w:pPr>
          </w:p>
          <w:p w14:paraId="0632095D">
            <w:pPr>
              <w:adjustRightInd w:val="0"/>
              <w:snapToGrid w:val="0"/>
              <w:jc w:val="center"/>
              <w:rPr>
                <w:rFonts w:hint="default" w:ascii="Times New Roman" w:hAnsi="Times New Roman" w:cs="Times New Roman"/>
                <w:bCs/>
                <w:color w:val="auto"/>
                <w:szCs w:val="21"/>
                <w:highlight w:val="none"/>
              </w:rPr>
            </w:pPr>
          </w:p>
          <w:p w14:paraId="36144761">
            <w:pPr>
              <w:adjustRightInd w:val="0"/>
              <w:snapToGrid w:val="0"/>
              <w:jc w:val="center"/>
              <w:rPr>
                <w:rFonts w:hint="default" w:ascii="Times New Roman" w:hAnsi="Times New Roman" w:cs="Times New Roman"/>
                <w:bCs/>
                <w:color w:val="auto"/>
                <w:szCs w:val="21"/>
                <w:highlight w:val="none"/>
              </w:rPr>
            </w:pPr>
          </w:p>
          <w:p w14:paraId="375AD05E">
            <w:pPr>
              <w:adjustRightInd w:val="0"/>
              <w:snapToGrid w:val="0"/>
              <w:jc w:val="center"/>
              <w:rPr>
                <w:rFonts w:hint="default" w:ascii="Times New Roman" w:hAnsi="Times New Roman" w:cs="Times New Roman"/>
                <w:bCs/>
                <w:color w:val="auto"/>
                <w:szCs w:val="21"/>
                <w:highlight w:val="none"/>
              </w:rPr>
            </w:pPr>
          </w:p>
          <w:p w14:paraId="6DA31FD4">
            <w:pPr>
              <w:adjustRightInd w:val="0"/>
              <w:snapToGrid w:val="0"/>
              <w:jc w:val="center"/>
              <w:rPr>
                <w:rFonts w:hint="default" w:ascii="Times New Roman" w:hAnsi="Times New Roman" w:cs="Times New Roman"/>
                <w:bCs/>
                <w:color w:val="auto"/>
                <w:szCs w:val="21"/>
                <w:highlight w:val="none"/>
              </w:rPr>
            </w:pPr>
          </w:p>
          <w:p w14:paraId="5B90EF3B">
            <w:pPr>
              <w:adjustRightInd w:val="0"/>
              <w:snapToGrid w:val="0"/>
              <w:jc w:val="center"/>
              <w:rPr>
                <w:rFonts w:hint="default" w:ascii="Times New Roman" w:hAnsi="Times New Roman" w:cs="Times New Roman"/>
                <w:bCs/>
                <w:color w:val="auto"/>
                <w:szCs w:val="21"/>
                <w:highlight w:val="none"/>
              </w:rPr>
            </w:pPr>
          </w:p>
          <w:p w14:paraId="7D2E339C">
            <w:pPr>
              <w:adjustRightInd w:val="0"/>
              <w:snapToGrid w:val="0"/>
              <w:jc w:val="center"/>
              <w:rPr>
                <w:rFonts w:hint="default" w:ascii="Times New Roman" w:hAnsi="Times New Roman" w:cs="Times New Roman"/>
                <w:bCs/>
                <w:color w:val="auto"/>
                <w:szCs w:val="21"/>
                <w:highlight w:val="none"/>
              </w:rPr>
            </w:pPr>
          </w:p>
          <w:p w14:paraId="385C0E27">
            <w:pPr>
              <w:adjustRightInd w:val="0"/>
              <w:snapToGrid w:val="0"/>
              <w:jc w:val="center"/>
              <w:rPr>
                <w:rFonts w:hint="default" w:ascii="Times New Roman" w:hAnsi="Times New Roman" w:cs="Times New Roman"/>
                <w:bCs/>
                <w:color w:val="auto"/>
                <w:szCs w:val="21"/>
                <w:highlight w:val="none"/>
              </w:rPr>
            </w:pPr>
          </w:p>
          <w:p w14:paraId="7AC33116">
            <w:pPr>
              <w:adjustRightInd w:val="0"/>
              <w:snapToGrid w:val="0"/>
              <w:jc w:val="center"/>
              <w:rPr>
                <w:rFonts w:hint="default" w:ascii="Times New Roman" w:hAnsi="Times New Roman" w:cs="Times New Roman"/>
                <w:bCs/>
                <w:color w:val="auto"/>
                <w:szCs w:val="21"/>
                <w:highlight w:val="none"/>
              </w:rPr>
            </w:pPr>
          </w:p>
          <w:p w14:paraId="1CDDAA61">
            <w:pPr>
              <w:adjustRightInd w:val="0"/>
              <w:snapToGrid w:val="0"/>
              <w:jc w:val="center"/>
              <w:rPr>
                <w:rFonts w:hint="default" w:ascii="Times New Roman" w:hAnsi="Times New Roman" w:cs="Times New Roman"/>
                <w:bCs/>
                <w:color w:val="auto"/>
                <w:szCs w:val="21"/>
                <w:highlight w:val="none"/>
              </w:rPr>
            </w:pPr>
          </w:p>
          <w:p w14:paraId="5ECA17BA">
            <w:pPr>
              <w:adjustRightInd w:val="0"/>
              <w:snapToGrid w:val="0"/>
              <w:jc w:val="center"/>
              <w:rPr>
                <w:rFonts w:hint="default" w:ascii="Times New Roman" w:hAnsi="Times New Roman" w:cs="Times New Roman"/>
                <w:bCs/>
                <w:color w:val="auto"/>
                <w:szCs w:val="21"/>
                <w:highlight w:val="none"/>
              </w:rPr>
            </w:pPr>
          </w:p>
          <w:p w14:paraId="6DE9D2E7">
            <w:pPr>
              <w:adjustRightInd w:val="0"/>
              <w:snapToGrid w:val="0"/>
              <w:jc w:val="center"/>
              <w:rPr>
                <w:rFonts w:hint="default" w:ascii="Times New Roman" w:hAnsi="Times New Roman" w:cs="Times New Roman"/>
                <w:bCs/>
                <w:color w:val="auto"/>
                <w:szCs w:val="21"/>
                <w:highlight w:val="none"/>
              </w:rPr>
            </w:pPr>
          </w:p>
          <w:p w14:paraId="2E17C62A">
            <w:pPr>
              <w:adjustRightInd w:val="0"/>
              <w:snapToGrid w:val="0"/>
              <w:rPr>
                <w:rFonts w:hint="default" w:ascii="Times New Roman" w:hAnsi="Times New Roman" w:cs="Times New Roman"/>
                <w:bCs/>
                <w:color w:val="auto"/>
                <w:szCs w:val="21"/>
                <w:highlight w:val="none"/>
              </w:rPr>
            </w:pPr>
          </w:p>
          <w:p w14:paraId="2A45D334">
            <w:pPr>
              <w:pStyle w:val="2"/>
              <w:rPr>
                <w:rFonts w:hint="default" w:ascii="Times New Roman" w:hAnsi="Times New Roman" w:cs="Times New Roman"/>
                <w:bCs/>
                <w:color w:val="auto"/>
                <w:szCs w:val="21"/>
                <w:highlight w:val="none"/>
              </w:rPr>
            </w:pPr>
          </w:p>
          <w:p w14:paraId="02C5400C">
            <w:pPr>
              <w:rPr>
                <w:rFonts w:hint="default" w:ascii="Times New Roman" w:hAnsi="Times New Roman" w:cs="Times New Roman"/>
                <w:bCs/>
                <w:color w:val="auto"/>
                <w:szCs w:val="21"/>
                <w:highlight w:val="none"/>
              </w:rPr>
            </w:pPr>
          </w:p>
          <w:p w14:paraId="6D6C207D">
            <w:pPr>
              <w:pStyle w:val="2"/>
              <w:rPr>
                <w:rFonts w:hint="default" w:ascii="Times New Roman" w:hAnsi="Times New Roman" w:cs="Times New Roman"/>
                <w:bCs/>
                <w:color w:val="auto"/>
                <w:szCs w:val="21"/>
                <w:highlight w:val="none"/>
              </w:rPr>
            </w:pPr>
          </w:p>
          <w:p w14:paraId="738C9384">
            <w:pPr>
              <w:rPr>
                <w:rFonts w:hint="default" w:ascii="Times New Roman" w:hAnsi="Times New Roman" w:cs="Times New Roman"/>
                <w:bCs/>
                <w:color w:val="auto"/>
                <w:szCs w:val="21"/>
                <w:highlight w:val="none"/>
              </w:rPr>
            </w:pPr>
          </w:p>
          <w:p w14:paraId="6F2639A8">
            <w:pPr>
              <w:pStyle w:val="2"/>
              <w:rPr>
                <w:rFonts w:hint="default" w:ascii="Times New Roman" w:hAnsi="Times New Roman" w:cs="Times New Roman"/>
                <w:bCs/>
                <w:color w:val="auto"/>
                <w:szCs w:val="21"/>
                <w:highlight w:val="none"/>
              </w:rPr>
            </w:pPr>
          </w:p>
          <w:p w14:paraId="7151A816">
            <w:pPr>
              <w:rPr>
                <w:rFonts w:hint="default"/>
              </w:rPr>
            </w:pPr>
          </w:p>
          <w:p w14:paraId="0EA3ED33">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2B4FA9D9">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45444898">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5CC6B250">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18823776">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11FA5A3B">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p w14:paraId="13CD46D0">
            <w:pPr>
              <w:adjustRightInd w:val="0"/>
              <w:snapToGrid w:val="0"/>
              <w:jc w:val="center"/>
              <w:rPr>
                <w:rFonts w:hint="default" w:ascii="Times New Roman" w:hAnsi="Times New Roman" w:cs="Times New Roman"/>
                <w:bCs/>
                <w:color w:val="auto"/>
                <w:szCs w:val="21"/>
                <w:highlight w:val="none"/>
              </w:rPr>
            </w:pPr>
          </w:p>
          <w:p w14:paraId="7BCE5B8C">
            <w:pPr>
              <w:adjustRightInd w:val="0"/>
              <w:snapToGrid w:val="0"/>
              <w:jc w:val="center"/>
              <w:rPr>
                <w:rFonts w:hint="default" w:ascii="Times New Roman" w:hAnsi="Times New Roman" w:cs="Times New Roman"/>
                <w:bCs/>
                <w:color w:val="auto"/>
                <w:szCs w:val="21"/>
                <w:highlight w:val="none"/>
              </w:rPr>
            </w:pPr>
          </w:p>
          <w:p w14:paraId="33932616">
            <w:pPr>
              <w:adjustRightInd w:val="0"/>
              <w:snapToGrid w:val="0"/>
              <w:jc w:val="center"/>
              <w:rPr>
                <w:rFonts w:hint="default" w:ascii="Times New Roman" w:hAnsi="Times New Roman" w:cs="Times New Roman"/>
                <w:bCs/>
                <w:color w:val="auto"/>
                <w:szCs w:val="21"/>
                <w:highlight w:val="none"/>
              </w:rPr>
            </w:pPr>
          </w:p>
          <w:p w14:paraId="3BE65662">
            <w:pPr>
              <w:adjustRightInd w:val="0"/>
              <w:snapToGrid w:val="0"/>
              <w:jc w:val="center"/>
              <w:rPr>
                <w:rFonts w:hint="default" w:ascii="Times New Roman" w:hAnsi="Times New Roman" w:cs="Times New Roman"/>
                <w:bCs/>
                <w:color w:val="auto"/>
                <w:szCs w:val="21"/>
                <w:highlight w:val="none"/>
              </w:rPr>
            </w:pPr>
          </w:p>
          <w:p w14:paraId="61453EE8">
            <w:pPr>
              <w:adjustRightInd w:val="0"/>
              <w:snapToGrid w:val="0"/>
              <w:jc w:val="center"/>
              <w:rPr>
                <w:rFonts w:hint="default" w:ascii="Times New Roman" w:hAnsi="Times New Roman" w:cs="Times New Roman"/>
                <w:bCs/>
                <w:color w:val="auto"/>
                <w:szCs w:val="21"/>
                <w:highlight w:val="none"/>
              </w:rPr>
            </w:pPr>
          </w:p>
          <w:p w14:paraId="618A3BB4">
            <w:pPr>
              <w:adjustRightInd w:val="0"/>
              <w:snapToGrid w:val="0"/>
              <w:jc w:val="center"/>
              <w:rPr>
                <w:rFonts w:hint="default" w:ascii="Times New Roman" w:hAnsi="Times New Roman" w:cs="Times New Roman"/>
                <w:bCs/>
                <w:color w:val="auto"/>
                <w:szCs w:val="21"/>
                <w:highlight w:val="none"/>
              </w:rPr>
            </w:pPr>
          </w:p>
          <w:p w14:paraId="2200A57C">
            <w:pPr>
              <w:adjustRightInd w:val="0"/>
              <w:snapToGrid w:val="0"/>
              <w:jc w:val="center"/>
              <w:rPr>
                <w:rFonts w:hint="default" w:ascii="Times New Roman" w:hAnsi="Times New Roman" w:cs="Times New Roman"/>
                <w:bCs/>
                <w:color w:val="auto"/>
                <w:szCs w:val="21"/>
                <w:highlight w:val="none"/>
              </w:rPr>
            </w:pPr>
          </w:p>
          <w:p w14:paraId="6CC80958">
            <w:pPr>
              <w:adjustRightInd w:val="0"/>
              <w:snapToGrid w:val="0"/>
              <w:jc w:val="center"/>
              <w:rPr>
                <w:rFonts w:hint="default" w:ascii="Times New Roman" w:hAnsi="Times New Roman" w:cs="Times New Roman"/>
                <w:bCs/>
                <w:color w:val="auto"/>
                <w:szCs w:val="21"/>
                <w:highlight w:val="none"/>
              </w:rPr>
            </w:pPr>
          </w:p>
          <w:p w14:paraId="624A0E4B">
            <w:pPr>
              <w:adjustRightInd w:val="0"/>
              <w:snapToGrid w:val="0"/>
              <w:jc w:val="center"/>
              <w:rPr>
                <w:rFonts w:hint="default" w:ascii="Times New Roman" w:hAnsi="Times New Roman" w:cs="Times New Roman"/>
                <w:bCs/>
                <w:color w:val="auto"/>
                <w:szCs w:val="21"/>
                <w:highlight w:val="none"/>
              </w:rPr>
            </w:pPr>
          </w:p>
          <w:p w14:paraId="4166057B">
            <w:pPr>
              <w:adjustRightInd w:val="0"/>
              <w:snapToGrid w:val="0"/>
              <w:jc w:val="center"/>
              <w:rPr>
                <w:rFonts w:hint="default" w:ascii="Times New Roman" w:hAnsi="Times New Roman" w:cs="Times New Roman"/>
                <w:bCs/>
                <w:color w:val="auto"/>
                <w:szCs w:val="21"/>
                <w:highlight w:val="none"/>
              </w:rPr>
            </w:pPr>
          </w:p>
          <w:p w14:paraId="102DA369">
            <w:pPr>
              <w:adjustRightInd w:val="0"/>
              <w:snapToGrid w:val="0"/>
              <w:jc w:val="center"/>
              <w:rPr>
                <w:rFonts w:hint="default" w:ascii="Times New Roman" w:hAnsi="Times New Roman" w:cs="Times New Roman"/>
                <w:bCs/>
                <w:color w:val="auto"/>
                <w:szCs w:val="21"/>
                <w:highlight w:val="none"/>
              </w:rPr>
            </w:pPr>
          </w:p>
          <w:p w14:paraId="64F4810B">
            <w:pPr>
              <w:adjustRightInd w:val="0"/>
              <w:snapToGrid w:val="0"/>
              <w:jc w:val="center"/>
              <w:rPr>
                <w:rFonts w:hint="default" w:ascii="Times New Roman" w:hAnsi="Times New Roman" w:cs="Times New Roman"/>
                <w:bCs/>
                <w:color w:val="auto"/>
                <w:szCs w:val="21"/>
                <w:highlight w:val="none"/>
              </w:rPr>
            </w:pPr>
          </w:p>
          <w:p w14:paraId="108A94F5">
            <w:pPr>
              <w:adjustRightInd w:val="0"/>
              <w:snapToGrid w:val="0"/>
              <w:rPr>
                <w:rFonts w:hint="default" w:ascii="Times New Roman" w:hAnsi="Times New Roman" w:cs="Times New Roman"/>
                <w:bCs/>
                <w:color w:val="auto"/>
                <w:szCs w:val="21"/>
                <w:highlight w:val="none"/>
              </w:rPr>
            </w:pPr>
          </w:p>
          <w:p w14:paraId="0F9F1E44">
            <w:pPr>
              <w:adjustRightInd w:val="0"/>
              <w:snapToGrid w:val="0"/>
              <w:jc w:val="center"/>
              <w:rPr>
                <w:rFonts w:hint="default" w:ascii="Times New Roman" w:hAnsi="Times New Roman" w:cs="Times New Roman"/>
                <w:bCs/>
                <w:color w:val="auto"/>
                <w:szCs w:val="21"/>
                <w:highlight w:val="none"/>
              </w:rPr>
            </w:pPr>
          </w:p>
          <w:p w14:paraId="57B2F3E2">
            <w:pPr>
              <w:adjustRightInd w:val="0"/>
              <w:snapToGrid w:val="0"/>
              <w:jc w:val="center"/>
              <w:rPr>
                <w:rFonts w:hint="default" w:ascii="Times New Roman" w:hAnsi="Times New Roman" w:cs="Times New Roman"/>
                <w:bCs/>
                <w:color w:val="auto"/>
                <w:szCs w:val="21"/>
                <w:highlight w:val="none"/>
              </w:rPr>
            </w:pPr>
          </w:p>
          <w:p w14:paraId="071B9F33">
            <w:pPr>
              <w:adjustRightInd w:val="0"/>
              <w:snapToGrid w:val="0"/>
              <w:jc w:val="center"/>
              <w:rPr>
                <w:rFonts w:hint="default" w:ascii="Times New Roman" w:hAnsi="Times New Roman" w:cs="Times New Roman"/>
                <w:bCs/>
                <w:color w:val="auto"/>
                <w:szCs w:val="21"/>
                <w:highlight w:val="none"/>
              </w:rPr>
            </w:pPr>
          </w:p>
          <w:p w14:paraId="267901A6">
            <w:pPr>
              <w:adjustRightInd w:val="0"/>
              <w:snapToGrid w:val="0"/>
              <w:rPr>
                <w:rFonts w:hint="default" w:ascii="Times New Roman" w:hAnsi="Times New Roman" w:cs="Times New Roman"/>
                <w:bCs/>
                <w:color w:val="auto"/>
                <w:sz w:val="24"/>
                <w:highlight w:val="none"/>
              </w:rPr>
            </w:pPr>
          </w:p>
        </w:tc>
        <w:tc>
          <w:tcPr>
            <w:tcW w:w="8620" w:type="dxa"/>
            <w:vAlign w:val="center"/>
          </w:tcPr>
          <w:p w14:paraId="2E33693C">
            <w:pPr>
              <w:adjustRightInd w:val="0"/>
              <w:snapToGrid w:val="0"/>
              <w:spacing w:line="360" w:lineRule="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（一）</w:t>
            </w:r>
            <w:r>
              <w:rPr>
                <w:rFonts w:hint="default" w:ascii="Times New Roman" w:hAnsi="Times New Roman" w:cs="Times New Roman"/>
                <w:b/>
                <w:bCs/>
                <w:color w:val="auto"/>
                <w:sz w:val="24"/>
                <w:highlight w:val="none"/>
              </w:rPr>
              <w:t>废气环境影响及保护措施</w:t>
            </w:r>
          </w:p>
          <w:p w14:paraId="5E673E85">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根据前文工程内容及工艺分析，本项目运营期产生的废气主要是</w:t>
            </w:r>
            <w:r>
              <w:rPr>
                <w:rFonts w:hint="default" w:ascii="Times New Roman" w:hAnsi="Times New Roman" w:cs="Times New Roman"/>
                <w:color w:val="auto"/>
                <w:sz w:val="24"/>
                <w:highlight w:val="none"/>
              </w:rPr>
              <w:t>物</w:t>
            </w:r>
            <w:r>
              <w:rPr>
                <w:rFonts w:hint="default" w:ascii="Times New Roman" w:hAnsi="Times New Roman" w:cs="Times New Roman"/>
                <w:bCs/>
                <w:color w:val="auto"/>
                <w:sz w:val="24"/>
                <w:szCs w:val="22"/>
                <w:highlight w:val="none"/>
              </w:rPr>
              <w:t>料装卸及堆存粉尘</w:t>
            </w:r>
            <w:r>
              <w:rPr>
                <w:rFonts w:hint="default" w:ascii="Times New Roman" w:hAnsi="Times New Roman" w:cs="Times New Roman"/>
                <w:color w:val="auto"/>
                <w:sz w:val="24"/>
                <w:highlight w:val="none"/>
              </w:rPr>
              <w:t>、加工粉尘、</w:t>
            </w:r>
            <w:r>
              <w:rPr>
                <w:rFonts w:hint="default" w:ascii="Times New Roman" w:hAnsi="Times New Roman" w:cs="Times New Roman"/>
                <w:color w:val="auto"/>
                <w:kern w:val="0"/>
                <w:sz w:val="24"/>
                <w:highlight w:val="none"/>
              </w:rPr>
              <w:t>运输扬尘、运输车辆等机械产生的尾气。</w:t>
            </w:r>
          </w:p>
          <w:p w14:paraId="4C51F326">
            <w:pPr>
              <w:spacing w:line="360" w:lineRule="auto"/>
              <w:ind w:firstLine="480"/>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lang w:val="en-US" w:eastAsia="zh-CN"/>
              </w:rPr>
              <w:t>1.</w:t>
            </w:r>
            <w:r>
              <w:rPr>
                <w:rFonts w:hint="default" w:ascii="Times New Roman" w:hAnsi="Times New Roman" w:cs="Times New Roman"/>
                <w:b/>
                <w:bCs/>
                <w:kern w:val="0"/>
                <w:sz w:val="24"/>
                <w:highlight w:val="none"/>
              </w:rPr>
              <w:t>砂石</w:t>
            </w:r>
            <w:r>
              <w:rPr>
                <w:rFonts w:hint="default" w:ascii="Times New Roman" w:hAnsi="Times New Roman" w:cs="Times New Roman"/>
                <w:b/>
                <w:bCs/>
                <w:kern w:val="0"/>
                <w:sz w:val="24"/>
                <w:highlight w:val="none"/>
                <w:lang w:val="en-US" w:eastAsia="zh-CN"/>
              </w:rPr>
              <w:t>骨料</w:t>
            </w:r>
            <w:r>
              <w:rPr>
                <w:rFonts w:hint="default" w:ascii="Times New Roman" w:hAnsi="Times New Roman" w:cs="Times New Roman"/>
                <w:b/>
                <w:bCs/>
                <w:kern w:val="0"/>
                <w:sz w:val="24"/>
                <w:highlight w:val="none"/>
                <w:lang w:eastAsia="zh-CN"/>
              </w:rPr>
              <w:t>、</w:t>
            </w:r>
            <w:r>
              <w:rPr>
                <w:rFonts w:hint="default" w:ascii="Times New Roman" w:hAnsi="Times New Roman" w:cs="Times New Roman"/>
                <w:b/>
                <w:bCs/>
                <w:kern w:val="0"/>
                <w:sz w:val="24"/>
                <w:highlight w:val="none"/>
                <w:lang w:val="en-US" w:eastAsia="zh-CN"/>
              </w:rPr>
              <w:t>彩砂</w:t>
            </w:r>
            <w:r>
              <w:rPr>
                <w:rFonts w:hint="default" w:ascii="Times New Roman" w:hAnsi="Times New Roman" w:cs="Times New Roman"/>
                <w:b/>
                <w:bCs/>
                <w:kern w:val="0"/>
                <w:sz w:val="24"/>
                <w:highlight w:val="none"/>
              </w:rPr>
              <w:t>生产线废气产排情况</w:t>
            </w:r>
          </w:p>
          <w:p w14:paraId="5A38B931">
            <w:pPr>
              <w:adjustRightInd w:val="0"/>
              <w:snapToGrid w:val="0"/>
              <w:spacing w:line="360" w:lineRule="auto"/>
              <w:ind w:firstLine="482" w:firstLineChars="200"/>
              <w:jc w:val="both"/>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lang w:eastAsia="zh-CN"/>
              </w:rPr>
              <w:t>（</w:t>
            </w:r>
            <w:r>
              <w:rPr>
                <w:rFonts w:hint="default" w:ascii="Times New Roman" w:hAnsi="Times New Roman" w:cs="Times New Roman"/>
                <w:b/>
                <w:bCs/>
                <w:kern w:val="0"/>
                <w:sz w:val="24"/>
                <w:highlight w:val="none"/>
                <w:lang w:val="en-US" w:eastAsia="zh-CN"/>
              </w:rPr>
              <w:t>1</w:t>
            </w:r>
            <w:r>
              <w:rPr>
                <w:rFonts w:hint="default" w:ascii="Times New Roman" w:hAnsi="Times New Roman" w:cs="Times New Roman"/>
                <w:b/>
                <w:bCs/>
                <w:kern w:val="0"/>
                <w:sz w:val="24"/>
                <w:highlight w:val="none"/>
                <w:lang w:eastAsia="zh-CN"/>
              </w:rPr>
              <w:t>）</w:t>
            </w:r>
            <w:r>
              <w:rPr>
                <w:rFonts w:hint="default" w:ascii="Times New Roman" w:hAnsi="Times New Roman" w:cs="Times New Roman"/>
                <w:b/>
                <w:bCs/>
                <w:kern w:val="0"/>
                <w:sz w:val="24"/>
                <w:highlight w:val="none"/>
                <w:lang w:val="en-US" w:eastAsia="zh-CN"/>
              </w:rPr>
              <w:t>砂石</w:t>
            </w:r>
            <w:r>
              <w:rPr>
                <w:rFonts w:hint="default" w:ascii="Times New Roman" w:hAnsi="Times New Roman" w:cs="Times New Roman"/>
                <w:b/>
                <w:bCs/>
                <w:kern w:val="0"/>
                <w:sz w:val="24"/>
                <w:highlight w:val="none"/>
              </w:rPr>
              <w:t>生产线</w:t>
            </w:r>
          </w:p>
          <w:p w14:paraId="45E05C19">
            <w:pPr>
              <w:adjustRightInd w:val="0"/>
              <w:snapToGrid w:val="0"/>
              <w:spacing w:line="360" w:lineRule="auto"/>
              <w:ind w:firstLine="480" w:firstLineChars="200"/>
              <w:jc w:val="both"/>
              <w:rPr>
                <w:rFonts w:hint="default" w:ascii="Times New Roman" w:hAnsi="Times New Roman" w:cs="Times New Roman"/>
                <w:kern w:val="0"/>
                <w:sz w:val="24"/>
                <w:highlight w:val="none"/>
                <w:lang w:val="en-US" w:eastAsia="zh-CN"/>
              </w:rPr>
            </w:pPr>
            <w:r>
              <w:rPr>
                <w:rFonts w:hint="default" w:ascii="Times New Roman" w:hAnsi="Times New Roman" w:cs="Times New Roman"/>
                <w:kern w:val="0"/>
                <w:sz w:val="24"/>
                <w:highlight w:val="none"/>
                <w:lang w:val="en-US" w:eastAsia="zh-CN"/>
              </w:rPr>
              <w:t>1）砂石加工粉尘</w:t>
            </w:r>
          </w:p>
          <w:p w14:paraId="04EE75EB">
            <w:pPr>
              <w:adjustRightInd w:val="0"/>
              <w:snapToGrid w:val="0"/>
              <w:spacing w:line="360" w:lineRule="auto"/>
              <w:ind w:firstLine="482" w:firstLineChars="200"/>
              <w:jc w:val="both"/>
              <w:rPr>
                <w:rFonts w:hint="default" w:ascii="Times New Roman" w:hAnsi="Times New Roman" w:cs="Times New Roman"/>
                <w:kern w:val="0"/>
                <w:sz w:val="24"/>
                <w:highlight w:val="none"/>
              </w:rPr>
            </w:pPr>
            <w:r>
              <w:rPr>
                <w:rFonts w:hint="default" w:ascii="Times New Roman" w:hAnsi="Times New Roman" w:cs="Times New Roman"/>
                <w:b/>
                <w:bCs/>
                <w:sz w:val="24"/>
                <w:highlight w:val="none"/>
              </w:rPr>
              <w:t>源强核算：</w:t>
            </w:r>
            <w:r>
              <w:rPr>
                <w:rFonts w:hint="default" w:ascii="Times New Roman" w:hAnsi="Times New Roman" w:cs="Times New Roman"/>
                <w:kern w:val="0"/>
                <w:sz w:val="24"/>
                <w:highlight w:val="none"/>
                <w:lang w:val="en-US" w:eastAsia="zh-CN"/>
              </w:rPr>
              <w:t>项目砂石生产线</w:t>
            </w:r>
            <w:r>
              <w:rPr>
                <w:rFonts w:hint="default" w:ascii="Times New Roman" w:hAnsi="Times New Roman" w:cs="Times New Roman"/>
                <w:kern w:val="0"/>
                <w:sz w:val="24"/>
                <w:highlight w:val="none"/>
              </w:rPr>
              <w:t>的产尘环节主要包括破碎、筛分等工序。根据《排放源统计调查产排污核算方法和系数手册》中“3039其他建筑材料制造行业”，砂石骨料产品由矿石、建筑固体废弃物、尾矿等原料经破碎、筛分工艺的废气颗粒物产污系数为1.89 kg/t-产品。根据建设单位提供资料，本项目设计年加工砂石产品年产量约</w:t>
            </w:r>
            <w:r>
              <w:rPr>
                <w:rFonts w:hint="default" w:ascii="Times New Roman" w:hAnsi="Times New Roman" w:cs="Times New Roman"/>
                <w:kern w:val="0"/>
                <w:sz w:val="24"/>
                <w:highlight w:val="none"/>
                <w:lang w:val="en-US" w:eastAsia="zh-CN"/>
              </w:rPr>
              <w:t>100</w:t>
            </w:r>
            <w:r>
              <w:rPr>
                <w:rFonts w:hint="default" w:ascii="Times New Roman" w:hAnsi="Times New Roman" w:cs="Times New Roman"/>
                <w:kern w:val="0"/>
                <w:sz w:val="24"/>
                <w:highlight w:val="none"/>
              </w:rPr>
              <w:t>万t，则生产线粉尘产生量约为</w:t>
            </w:r>
            <w:r>
              <w:rPr>
                <w:rFonts w:hint="default" w:ascii="Times New Roman" w:hAnsi="Times New Roman" w:cs="Times New Roman"/>
                <w:kern w:val="0"/>
                <w:sz w:val="24"/>
                <w:highlight w:val="none"/>
                <w:lang w:val="en-US" w:eastAsia="zh-CN"/>
              </w:rPr>
              <w:t>1890</w:t>
            </w:r>
            <w:r>
              <w:rPr>
                <w:rFonts w:hint="default" w:ascii="Times New Roman" w:hAnsi="Times New Roman" w:cs="Times New Roman"/>
                <w:kern w:val="0"/>
                <w:sz w:val="24"/>
                <w:highlight w:val="none"/>
              </w:rPr>
              <w:t xml:space="preserve"> t/a。</w:t>
            </w:r>
          </w:p>
          <w:p w14:paraId="159326ED">
            <w:pPr>
              <w:adjustRightInd w:val="0"/>
              <w:snapToGrid w:val="0"/>
              <w:spacing w:line="360" w:lineRule="auto"/>
              <w:ind w:firstLine="482" w:firstLineChars="200"/>
              <w:jc w:val="both"/>
              <w:rPr>
                <w:rFonts w:hint="default" w:ascii="Times New Roman" w:hAnsi="Times New Roman" w:eastAsia="宋体" w:cs="Times New Roman"/>
                <w:kern w:val="0"/>
                <w:sz w:val="24"/>
                <w:highlight w:val="none"/>
                <w:lang w:eastAsia="zh-CN"/>
              </w:rPr>
            </w:pPr>
            <w:r>
              <w:rPr>
                <w:rFonts w:hint="default" w:ascii="Times New Roman" w:hAnsi="Times New Roman" w:eastAsia="宋体" w:cs="Times New Roman"/>
                <w:b/>
                <w:bCs/>
                <w:kern w:val="0"/>
                <w:sz w:val="24"/>
                <w:highlight w:val="none"/>
              </w:rPr>
              <w:t>治理措施及排放情况：</w:t>
            </w:r>
            <w:r>
              <w:rPr>
                <w:rFonts w:hint="default" w:ascii="Times New Roman" w:hAnsi="Times New Roman" w:eastAsia="宋体" w:cs="Times New Roman"/>
                <w:kern w:val="0"/>
                <w:sz w:val="24"/>
                <w:highlight w:val="none"/>
                <w:lang w:val="en-US" w:eastAsia="zh-CN"/>
              </w:rPr>
              <w:t>项目</w:t>
            </w:r>
            <w:r>
              <w:rPr>
                <w:rFonts w:hint="default" w:ascii="Times New Roman" w:hAnsi="Times New Roman" w:eastAsia="宋体" w:cs="Times New Roman"/>
                <w:kern w:val="0"/>
                <w:sz w:val="24"/>
                <w:highlight w:val="none"/>
              </w:rPr>
              <w:t>生产厂房</w:t>
            </w:r>
            <w:r>
              <w:rPr>
                <w:rFonts w:hint="default" w:ascii="Times New Roman" w:hAnsi="Times New Roman" w:eastAsia="宋体" w:cs="Times New Roman"/>
                <w:kern w:val="0"/>
                <w:sz w:val="24"/>
                <w:highlight w:val="none"/>
                <w:lang w:val="en-US" w:eastAsia="zh-CN"/>
              </w:rPr>
              <w:t>拟</w:t>
            </w:r>
            <w:r>
              <w:rPr>
                <w:rFonts w:hint="default" w:ascii="Times New Roman" w:hAnsi="Times New Roman" w:eastAsia="宋体" w:cs="Times New Roman"/>
                <w:kern w:val="0"/>
                <w:sz w:val="24"/>
                <w:highlight w:val="none"/>
              </w:rPr>
              <w:t>为封闭式厂房（仅保留进出口）。项目破碎筛分工序均布置在生产厂房内；同时</w:t>
            </w:r>
            <w:r>
              <w:rPr>
                <w:rFonts w:hint="default" w:ascii="Times New Roman" w:hAnsi="Times New Roman" w:eastAsia="宋体" w:cs="Times New Roman"/>
                <w:kern w:val="0"/>
                <w:sz w:val="24"/>
                <w:highlight w:val="none"/>
                <w:lang w:val="en-US" w:eastAsia="zh-CN"/>
              </w:rPr>
              <w:t>生产过程</w:t>
            </w:r>
            <w:r>
              <w:rPr>
                <w:rFonts w:hint="default" w:ascii="Times New Roman" w:hAnsi="Times New Roman" w:eastAsia="宋体" w:cs="Times New Roman"/>
                <w:kern w:val="0"/>
                <w:sz w:val="24"/>
                <w:highlight w:val="none"/>
              </w:rPr>
              <w:t>在破碎机</w:t>
            </w:r>
            <w:r>
              <w:rPr>
                <w:rFonts w:hint="default" w:ascii="Times New Roman" w:hAnsi="Times New Roman" w:eastAsia="宋体" w:cs="Times New Roman"/>
                <w:kern w:val="0"/>
                <w:sz w:val="24"/>
                <w:highlight w:val="none"/>
                <w:lang w:eastAsia="zh-CN"/>
              </w:rPr>
              <w:t>、</w:t>
            </w:r>
            <w:r>
              <w:rPr>
                <w:rFonts w:hint="default" w:ascii="Times New Roman" w:hAnsi="Times New Roman" w:eastAsia="宋体" w:cs="Times New Roman"/>
                <w:kern w:val="0"/>
                <w:sz w:val="24"/>
                <w:highlight w:val="none"/>
                <w:lang w:val="en-US" w:eastAsia="zh-CN"/>
              </w:rPr>
              <w:t>筛分机</w:t>
            </w:r>
            <w:r>
              <w:rPr>
                <w:rFonts w:hint="default" w:ascii="Times New Roman" w:hAnsi="Times New Roman" w:eastAsia="宋体" w:cs="Times New Roman"/>
                <w:kern w:val="0"/>
                <w:sz w:val="24"/>
                <w:highlight w:val="none"/>
              </w:rPr>
              <w:t>等设备各产尘点布置集气设施，统一收集后</w:t>
            </w:r>
            <w:r>
              <w:rPr>
                <w:rFonts w:hint="default" w:ascii="Times New Roman" w:hAnsi="Times New Roman" w:eastAsia="宋体" w:cs="Times New Roman"/>
                <w:kern w:val="0"/>
                <w:sz w:val="24"/>
                <w:highlight w:val="none"/>
                <w:lang w:eastAsia="zh-CN"/>
              </w:rPr>
              <w:t>（</w:t>
            </w:r>
            <w:r>
              <w:rPr>
                <w:rFonts w:hint="default" w:ascii="Times New Roman" w:hAnsi="Times New Roman" w:eastAsia="宋体" w:cs="Times New Roman"/>
                <w:kern w:val="0"/>
                <w:sz w:val="24"/>
                <w:highlight w:val="none"/>
              </w:rPr>
              <w:t>收集效率</w:t>
            </w:r>
            <w:r>
              <w:rPr>
                <w:rFonts w:hint="default" w:ascii="Times New Roman" w:hAnsi="Times New Roman" w:eastAsia="宋体" w:cs="Times New Roman"/>
                <w:kern w:val="0"/>
                <w:sz w:val="24"/>
                <w:highlight w:val="none"/>
                <w:lang w:val="en-US" w:eastAsia="zh-CN"/>
              </w:rPr>
              <w:t>取</w:t>
            </w:r>
            <w:r>
              <w:rPr>
                <w:rFonts w:hint="default" w:ascii="Times New Roman" w:hAnsi="Times New Roman" w:eastAsia="宋体" w:cs="Times New Roman"/>
                <w:kern w:val="0"/>
                <w:sz w:val="24"/>
                <w:highlight w:val="none"/>
              </w:rPr>
              <w:t>9</w:t>
            </w:r>
            <w:r>
              <w:rPr>
                <w:rFonts w:hint="default" w:ascii="Times New Roman" w:hAnsi="Times New Roman" w:eastAsia="宋体" w:cs="Times New Roman"/>
                <w:kern w:val="0"/>
                <w:sz w:val="24"/>
                <w:highlight w:val="none"/>
                <w:lang w:val="en-US" w:eastAsia="zh-CN"/>
              </w:rPr>
              <w:t>5</w:t>
            </w:r>
            <w:r>
              <w:rPr>
                <w:rFonts w:hint="default" w:ascii="Times New Roman" w:hAnsi="Times New Roman" w:eastAsia="宋体" w:cs="Times New Roman"/>
                <w:kern w:val="0"/>
                <w:sz w:val="24"/>
                <w:highlight w:val="none"/>
              </w:rPr>
              <w:t>%</w:t>
            </w:r>
            <w:r>
              <w:rPr>
                <w:rFonts w:hint="default" w:ascii="Times New Roman" w:hAnsi="Times New Roman" w:eastAsia="宋体" w:cs="Times New Roman"/>
                <w:kern w:val="0"/>
                <w:sz w:val="24"/>
                <w:highlight w:val="none"/>
                <w:lang w:eastAsia="zh-CN"/>
              </w:rPr>
              <w:t>）</w:t>
            </w:r>
            <w:r>
              <w:rPr>
                <w:rFonts w:hint="default" w:ascii="Times New Roman" w:hAnsi="Times New Roman" w:eastAsia="宋体" w:cs="Times New Roman"/>
                <w:kern w:val="0"/>
                <w:sz w:val="24"/>
                <w:highlight w:val="none"/>
              </w:rPr>
              <w:t>经车间中央布袋除尘器处理后通过1根1</w:t>
            </w:r>
            <w:r>
              <w:rPr>
                <w:rFonts w:hint="default" w:ascii="Times New Roman" w:hAnsi="Times New Roman" w:cs="Times New Roman"/>
                <w:kern w:val="0"/>
                <w:sz w:val="24"/>
                <w:highlight w:val="none"/>
                <w:lang w:val="en-US" w:eastAsia="zh-CN"/>
              </w:rPr>
              <w:t xml:space="preserve">7 </w:t>
            </w:r>
            <w:r>
              <w:rPr>
                <w:rFonts w:hint="default" w:ascii="Times New Roman" w:hAnsi="Times New Roman" w:eastAsia="宋体" w:cs="Times New Roman"/>
                <w:kern w:val="0"/>
                <w:sz w:val="24"/>
                <w:highlight w:val="none"/>
              </w:rPr>
              <w:t>m排气筒（DA001）排放。</w:t>
            </w:r>
            <w:r>
              <w:rPr>
                <w:rFonts w:hint="default" w:ascii="Times New Roman" w:hAnsi="Times New Roman" w:eastAsia="宋体" w:cs="Times New Roman"/>
                <w:sz w:val="24"/>
                <w:highlight w:val="none"/>
                <w:lang w:val="en-US" w:eastAsia="zh-CN"/>
              </w:rPr>
              <w:t>同时</w:t>
            </w:r>
            <w:r>
              <w:rPr>
                <w:rFonts w:hint="default" w:ascii="Times New Roman" w:hAnsi="Times New Roman" w:eastAsia="宋体" w:cs="Times New Roman"/>
                <w:sz w:val="24"/>
                <w:highlight w:val="none"/>
              </w:rPr>
              <w:t>根</w:t>
            </w:r>
            <w:r>
              <w:rPr>
                <w:rFonts w:hint="default" w:ascii="Times New Roman" w:hAnsi="Times New Roman" w:cs="Times New Roman"/>
                <w:sz w:val="24"/>
                <w:highlight w:val="none"/>
              </w:rPr>
              <w:t>据《固体物料堆存颗粒物产排污核算系数手册》</w:t>
            </w:r>
            <w:r>
              <w:rPr>
                <w:rFonts w:hint="default" w:ascii="Times New Roman" w:hAnsi="Times New Roman" w:cs="Times New Roman"/>
                <w:color w:val="auto"/>
                <w:sz w:val="24"/>
                <w:highlight w:val="none"/>
              </w:rPr>
              <w:t>附</w:t>
            </w:r>
            <w:r>
              <w:rPr>
                <w:rFonts w:hint="default" w:ascii="Times New Roman" w:hAnsi="Times New Roman" w:eastAsia="宋体" w:cs="Times New Roman"/>
                <w:sz w:val="24"/>
                <w:highlight w:val="none"/>
              </w:rPr>
              <w:t>录5</w:t>
            </w:r>
            <w:r>
              <w:rPr>
                <w:rFonts w:hint="default" w:ascii="Times New Roman" w:hAnsi="Times New Roman" w:cs="Times New Roman"/>
                <w:color w:val="auto"/>
                <w:sz w:val="24"/>
                <w:highlight w:val="none"/>
              </w:rPr>
              <w:t>可知，密闭式控制效率为99%（由于</w:t>
            </w:r>
            <w:r>
              <w:rPr>
                <w:rFonts w:hint="default" w:ascii="Times New Roman" w:hAnsi="Times New Roman" w:cs="Times New Roman"/>
                <w:color w:val="auto"/>
                <w:sz w:val="24"/>
                <w:highlight w:val="none"/>
                <w:lang w:val="en-US" w:eastAsia="zh-CN"/>
              </w:rPr>
              <w:t>生产厂房</w:t>
            </w:r>
            <w:r>
              <w:rPr>
                <w:rFonts w:hint="default" w:ascii="Times New Roman" w:hAnsi="Times New Roman" w:cs="Times New Roman"/>
                <w:color w:val="auto"/>
                <w:sz w:val="24"/>
                <w:highlight w:val="none"/>
              </w:rPr>
              <w:t>封闭，仅保留出入口，故本次按90%考虑）</w:t>
            </w:r>
            <w:r>
              <w:rPr>
                <w:rFonts w:hint="default" w:ascii="Times New Roman" w:hAnsi="Times New Roman" w:cs="Times New Roman"/>
                <w:sz w:val="24"/>
                <w:highlight w:val="none"/>
              </w:rPr>
              <w:t>，</w:t>
            </w:r>
            <w:r>
              <w:rPr>
                <w:rFonts w:hint="default" w:ascii="Times New Roman" w:hAnsi="Times New Roman" w:eastAsia="宋体" w:cs="Times New Roman"/>
                <w:kern w:val="0"/>
                <w:sz w:val="24"/>
                <w:highlight w:val="none"/>
                <w:lang w:val="en-US" w:eastAsia="zh-CN"/>
              </w:rPr>
              <w:t>砂石</w:t>
            </w:r>
            <w:r>
              <w:rPr>
                <w:rFonts w:hint="default" w:ascii="Times New Roman" w:hAnsi="Times New Roman" w:eastAsia="宋体" w:cs="Times New Roman"/>
                <w:kern w:val="0"/>
                <w:sz w:val="24"/>
                <w:highlight w:val="none"/>
              </w:rPr>
              <w:t>生产线加工粉尘产排情况一览表</w:t>
            </w:r>
            <w:r>
              <w:rPr>
                <w:rFonts w:hint="default" w:ascii="Times New Roman" w:hAnsi="Times New Roman" w:eastAsia="宋体" w:cs="Times New Roman"/>
                <w:kern w:val="0"/>
                <w:sz w:val="24"/>
                <w:highlight w:val="none"/>
                <w:lang w:eastAsia="zh-CN"/>
              </w:rPr>
              <w:t>。</w:t>
            </w:r>
          </w:p>
          <w:p w14:paraId="346C4900">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color w:val="auto"/>
                <w:highlight w:val="none"/>
              </w:rPr>
            </w:pPr>
            <w:r>
              <w:rPr>
                <w:rFonts w:hint="default" w:ascii="Times New Roman" w:hAnsi="Times New Roman" w:cs="Times New Roman"/>
                <w:b/>
                <w:bCs/>
                <w:color w:val="auto"/>
                <w:kern w:val="0"/>
                <w:szCs w:val="21"/>
                <w:highlight w:val="none"/>
              </w:rPr>
              <w:t>表4-</w:t>
            </w:r>
            <w:r>
              <w:rPr>
                <w:rFonts w:hint="default" w:ascii="Times New Roman" w:hAnsi="Times New Roman" w:cs="Times New Roman"/>
                <w:b/>
                <w:bCs/>
                <w:color w:val="auto"/>
                <w:kern w:val="0"/>
                <w:szCs w:val="21"/>
                <w:highlight w:val="none"/>
                <w:lang w:val="en-US" w:eastAsia="zh-CN"/>
              </w:rPr>
              <w:t>1</w:t>
            </w:r>
            <w:r>
              <w:rPr>
                <w:rFonts w:hint="default" w:ascii="Times New Roman" w:hAnsi="Times New Roman" w:cs="Times New Roman"/>
                <w:b/>
                <w:bCs/>
                <w:color w:val="auto"/>
                <w:kern w:val="0"/>
                <w:szCs w:val="21"/>
                <w:highlight w:val="none"/>
              </w:rPr>
              <w:t xml:space="preserve"> </w:t>
            </w:r>
            <w:r>
              <w:rPr>
                <w:rFonts w:hint="default" w:ascii="Times New Roman" w:hAnsi="Times New Roman" w:cs="Times New Roman"/>
                <w:b/>
                <w:bCs/>
                <w:color w:val="auto"/>
                <w:kern w:val="0"/>
                <w:szCs w:val="21"/>
                <w:highlight w:val="none"/>
                <w:lang w:val="en-US" w:eastAsia="zh-CN"/>
              </w:rPr>
              <w:t xml:space="preserve"> 砂石</w:t>
            </w:r>
            <w:r>
              <w:rPr>
                <w:rFonts w:hint="default" w:ascii="Times New Roman" w:hAnsi="Times New Roman" w:cs="Times New Roman"/>
                <w:b/>
                <w:bCs/>
                <w:color w:val="auto"/>
                <w:kern w:val="0"/>
                <w:szCs w:val="21"/>
                <w:highlight w:val="none"/>
              </w:rPr>
              <w:t>生产线加工粉尘产排情况一览表</w:t>
            </w:r>
          </w:p>
          <w:tbl>
            <w:tblPr>
              <w:tblStyle w:val="32"/>
              <w:tblW w:w="85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8"/>
              <w:gridCol w:w="680"/>
              <w:gridCol w:w="810"/>
              <w:gridCol w:w="730"/>
              <w:gridCol w:w="806"/>
              <w:gridCol w:w="1403"/>
              <w:gridCol w:w="785"/>
              <w:gridCol w:w="716"/>
              <w:gridCol w:w="858"/>
              <w:gridCol w:w="908"/>
            </w:tblGrid>
            <w:tr w14:paraId="5F01C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80" w:type="pct"/>
                  <w:vAlign w:val="center"/>
                </w:tcPr>
                <w:p w14:paraId="0A8BB13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生产线</w:t>
                  </w:r>
                </w:p>
              </w:tc>
              <w:tc>
                <w:tcPr>
                  <w:tcW w:w="399" w:type="pct"/>
                  <w:vAlign w:val="center"/>
                </w:tcPr>
                <w:p w14:paraId="4618C68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污染物</w:t>
                  </w:r>
                </w:p>
              </w:tc>
              <w:tc>
                <w:tcPr>
                  <w:tcW w:w="475" w:type="pct"/>
                  <w:vAlign w:val="center"/>
                </w:tcPr>
                <w:p w14:paraId="27F3C06D">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产污系数</w:t>
                  </w:r>
                </w:p>
              </w:tc>
              <w:tc>
                <w:tcPr>
                  <w:tcW w:w="428" w:type="pct"/>
                  <w:vAlign w:val="center"/>
                </w:tcPr>
                <w:p w14:paraId="75B5E0A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产生量</w:t>
                  </w:r>
                </w:p>
              </w:tc>
              <w:tc>
                <w:tcPr>
                  <w:tcW w:w="473" w:type="pct"/>
                  <w:vAlign w:val="center"/>
                </w:tcPr>
                <w:p w14:paraId="17D26EB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治理措施</w:t>
                  </w:r>
                </w:p>
              </w:tc>
              <w:tc>
                <w:tcPr>
                  <w:tcW w:w="823" w:type="pct"/>
                  <w:vAlign w:val="center"/>
                </w:tcPr>
                <w:p w14:paraId="6865FE2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处理效率</w:t>
                  </w:r>
                </w:p>
              </w:tc>
              <w:tc>
                <w:tcPr>
                  <w:tcW w:w="461" w:type="pct"/>
                  <w:vAlign w:val="center"/>
                </w:tcPr>
                <w:p w14:paraId="1DA125D4">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排放形式</w:t>
                  </w:r>
                </w:p>
              </w:tc>
              <w:tc>
                <w:tcPr>
                  <w:tcW w:w="420" w:type="pct"/>
                  <w:vAlign w:val="center"/>
                </w:tcPr>
                <w:p w14:paraId="13C82BA6">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排放量</w:t>
                  </w:r>
                  <w:r>
                    <w:rPr>
                      <w:rFonts w:hint="default" w:ascii="Times New Roman" w:hAnsi="Times New Roman" w:cs="Times New Roman"/>
                      <w:color w:val="auto"/>
                      <w:highlight w:val="none"/>
                    </w:rPr>
                    <w:t>t/a</w:t>
                  </w:r>
                </w:p>
              </w:tc>
              <w:tc>
                <w:tcPr>
                  <w:tcW w:w="503" w:type="pct"/>
                  <w:vAlign w:val="center"/>
                </w:tcPr>
                <w:p w14:paraId="71DF164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排放速率kg/h</w:t>
                  </w:r>
                </w:p>
              </w:tc>
              <w:tc>
                <w:tcPr>
                  <w:tcW w:w="533" w:type="pct"/>
                  <w:vAlign w:val="center"/>
                </w:tcPr>
                <w:p w14:paraId="2CF0AA8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排放浓度mg/m</w:t>
                  </w:r>
                  <w:r>
                    <w:rPr>
                      <w:rFonts w:hint="default" w:ascii="Times New Roman" w:hAnsi="Times New Roman" w:cs="Times New Roman"/>
                      <w:color w:val="auto"/>
                      <w:kern w:val="0"/>
                      <w:szCs w:val="21"/>
                      <w:highlight w:val="none"/>
                      <w:vertAlign w:val="superscript"/>
                    </w:rPr>
                    <w:t>3</w:t>
                  </w:r>
                </w:p>
              </w:tc>
            </w:tr>
            <w:tr w14:paraId="696C2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7" w:hRule="atLeast"/>
                <w:jc w:val="center"/>
              </w:trPr>
              <w:tc>
                <w:tcPr>
                  <w:tcW w:w="480" w:type="pct"/>
                  <w:vMerge w:val="restart"/>
                  <w:vAlign w:val="center"/>
                </w:tcPr>
                <w:p w14:paraId="502C3CB0">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b w:val="0"/>
                      <w:bCs w:val="0"/>
                      <w:color w:val="auto"/>
                      <w:kern w:val="0"/>
                      <w:szCs w:val="21"/>
                      <w:highlight w:val="none"/>
                      <w:lang w:val="en-US" w:eastAsia="zh-CN"/>
                    </w:rPr>
                    <w:t>砂石</w:t>
                  </w:r>
                  <w:r>
                    <w:rPr>
                      <w:rFonts w:hint="default" w:ascii="Times New Roman" w:hAnsi="Times New Roman" w:cs="Times New Roman"/>
                      <w:b w:val="0"/>
                      <w:bCs w:val="0"/>
                      <w:color w:val="auto"/>
                      <w:kern w:val="0"/>
                      <w:szCs w:val="21"/>
                      <w:highlight w:val="none"/>
                    </w:rPr>
                    <w:t>生产线</w:t>
                  </w:r>
                </w:p>
              </w:tc>
              <w:tc>
                <w:tcPr>
                  <w:tcW w:w="399" w:type="pct"/>
                  <w:vAlign w:val="center"/>
                </w:tcPr>
                <w:p w14:paraId="0EDFFBCE">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工业废气量</w:t>
                  </w:r>
                </w:p>
              </w:tc>
              <w:tc>
                <w:tcPr>
                  <w:tcW w:w="475" w:type="pct"/>
                  <w:vAlign w:val="center"/>
                </w:tcPr>
                <w:p w14:paraId="6D895CF9">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1215标立方米/吨</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产品</w:t>
                  </w:r>
                </w:p>
              </w:tc>
              <w:tc>
                <w:tcPr>
                  <w:tcW w:w="428" w:type="pct"/>
                  <w:vAlign w:val="center"/>
                </w:tcPr>
                <w:p w14:paraId="3F273411">
                  <w:pPr>
                    <w:widowControl/>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1.215×10</w:t>
                  </w:r>
                  <w:r>
                    <w:rPr>
                      <w:rFonts w:hint="default" w:ascii="Times New Roman" w:hAnsi="Times New Roman" w:cs="Times New Roman"/>
                      <w:color w:val="auto"/>
                      <w:szCs w:val="21"/>
                      <w:highlight w:val="none"/>
                      <w:vertAlign w:val="superscript"/>
                      <w:lang w:val="en-US" w:eastAsia="zh-CN"/>
                    </w:rPr>
                    <w:t>9</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/a</w:t>
                  </w:r>
                </w:p>
              </w:tc>
              <w:tc>
                <w:tcPr>
                  <w:tcW w:w="473" w:type="pct"/>
                  <w:vAlign w:val="center"/>
                </w:tcPr>
                <w:p w14:paraId="17EC5831">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823" w:type="pct"/>
                  <w:vAlign w:val="center"/>
                </w:tcPr>
                <w:p w14:paraId="220CAADD">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461" w:type="pct"/>
                  <w:vAlign w:val="center"/>
                </w:tcPr>
                <w:p w14:paraId="553EF504">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420" w:type="pct"/>
                  <w:vAlign w:val="center"/>
                </w:tcPr>
                <w:p w14:paraId="2EDF3B38">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503" w:type="pct"/>
                  <w:vAlign w:val="center"/>
                </w:tcPr>
                <w:p w14:paraId="458748BC">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533" w:type="pct"/>
                  <w:vAlign w:val="center"/>
                </w:tcPr>
                <w:p w14:paraId="4D863A01">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r>
            <w:tr w14:paraId="42873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480" w:type="pct"/>
                  <w:vMerge w:val="continue"/>
                  <w:vAlign w:val="center"/>
                </w:tcPr>
                <w:p w14:paraId="1B4C5936">
                  <w:pPr>
                    <w:snapToGrid w:val="0"/>
                    <w:jc w:val="center"/>
                    <w:rPr>
                      <w:rFonts w:hint="default" w:ascii="Times New Roman" w:hAnsi="Times New Roman" w:cs="Times New Roman"/>
                      <w:color w:val="auto"/>
                      <w:szCs w:val="21"/>
                      <w:highlight w:val="none"/>
                    </w:rPr>
                  </w:pPr>
                </w:p>
              </w:tc>
              <w:tc>
                <w:tcPr>
                  <w:tcW w:w="399" w:type="pct"/>
                  <w:vMerge w:val="restart"/>
                  <w:vAlign w:val="center"/>
                </w:tcPr>
                <w:p w14:paraId="63E10FA1">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粉尘</w:t>
                  </w:r>
                </w:p>
              </w:tc>
              <w:tc>
                <w:tcPr>
                  <w:tcW w:w="475" w:type="pct"/>
                  <w:vMerge w:val="restart"/>
                  <w:vAlign w:val="center"/>
                </w:tcPr>
                <w:p w14:paraId="1C35018C">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1.89 kg/t-产品</w:t>
                  </w:r>
                </w:p>
              </w:tc>
              <w:tc>
                <w:tcPr>
                  <w:tcW w:w="428" w:type="pct"/>
                  <w:vMerge w:val="restart"/>
                  <w:vAlign w:val="center"/>
                </w:tcPr>
                <w:p w14:paraId="6D09B908">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 xml:space="preserve">1890 </w:t>
                  </w:r>
                  <w:r>
                    <w:rPr>
                      <w:rFonts w:hint="default" w:ascii="Times New Roman" w:hAnsi="Times New Roman" w:cs="Times New Roman"/>
                      <w:color w:val="auto"/>
                      <w:kern w:val="0"/>
                      <w:szCs w:val="21"/>
                      <w:highlight w:val="none"/>
                    </w:rPr>
                    <w:t>t/a</w:t>
                  </w:r>
                </w:p>
              </w:tc>
              <w:tc>
                <w:tcPr>
                  <w:tcW w:w="473" w:type="pct"/>
                  <w:vMerge w:val="restart"/>
                  <w:vAlign w:val="center"/>
                </w:tcPr>
                <w:p w14:paraId="57A06A20">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集尘设施+袋式除尘器</w:t>
                  </w:r>
                </w:p>
              </w:tc>
              <w:tc>
                <w:tcPr>
                  <w:tcW w:w="823" w:type="pct"/>
                  <w:vAlign w:val="center"/>
                </w:tcPr>
                <w:p w14:paraId="58D846A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集气效率为9</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%，除尘效率为99%</w:t>
                  </w:r>
                </w:p>
              </w:tc>
              <w:tc>
                <w:tcPr>
                  <w:tcW w:w="461" w:type="pct"/>
                  <w:vAlign w:val="center"/>
                </w:tcPr>
                <w:p w14:paraId="7A1A00E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有组织</w:t>
                  </w:r>
                </w:p>
              </w:tc>
              <w:tc>
                <w:tcPr>
                  <w:tcW w:w="420" w:type="pct"/>
                  <w:vAlign w:val="center"/>
                </w:tcPr>
                <w:p w14:paraId="6BE9FF13">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17.955</w:t>
                  </w:r>
                </w:p>
              </w:tc>
              <w:tc>
                <w:tcPr>
                  <w:tcW w:w="503" w:type="pct"/>
                  <w:vAlign w:val="center"/>
                </w:tcPr>
                <w:p w14:paraId="776E23EC">
                  <w:pPr>
                    <w:keepNext w:val="0"/>
                    <w:keepLines w:val="0"/>
                    <w:widowControl/>
                    <w:suppressLineNumbers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3.741</w:t>
                  </w:r>
                </w:p>
              </w:tc>
              <w:tc>
                <w:tcPr>
                  <w:tcW w:w="533" w:type="pct"/>
                  <w:vAlign w:val="center"/>
                </w:tcPr>
                <w:p w14:paraId="6C4BAFA2">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14.778</w:t>
                  </w:r>
                </w:p>
              </w:tc>
            </w:tr>
            <w:tr w14:paraId="3D124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0" w:type="pct"/>
                  <w:vMerge w:val="continue"/>
                  <w:vAlign w:val="center"/>
                </w:tcPr>
                <w:p w14:paraId="7559E193">
                  <w:pPr>
                    <w:snapToGrid w:val="0"/>
                    <w:jc w:val="center"/>
                    <w:rPr>
                      <w:rFonts w:hint="default" w:ascii="Times New Roman" w:hAnsi="Times New Roman" w:cs="Times New Roman"/>
                      <w:color w:val="auto"/>
                      <w:szCs w:val="21"/>
                      <w:highlight w:val="none"/>
                      <w:lang w:val="en-US" w:eastAsia="zh-CN"/>
                    </w:rPr>
                  </w:pPr>
                </w:p>
              </w:tc>
              <w:tc>
                <w:tcPr>
                  <w:tcW w:w="399" w:type="pct"/>
                  <w:vMerge w:val="continue"/>
                  <w:vAlign w:val="center"/>
                </w:tcPr>
                <w:p w14:paraId="5835C95B">
                  <w:pPr>
                    <w:widowControl/>
                    <w:jc w:val="center"/>
                    <w:rPr>
                      <w:rFonts w:hint="default" w:ascii="Times New Roman" w:hAnsi="Times New Roman" w:cs="Times New Roman"/>
                      <w:color w:val="auto"/>
                      <w:szCs w:val="21"/>
                      <w:highlight w:val="none"/>
                    </w:rPr>
                  </w:pPr>
                </w:p>
              </w:tc>
              <w:tc>
                <w:tcPr>
                  <w:tcW w:w="475" w:type="pct"/>
                  <w:vMerge w:val="continue"/>
                  <w:vAlign w:val="center"/>
                </w:tcPr>
                <w:p w14:paraId="75C61606">
                  <w:pPr>
                    <w:widowControl/>
                    <w:jc w:val="center"/>
                    <w:rPr>
                      <w:rFonts w:hint="default" w:ascii="Times New Roman" w:hAnsi="Times New Roman" w:cs="Times New Roman"/>
                      <w:color w:val="auto"/>
                      <w:kern w:val="0"/>
                      <w:szCs w:val="21"/>
                      <w:highlight w:val="none"/>
                      <w:lang w:val="en-US" w:eastAsia="zh-CN"/>
                    </w:rPr>
                  </w:pPr>
                </w:p>
              </w:tc>
              <w:tc>
                <w:tcPr>
                  <w:tcW w:w="428" w:type="pct"/>
                  <w:vMerge w:val="continue"/>
                  <w:vAlign w:val="center"/>
                </w:tcPr>
                <w:p w14:paraId="309E5C46">
                  <w:pPr>
                    <w:widowControl/>
                    <w:jc w:val="center"/>
                    <w:rPr>
                      <w:rFonts w:hint="default" w:ascii="Times New Roman" w:hAnsi="Times New Roman" w:cs="Times New Roman"/>
                      <w:color w:val="auto"/>
                      <w:kern w:val="0"/>
                      <w:szCs w:val="21"/>
                      <w:highlight w:val="none"/>
                      <w:lang w:val="en-US" w:eastAsia="zh-CN"/>
                    </w:rPr>
                  </w:pPr>
                </w:p>
              </w:tc>
              <w:tc>
                <w:tcPr>
                  <w:tcW w:w="473" w:type="pct"/>
                  <w:vMerge w:val="continue"/>
                  <w:vAlign w:val="center"/>
                </w:tcPr>
                <w:p w14:paraId="07F18E4C">
                  <w:pPr>
                    <w:snapToGrid w:val="0"/>
                    <w:jc w:val="center"/>
                    <w:rPr>
                      <w:rFonts w:hint="default" w:ascii="Times New Roman" w:hAnsi="Times New Roman" w:cs="Times New Roman"/>
                      <w:color w:val="auto"/>
                      <w:szCs w:val="21"/>
                      <w:highlight w:val="none"/>
                    </w:rPr>
                  </w:pPr>
                </w:p>
              </w:tc>
              <w:tc>
                <w:tcPr>
                  <w:tcW w:w="823" w:type="pct"/>
                  <w:vAlign w:val="center"/>
                </w:tcPr>
                <w:p w14:paraId="729BBDE9">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封闭车间（保留进出口）</w:t>
                  </w:r>
                  <w:r>
                    <w:rPr>
                      <w:rFonts w:hint="default" w:ascii="Times New Roman" w:hAnsi="Times New Roman" w:cs="Times New Roman"/>
                      <w:szCs w:val="21"/>
                      <w:highlight w:val="none"/>
                    </w:rPr>
                    <w:t>阻隔效率</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0%</w:t>
                  </w:r>
                </w:p>
              </w:tc>
              <w:tc>
                <w:tcPr>
                  <w:tcW w:w="461" w:type="pct"/>
                  <w:vAlign w:val="center"/>
                </w:tcPr>
                <w:p w14:paraId="7B7E077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无组织</w:t>
                  </w:r>
                </w:p>
              </w:tc>
              <w:tc>
                <w:tcPr>
                  <w:tcW w:w="420" w:type="pct"/>
                  <w:vAlign w:val="center"/>
                </w:tcPr>
                <w:p w14:paraId="0CB5EB70">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9.45</w:t>
                  </w:r>
                </w:p>
              </w:tc>
              <w:tc>
                <w:tcPr>
                  <w:tcW w:w="503" w:type="pct"/>
                  <w:shd w:val="clear" w:color="auto" w:fill="auto"/>
                  <w:vAlign w:val="center"/>
                </w:tcPr>
                <w:p w14:paraId="31D7DC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1.969</w:t>
                  </w:r>
                </w:p>
              </w:tc>
              <w:tc>
                <w:tcPr>
                  <w:tcW w:w="533" w:type="pct"/>
                  <w:vAlign w:val="center"/>
                </w:tcPr>
                <w:p w14:paraId="4B7F847E">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301F4EBE">
            <w:pPr>
              <w:pStyle w:val="11"/>
              <w:spacing w:line="360" w:lineRule="auto"/>
              <w:ind w:firstLine="482" w:firstLineChars="200"/>
              <w:jc w:val="both"/>
              <w:rPr>
                <w:rFonts w:hint="default" w:ascii="Times New Roman" w:hAnsi="Times New Roman" w:cs="Times New Roman"/>
                <w:color w:val="auto"/>
                <w:highlight w:val="none"/>
              </w:rPr>
            </w:pPr>
            <w:r>
              <w:rPr>
                <w:rFonts w:hint="default" w:ascii="Times New Roman" w:hAnsi="Times New Roman" w:cs="Times New Roman"/>
                <w:b/>
                <w:bCs/>
                <w:highlight w:val="none"/>
                <w:lang w:val="en-US" w:eastAsia="zh-CN" w:bidi="ar"/>
              </w:rPr>
              <w:t>可行性分析：</w:t>
            </w:r>
            <w:r>
              <w:rPr>
                <w:rFonts w:hint="default" w:ascii="Times New Roman" w:hAnsi="Times New Roman" w:cs="Times New Roman"/>
                <w:color w:val="auto"/>
                <w:highlight w:val="none"/>
              </w:rPr>
              <w:t>由于本行业无《排污许可申请与核发技术规范》相关规定，参照《排放源统计调查产排污核算方法和系数手册》（生态环境部）中“3039其他建筑材料制造行业”，岩石、矿石、建筑固体废弃物等破碎、筛分工艺中采用袋式除尘技术</w:t>
            </w:r>
            <w:r>
              <w:rPr>
                <w:rFonts w:hint="default" w:ascii="Times New Roman" w:hAnsi="Times New Roman" w:cs="Times New Roman"/>
                <w:color w:val="auto"/>
                <w:highlight w:val="none"/>
                <w:lang w:val="en-US" w:eastAsia="zh-CN"/>
              </w:rPr>
              <w:t>除尘</w:t>
            </w:r>
            <w:r>
              <w:rPr>
                <w:rFonts w:hint="default" w:ascii="Times New Roman" w:hAnsi="Times New Roman" w:cs="Times New Roman"/>
                <w:color w:val="auto"/>
                <w:highlight w:val="none"/>
              </w:rPr>
              <w:t>效率可达99%。因此该方法可行。</w:t>
            </w:r>
          </w:p>
          <w:p w14:paraId="31F58331">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cs="Times New Roman"/>
                <w:bCs/>
                <w:color w:val="auto"/>
                <w:highlight w:val="none"/>
              </w:rPr>
            </w:pPr>
            <w:r>
              <w:rPr>
                <w:rFonts w:hint="default" w:ascii="Times New Roman" w:hAnsi="Times New Roman" w:eastAsia="宋体" w:cs="Times New Roman"/>
                <w:b/>
                <w:bCs/>
                <w:color w:val="auto"/>
                <w:kern w:val="0"/>
                <w:sz w:val="24"/>
                <w:highlight w:val="none"/>
                <w:lang w:val="en-US" w:eastAsia="zh-CN"/>
              </w:rPr>
              <w:t>达标性分析：</w:t>
            </w:r>
            <w:r>
              <w:rPr>
                <w:rFonts w:hint="default" w:ascii="Times New Roman" w:hAnsi="Times New Roman" w:eastAsia="宋体" w:cs="Times New Roman"/>
                <w:color w:val="auto"/>
                <w:kern w:val="0"/>
                <w:sz w:val="24"/>
                <w:highlight w:val="none"/>
                <w:lang w:val="en-US" w:eastAsia="zh-CN"/>
              </w:rPr>
              <w:t>根据上表核算结果可知，砂石生产线运行期间有组织废气排放口颗粒物排放速率及浓度均满足《大气污染物综合排放标准》（GB 16297-1996）中排放浓度限值120 mg/m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，排放速率限值4.46 kg/h的要求（按照GB 16297-1996附录B1折算</w:t>
            </w:r>
            <w:r>
              <w:rPr>
                <w:rFonts w:hint="default" w:ascii="Times New Roman" w:hAnsi="Times New Roman" w:cs="Times New Roman"/>
                <w:color w:val="auto"/>
                <w:kern w:val="0"/>
                <w:sz w:val="24"/>
                <w:highlight w:val="none"/>
                <w:lang w:val="en-US" w:eastAsia="zh-CN"/>
              </w:rPr>
              <w:t>17m高排气筒排放速率限值</w:t>
            </w:r>
            <w:r>
              <w:rPr>
                <w:rFonts w:hint="default" w:ascii="Times New Roman" w:hAnsi="Times New Roman" w:eastAsia="宋体" w:cs="Times New Roman"/>
                <w:color w:val="auto"/>
                <w:kern w:val="0"/>
                <w:sz w:val="24"/>
                <w:highlight w:val="none"/>
                <w:lang w:val="en-US" w:eastAsia="zh-CN"/>
              </w:rPr>
              <w:t>）。因此，砂石生产线运行期间，有组织废气可做到达标排放。本次将全厂无组织生产粉尘整体进行估算（详见本章第3小节达标性分析）。</w:t>
            </w:r>
          </w:p>
          <w:p w14:paraId="4D01CB36">
            <w:pPr>
              <w:spacing w:line="360" w:lineRule="auto"/>
              <w:ind w:firstLine="480"/>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2）物料装卸、堆存粉尘</w:t>
            </w:r>
          </w:p>
          <w:p w14:paraId="655A912D">
            <w:pPr>
              <w:pStyle w:val="46"/>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①卸料粉尘</w:t>
            </w:r>
          </w:p>
          <w:p w14:paraId="50966495">
            <w:pPr>
              <w:spacing w:line="360" w:lineRule="auto"/>
              <w:ind w:firstLine="482"/>
              <w:rPr>
                <w:rFonts w:hint="default" w:ascii="Times New Roman" w:hAnsi="Times New Roman" w:cs="Times New Roman"/>
                <w:b/>
                <w:bCs/>
                <w:sz w:val="24"/>
                <w:highlight w:val="none"/>
                <w:u w:val="single"/>
              </w:rPr>
            </w:pPr>
            <w:r>
              <w:rPr>
                <w:rFonts w:hint="default" w:ascii="Times New Roman" w:hAnsi="Times New Roman" w:cs="Times New Roman"/>
                <w:b/>
                <w:bCs/>
                <w:sz w:val="24"/>
                <w:highlight w:val="none"/>
                <w:u w:val="single"/>
              </w:rPr>
              <w:t>源强核算：</w:t>
            </w:r>
          </w:p>
          <w:p w14:paraId="5373C166">
            <w:pPr>
              <w:spacing w:line="360" w:lineRule="auto"/>
              <w:ind w:firstLine="482"/>
              <w:rPr>
                <w:rFonts w:hint="default" w:ascii="Times New Roman" w:hAnsi="Times New Roman" w:cs="Times New Roman"/>
                <w:highlight w:val="none"/>
              </w:rPr>
            </w:pPr>
            <w:r>
              <w:rPr>
                <w:rFonts w:hint="default" w:ascii="Times New Roman" w:hAnsi="Times New Roman" w:cs="Times New Roman"/>
                <w:sz w:val="24"/>
                <w:highlight w:val="none"/>
              </w:rPr>
              <w:t>根据建设单位提供资料，项目原料通过汽车运输至厂区原料堆场内，通过卡车倾倒的方式完成卸料。卸料过程中会有粉尘产生。其排放因子参照《逸散性工业粉尘控制技术》【（美）奥里蒙（Orlemann,J.A.）等编著；张良壁，刘敬严编译；中国环境科学出版社；1989年12月出版】中第十八章 粒料加工厂 碎石卸料（卡车）的排放因子为0.02 kg/t，本项目</w:t>
            </w:r>
            <w:r>
              <w:rPr>
                <w:rFonts w:hint="default" w:ascii="Times New Roman" w:hAnsi="Times New Roman" w:cs="Times New Roman"/>
                <w:sz w:val="24"/>
                <w:highlight w:val="none"/>
                <w:lang w:val="en-US" w:eastAsia="zh-CN"/>
              </w:rPr>
              <w:t>砂石生产线</w:t>
            </w:r>
            <w:r>
              <w:rPr>
                <w:rFonts w:hint="default" w:ascii="Times New Roman" w:hAnsi="Times New Roman" w:cs="Times New Roman"/>
                <w:sz w:val="24"/>
                <w:highlight w:val="none"/>
              </w:rPr>
              <w:t>需运输砂石原料总量约</w:t>
            </w:r>
            <w:r>
              <w:rPr>
                <w:rFonts w:hint="default" w:ascii="Times New Roman" w:hAnsi="Times New Roman" w:cs="Times New Roman"/>
                <w:sz w:val="24"/>
                <w:highlight w:val="none"/>
                <w:lang w:val="en-US" w:eastAsia="zh-CN"/>
              </w:rPr>
              <w:t>1</w:t>
            </w:r>
            <w:r>
              <w:rPr>
                <w:rFonts w:hint="default" w:ascii="Times New Roman" w:hAnsi="Times New Roman" w:cs="Times New Roman"/>
                <w:sz w:val="24"/>
                <w:highlight w:val="none"/>
              </w:rPr>
              <w:t>0</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rPr>
              <w:t>万t/a，卸料粉尘产生量为</w:t>
            </w:r>
            <w:r>
              <w:rPr>
                <w:rFonts w:hint="default" w:ascii="Times New Roman" w:hAnsi="Times New Roman" w:cs="Times New Roman"/>
                <w:sz w:val="24"/>
                <w:highlight w:val="none"/>
                <w:lang w:val="en-US" w:eastAsia="zh-CN"/>
              </w:rPr>
              <w:t>20.4</w:t>
            </w:r>
            <w:r>
              <w:rPr>
                <w:rFonts w:hint="default" w:ascii="Times New Roman" w:hAnsi="Times New Roman" w:cs="Times New Roman"/>
                <w:sz w:val="24"/>
                <w:highlight w:val="none"/>
              </w:rPr>
              <w:t xml:space="preserve"> t/a，产生速率为</w:t>
            </w:r>
            <w:r>
              <w:rPr>
                <w:rFonts w:hint="default" w:ascii="Times New Roman" w:hAnsi="Times New Roman" w:cs="Times New Roman"/>
                <w:sz w:val="24"/>
                <w:highlight w:val="none"/>
                <w:lang w:val="en-US" w:eastAsia="zh-CN"/>
              </w:rPr>
              <w:t>4.25</w:t>
            </w:r>
            <w:r>
              <w:rPr>
                <w:rFonts w:hint="default" w:ascii="Times New Roman" w:hAnsi="Times New Roman" w:cs="Times New Roman"/>
                <w:sz w:val="24"/>
                <w:highlight w:val="none"/>
              </w:rPr>
              <w:t xml:space="preserve"> kg/h。</w:t>
            </w:r>
          </w:p>
          <w:p w14:paraId="42C10C01">
            <w:pPr>
              <w:spacing w:line="360" w:lineRule="auto"/>
              <w:ind w:firstLine="482"/>
              <w:rPr>
                <w:rFonts w:hint="default" w:ascii="Times New Roman" w:hAnsi="Times New Roman" w:eastAsia="宋体" w:cs="Times New Roman"/>
                <w:b/>
                <w:bCs/>
                <w:sz w:val="24"/>
                <w:highlight w:val="none"/>
                <w:u w:val="single"/>
                <w:lang w:val="en-US" w:eastAsia="zh-CN"/>
              </w:rPr>
            </w:pPr>
            <w:r>
              <w:rPr>
                <w:rFonts w:hint="default" w:ascii="Times New Roman" w:hAnsi="Times New Roman" w:eastAsia="宋体" w:cs="Times New Roman"/>
                <w:b/>
                <w:bCs/>
                <w:sz w:val="24"/>
                <w:highlight w:val="none"/>
                <w:u w:val="single"/>
                <w:lang w:val="en-US" w:eastAsia="zh-CN"/>
              </w:rPr>
              <w:t>治理措施及排放情况：</w:t>
            </w:r>
          </w:p>
          <w:p w14:paraId="7D75C955">
            <w:pPr>
              <w:spacing w:line="360" w:lineRule="auto"/>
              <w:ind w:firstLine="470" w:firstLineChars="196"/>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原料库房拟采取半封闭（进行三面围挡+顶棚）及地面硬化措施；原料采取皮带输送进入生产线。装卸过程中对砂石料进行喷洒降尘。根据《固体物料堆存颗粒物产排污核算系数手册》附录，通过合理控制装卸高度和原料表面进行喷洒水后，可达到74%的控制效率，同时根据附录5堆场类型控制效率可知，密闭式控制效率为99%（由于装卸料在封闭区间内，仅保留出入口，故本次按90%考虑），采取措施后项目原料卸料过程粉尘排放量为0.53 t/a，排放速率为0.111 kg/h。</w:t>
            </w:r>
          </w:p>
          <w:p w14:paraId="1EC6359F">
            <w:pPr>
              <w:autoSpaceDE w:val="0"/>
              <w:autoSpaceDN w:val="0"/>
              <w:adjustRightInd w:val="0"/>
              <w:spacing w:line="360" w:lineRule="auto"/>
              <w:ind w:firstLine="482" w:firstLineChars="200"/>
              <w:rPr>
                <w:rFonts w:hint="default" w:ascii="Times New Roman" w:hAnsi="Times New Roman" w:cs="Times New Roman"/>
                <w:b/>
                <w:bCs/>
                <w:color w:val="auto"/>
                <w:sz w:val="24"/>
                <w:highlight w:val="none"/>
                <w:u w:val="single"/>
              </w:rPr>
            </w:pPr>
            <w:r>
              <w:rPr>
                <w:rFonts w:hint="default" w:ascii="Times New Roman" w:hAnsi="Times New Roman" w:cs="Times New Roman"/>
                <w:b/>
                <w:bCs/>
                <w:color w:val="auto"/>
                <w:sz w:val="24"/>
                <w:highlight w:val="none"/>
                <w:u w:val="single"/>
              </w:rPr>
              <w:t>可行性分析：</w:t>
            </w:r>
          </w:p>
          <w:p w14:paraId="50F3915F">
            <w:pPr>
              <w:spacing w:line="360" w:lineRule="auto"/>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lang w:bidi="ar"/>
              </w:rPr>
              <w:t>由于无本项目所属行业排污许可申请与核发技术规范相关规定，</w:t>
            </w:r>
            <w:r>
              <w:rPr>
                <w:rFonts w:hint="default" w:ascii="Times New Roman" w:hAnsi="Times New Roman" w:cs="Times New Roman"/>
                <w:sz w:val="24"/>
                <w:highlight w:val="none"/>
              </w:rPr>
              <w:t>根据《逸散性工业粉尘控制技术》中控制方法和《固体物料堆存颗粒物产排污核算系数手册》附录分析，物料卸料过程中使用喷雾降尘和堆场半封闭</w:t>
            </w:r>
            <w:r>
              <w:rPr>
                <w:rFonts w:hint="default" w:ascii="Times New Roman" w:hAnsi="Times New Roman" w:cs="Times New Roman"/>
                <w:sz w:val="24"/>
                <w:highlight w:val="none"/>
                <w:lang w:val="en-US" w:eastAsia="zh-CN"/>
              </w:rPr>
              <w:t>的</w:t>
            </w:r>
            <w:r>
              <w:rPr>
                <w:rFonts w:hint="default" w:ascii="Times New Roman" w:hAnsi="Times New Roman" w:cs="Times New Roman"/>
                <w:sz w:val="24"/>
                <w:highlight w:val="none"/>
              </w:rPr>
              <w:t>措施可行。</w:t>
            </w:r>
          </w:p>
          <w:p w14:paraId="5B561082">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②装料粉尘</w:t>
            </w:r>
          </w:p>
          <w:p w14:paraId="29A8E704">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项目成品砂和石子含水率较高，</w:t>
            </w:r>
            <w:r>
              <w:rPr>
                <w:rFonts w:hint="default" w:ascii="Times New Roman" w:hAnsi="Times New Roman" w:eastAsia="宋体" w:cs="Times New Roman"/>
                <w:sz w:val="24"/>
                <w:highlight w:val="none"/>
                <w:lang w:eastAsia="zh-CN"/>
              </w:rPr>
              <w:t>成品</w:t>
            </w:r>
            <w:r>
              <w:rPr>
                <w:rFonts w:hint="default" w:ascii="Times New Roman" w:hAnsi="Times New Roman" w:eastAsia="宋体" w:cs="Times New Roman"/>
                <w:sz w:val="24"/>
                <w:highlight w:val="none"/>
                <w:lang w:val="en-US" w:eastAsia="zh-CN"/>
              </w:rPr>
              <w:t>采取</w:t>
            </w:r>
            <w:r>
              <w:rPr>
                <w:rFonts w:hint="default" w:ascii="Times New Roman" w:hAnsi="Times New Roman" w:eastAsia="宋体" w:cs="Times New Roman"/>
                <w:sz w:val="24"/>
                <w:highlight w:val="none"/>
                <w:lang w:eastAsia="zh-CN"/>
              </w:rPr>
              <w:t>皮带输送自生产车间进入成品</w:t>
            </w:r>
            <w:r>
              <w:rPr>
                <w:rFonts w:hint="default" w:ascii="Times New Roman" w:hAnsi="Times New Roman" w:eastAsia="宋体" w:cs="Times New Roman"/>
                <w:sz w:val="24"/>
                <w:highlight w:val="none"/>
                <w:lang w:val="en-US" w:eastAsia="zh-CN"/>
              </w:rPr>
              <w:t>料仓</w:t>
            </w:r>
            <w:r>
              <w:rPr>
                <w:rFonts w:hint="default" w:ascii="Times New Roman" w:hAnsi="Times New Roman" w:eastAsia="宋体" w:cs="Times New Roman"/>
                <w:sz w:val="24"/>
                <w:highlight w:val="none"/>
                <w:lang w:eastAsia="zh-CN"/>
              </w:rPr>
              <w:t>，</w:t>
            </w:r>
            <w:r>
              <w:rPr>
                <w:rFonts w:hint="default" w:ascii="Times New Roman" w:hAnsi="Times New Roman" w:cs="Times New Roman"/>
                <w:sz w:val="24"/>
                <w:highlight w:val="none"/>
              </w:rPr>
              <w:t>因此成品在装料过程中粉尘产生量较小，可忽略不计。</w:t>
            </w:r>
          </w:p>
          <w:p w14:paraId="29662AFE">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③堆存粉尘</w:t>
            </w:r>
          </w:p>
          <w:p w14:paraId="6B26CE37">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项目成品库房</w:t>
            </w:r>
            <w:r>
              <w:rPr>
                <w:rFonts w:hint="default" w:ascii="Times New Roman" w:hAnsi="Times New Roman" w:eastAsia="宋体" w:cs="Times New Roman"/>
                <w:sz w:val="24"/>
                <w:highlight w:val="none"/>
                <w:lang w:val="en-US" w:eastAsia="zh-CN"/>
              </w:rPr>
              <w:t>为</w:t>
            </w:r>
            <w:r>
              <w:rPr>
                <w:rFonts w:hint="default" w:ascii="Times New Roman" w:hAnsi="Times New Roman" w:eastAsia="宋体" w:cs="Times New Roman"/>
                <w:sz w:val="24"/>
                <w:highlight w:val="none"/>
              </w:rPr>
              <w:t>半封闭（进行三面围挡+顶棚），可减少成品堆存粉尘对周围大气环境的影响，且储存的物料本身具有一定的含水率，故风力起尘可能性不大，要求项目单位定期对堆场表面进行洒水，以进一步减少风力起尘的可能性。</w:t>
            </w:r>
          </w:p>
          <w:p w14:paraId="5FD3096A">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采取以上措施后，本项目生产加工过程粉尘产生及排放情况见下表。</w:t>
            </w:r>
          </w:p>
          <w:p w14:paraId="7B64B807">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b/>
                <w:bCs/>
                <w:kern w:val="0"/>
                <w:szCs w:val="21"/>
                <w:highlight w:val="none"/>
                <w:lang w:bidi="ar"/>
              </w:rPr>
              <w:t>表4-</w:t>
            </w:r>
            <w:r>
              <w:rPr>
                <w:rFonts w:hint="default" w:ascii="Times New Roman" w:hAnsi="Times New Roman" w:cs="Times New Roman"/>
                <w:b/>
                <w:bCs/>
                <w:kern w:val="0"/>
                <w:szCs w:val="21"/>
                <w:highlight w:val="none"/>
                <w:lang w:val="en-US" w:eastAsia="zh-CN" w:bidi="ar"/>
              </w:rPr>
              <w:t>2</w:t>
            </w:r>
            <w:r>
              <w:rPr>
                <w:rFonts w:hint="default" w:ascii="Times New Roman" w:hAnsi="Times New Roman" w:cs="Times New Roman"/>
                <w:b/>
                <w:bCs/>
                <w:kern w:val="0"/>
                <w:szCs w:val="21"/>
                <w:highlight w:val="none"/>
                <w:lang w:bidi="ar"/>
              </w:rPr>
              <w:t xml:space="preserve">  项目</w:t>
            </w:r>
            <w:r>
              <w:rPr>
                <w:rFonts w:hint="default" w:ascii="Times New Roman" w:hAnsi="Times New Roman" w:cs="Times New Roman"/>
                <w:b/>
                <w:bCs/>
                <w:kern w:val="0"/>
                <w:szCs w:val="21"/>
                <w:highlight w:val="none"/>
                <w:lang w:val="en-US" w:eastAsia="zh-CN" w:bidi="ar"/>
              </w:rPr>
              <w:t>砂石骨料</w:t>
            </w:r>
            <w:r>
              <w:rPr>
                <w:rFonts w:hint="default" w:ascii="Times New Roman" w:hAnsi="Times New Roman" w:cs="Times New Roman"/>
                <w:b/>
                <w:bCs/>
                <w:kern w:val="0"/>
                <w:szCs w:val="21"/>
                <w:highlight w:val="none"/>
                <w:lang w:bidi="ar"/>
              </w:rPr>
              <w:t>生产加工过程粉尘产生及排放情况表</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100"/>
              <w:gridCol w:w="2292"/>
              <w:gridCol w:w="1868"/>
              <w:gridCol w:w="870"/>
              <w:gridCol w:w="1102"/>
            </w:tblGrid>
            <w:tr w14:paraId="6A1DF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restart"/>
                  <w:noWrap w:val="0"/>
                  <w:vAlign w:val="center"/>
                </w:tcPr>
                <w:p w14:paraId="30D88523">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污染源</w:t>
                  </w:r>
                </w:p>
              </w:tc>
              <w:tc>
                <w:tcPr>
                  <w:tcW w:w="654" w:type="pct"/>
                  <w:vMerge w:val="restart"/>
                  <w:noWrap w:val="0"/>
                  <w:vAlign w:val="center"/>
                </w:tcPr>
                <w:p w14:paraId="44891036">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产生量t/a</w:t>
                  </w:r>
                </w:p>
              </w:tc>
              <w:tc>
                <w:tcPr>
                  <w:tcW w:w="2477" w:type="pct"/>
                  <w:gridSpan w:val="2"/>
                  <w:noWrap w:val="0"/>
                  <w:vAlign w:val="center"/>
                </w:tcPr>
                <w:p w14:paraId="2BD937F5">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治理措施</w:t>
                  </w:r>
                </w:p>
              </w:tc>
              <w:tc>
                <w:tcPr>
                  <w:tcW w:w="1174" w:type="pct"/>
                  <w:gridSpan w:val="2"/>
                  <w:vMerge w:val="restart"/>
                  <w:noWrap w:val="0"/>
                  <w:vAlign w:val="center"/>
                </w:tcPr>
                <w:p w14:paraId="254D8950">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排放量t/a</w:t>
                  </w:r>
                </w:p>
              </w:tc>
            </w:tr>
            <w:tr w14:paraId="6462E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93" w:type="pct"/>
                  <w:vMerge w:val="continue"/>
                  <w:noWrap w:val="0"/>
                  <w:vAlign w:val="center"/>
                </w:tcPr>
                <w:p w14:paraId="1F4BCA39">
                  <w:pPr>
                    <w:spacing w:before="48" w:beforeLines="20" w:after="48" w:afterLines="20"/>
                    <w:jc w:val="center"/>
                    <w:rPr>
                      <w:rFonts w:hint="default" w:ascii="Times New Roman" w:hAnsi="Times New Roman" w:cs="Times New Roman"/>
                      <w:szCs w:val="21"/>
                      <w:highlight w:val="none"/>
                    </w:rPr>
                  </w:pPr>
                </w:p>
              </w:tc>
              <w:tc>
                <w:tcPr>
                  <w:tcW w:w="654" w:type="pct"/>
                  <w:vMerge w:val="continue"/>
                  <w:noWrap w:val="0"/>
                  <w:vAlign w:val="center"/>
                </w:tcPr>
                <w:p w14:paraId="082F0AC2">
                  <w:pPr>
                    <w:spacing w:before="48" w:beforeLines="20" w:after="48" w:afterLines="20"/>
                    <w:jc w:val="center"/>
                    <w:rPr>
                      <w:rFonts w:hint="default" w:ascii="Times New Roman" w:hAnsi="Times New Roman" w:cs="Times New Roman"/>
                      <w:szCs w:val="21"/>
                      <w:highlight w:val="none"/>
                    </w:rPr>
                  </w:pPr>
                </w:p>
              </w:tc>
              <w:tc>
                <w:tcPr>
                  <w:tcW w:w="1364" w:type="pct"/>
                  <w:noWrap w:val="0"/>
                  <w:vAlign w:val="center"/>
                </w:tcPr>
                <w:p w14:paraId="32CB47CA">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措施</w:t>
                  </w:r>
                </w:p>
              </w:tc>
              <w:tc>
                <w:tcPr>
                  <w:tcW w:w="1112" w:type="pct"/>
                  <w:noWrap w:val="0"/>
                  <w:vAlign w:val="center"/>
                </w:tcPr>
                <w:p w14:paraId="0F324625">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处理效率</w:t>
                  </w:r>
                </w:p>
              </w:tc>
              <w:tc>
                <w:tcPr>
                  <w:tcW w:w="1174" w:type="pct"/>
                  <w:gridSpan w:val="2"/>
                  <w:vMerge w:val="continue"/>
                  <w:noWrap w:val="0"/>
                  <w:vAlign w:val="center"/>
                </w:tcPr>
                <w:p w14:paraId="5E99BF09">
                  <w:pPr>
                    <w:spacing w:before="48" w:beforeLines="20" w:after="48" w:afterLines="20"/>
                    <w:jc w:val="center"/>
                    <w:rPr>
                      <w:rFonts w:hint="default" w:ascii="Times New Roman" w:hAnsi="Times New Roman" w:cs="Times New Roman"/>
                      <w:szCs w:val="21"/>
                      <w:highlight w:val="none"/>
                    </w:rPr>
                  </w:pPr>
                </w:p>
              </w:tc>
            </w:tr>
            <w:tr w14:paraId="46F60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restart"/>
                  <w:noWrap w:val="0"/>
                  <w:vAlign w:val="center"/>
                </w:tcPr>
                <w:p w14:paraId="3E1C0DE0">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加工粉尘</w:t>
                  </w:r>
                </w:p>
              </w:tc>
              <w:tc>
                <w:tcPr>
                  <w:tcW w:w="654" w:type="pct"/>
                  <w:vMerge w:val="restart"/>
                  <w:noWrap w:val="0"/>
                  <w:vAlign w:val="center"/>
                </w:tcPr>
                <w:p w14:paraId="2B85CA87">
                  <w:pPr>
                    <w:spacing w:before="48" w:beforeLines="20" w:after="48" w:afterLines="20"/>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kern w:val="0"/>
                      <w:szCs w:val="21"/>
                      <w:highlight w:val="none"/>
                      <w:lang w:val="en-US" w:eastAsia="zh-CN"/>
                    </w:rPr>
                    <w:t>1890</w:t>
                  </w:r>
                </w:p>
              </w:tc>
              <w:tc>
                <w:tcPr>
                  <w:tcW w:w="1364" w:type="pct"/>
                  <w:vMerge w:val="restart"/>
                  <w:noWrap w:val="0"/>
                  <w:vAlign w:val="center"/>
                </w:tcPr>
                <w:p w14:paraId="67CB7FAD">
                  <w:pPr>
                    <w:spacing w:before="48" w:beforeLines="20" w:after="48" w:afterLines="20"/>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生产厂房封闭</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保留出入口</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；集气效率</w:t>
                  </w:r>
                  <w:r>
                    <w:rPr>
                      <w:rFonts w:hint="default" w:ascii="Times New Roman" w:hAnsi="Times New Roman" w:cs="Times New Roman"/>
                      <w:szCs w:val="21"/>
                      <w:highlight w:val="none"/>
                      <w:lang w:val="en-US" w:eastAsia="zh-CN"/>
                    </w:rPr>
                    <w:t>+袋式</w:t>
                  </w:r>
                  <w:r>
                    <w:rPr>
                      <w:rFonts w:hint="default" w:ascii="Times New Roman" w:hAnsi="Times New Roman" w:cs="Times New Roman"/>
                      <w:szCs w:val="21"/>
                      <w:highlight w:val="none"/>
                    </w:rPr>
                    <w:t>除尘</w:t>
                  </w:r>
                  <w:r>
                    <w:rPr>
                      <w:rFonts w:hint="default" w:ascii="Times New Roman" w:hAnsi="Times New Roman" w:cs="Times New Roman"/>
                      <w:szCs w:val="21"/>
                      <w:highlight w:val="none"/>
                      <w:lang w:val="en-US" w:eastAsia="zh-CN"/>
                    </w:rPr>
                    <w:t>器</w:t>
                  </w:r>
                </w:p>
              </w:tc>
              <w:tc>
                <w:tcPr>
                  <w:tcW w:w="1112" w:type="pct"/>
                  <w:noWrap w:val="0"/>
                  <w:vAlign w:val="center"/>
                </w:tcPr>
                <w:p w14:paraId="19A2DD14">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集气效率为95%，除尘效率为99%</w:t>
                  </w:r>
                </w:p>
              </w:tc>
              <w:tc>
                <w:tcPr>
                  <w:tcW w:w="518" w:type="pct"/>
                  <w:noWrap w:val="0"/>
                  <w:vAlign w:val="center"/>
                </w:tcPr>
                <w:p w14:paraId="619F07F0">
                  <w:pPr>
                    <w:spacing w:before="48" w:beforeLines="20" w:after="48" w:afterLines="2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有组织</w:t>
                  </w:r>
                </w:p>
              </w:tc>
              <w:tc>
                <w:tcPr>
                  <w:tcW w:w="656" w:type="pct"/>
                  <w:noWrap w:val="0"/>
                  <w:vAlign w:val="center"/>
                </w:tcPr>
                <w:p w14:paraId="6748FA12">
                  <w:pPr>
                    <w:spacing w:before="48" w:beforeLines="20" w:after="48" w:afterLines="20"/>
                    <w:jc w:val="center"/>
                    <w:rPr>
                      <w:rFonts w:hint="default" w:ascii="Times New Roman" w:hAnsi="Times New Roman" w:cs="Times New Roman"/>
                      <w:kern w:val="0"/>
                      <w:szCs w:val="21"/>
                      <w:highlight w:val="none"/>
                      <w:lang w:val="en-US" w:eastAsia="zh-CN"/>
                    </w:rPr>
                  </w:pPr>
                  <w:r>
                    <w:rPr>
                      <w:rFonts w:hint="default" w:ascii="Times New Roman" w:hAnsi="Times New Roman" w:cs="Times New Roman"/>
                      <w:kern w:val="0"/>
                      <w:szCs w:val="21"/>
                      <w:highlight w:val="none"/>
                      <w:lang w:val="en-US" w:eastAsia="zh-CN"/>
                    </w:rPr>
                    <w:t>17.955</w:t>
                  </w:r>
                </w:p>
              </w:tc>
            </w:tr>
            <w:tr w14:paraId="1B869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vMerge w:val="continue"/>
                  <w:noWrap w:val="0"/>
                  <w:vAlign w:val="center"/>
                </w:tcPr>
                <w:p w14:paraId="281BE097">
                  <w:pPr>
                    <w:spacing w:before="48" w:beforeLines="20" w:after="48" w:afterLines="20"/>
                    <w:jc w:val="center"/>
                    <w:rPr>
                      <w:rFonts w:hint="default" w:ascii="Times New Roman" w:hAnsi="Times New Roman" w:cs="Times New Roman"/>
                      <w:szCs w:val="21"/>
                      <w:highlight w:val="none"/>
                    </w:rPr>
                  </w:pPr>
                </w:p>
              </w:tc>
              <w:tc>
                <w:tcPr>
                  <w:tcW w:w="654" w:type="pct"/>
                  <w:vMerge w:val="continue"/>
                  <w:noWrap w:val="0"/>
                  <w:vAlign w:val="center"/>
                </w:tcPr>
                <w:p w14:paraId="5AACB6E2">
                  <w:pPr>
                    <w:spacing w:before="48" w:beforeLines="20" w:after="48" w:afterLines="20"/>
                    <w:jc w:val="center"/>
                    <w:rPr>
                      <w:rFonts w:hint="default" w:ascii="Times New Roman" w:hAnsi="Times New Roman" w:cs="Times New Roman"/>
                      <w:kern w:val="0"/>
                      <w:szCs w:val="21"/>
                      <w:highlight w:val="none"/>
                      <w:lang w:val="en-US" w:eastAsia="zh-CN"/>
                    </w:rPr>
                  </w:pPr>
                </w:p>
              </w:tc>
              <w:tc>
                <w:tcPr>
                  <w:tcW w:w="1364" w:type="pct"/>
                  <w:vMerge w:val="continue"/>
                  <w:noWrap w:val="0"/>
                  <w:vAlign w:val="center"/>
                </w:tcPr>
                <w:p w14:paraId="0868EB11">
                  <w:pPr>
                    <w:spacing w:before="48" w:beforeLines="20" w:after="48" w:afterLines="20"/>
                    <w:jc w:val="center"/>
                    <w:rPr>
                      <w:rFonts w:hint="default" w:ascii="Times New Roman" w:hAnsi="Times New Roman" w:cs="Times New Roman"/>
                      <w:szCs w:val="21"/>
                      <w:highlight w:val="none"/>
                    </w:rPr>
                  </w:pPr>
                </w:p>
              </w:tc>
              <w:tc>
                <w:tcPr>
                  <w:tcW w:w="1112" w:type="pct"/>
                  <w:noWrap w:val="0"/>
                  <w:vAlign w:val="center"/>
                </w:tcPr>
                <w:p w14:paraId="75BEFF5F">
                  <w:pPr>
                    <w:spacing w:before="48" w:beforeLines="20" w:after="48" w:afterLines="20"/>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厂房</w:t>
                  </w:r>
                  <w:r>
                    <w:rPr>
                      <w:rFonts w:hint="default" w:ascii="Times New Roman" w:hAnsi="Times New Roman" w:cs="Times New Roman"/>
                      <w:szCs w:val="21"/>
                      <w:highlight w:val="none"/>
                    </w:rPr>
                    <w:t>阻隔效率</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0%</w:t>
                  </w:r>
                </w:p>
              </w:tc>
              <w:tc>
                <w:tcPr>
                  <w:tcW w:w="518" w:type="pct"/>
                  <w:noWrap w:val="0"/>
                  <w:vAlign w:val="center"/>
                </w:tcPr>
                <w:p w14:paraId="0ADF574A">
                  <w:pPr>
                    <w:spacing w:before="48" w:beforeLines="20" w:after="48" w:afterLines="2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无组织</w:t>
                  </w:r>
                </w:p>
              </w:tc>
              <w:tc>
                <w:tcPr>
                  <w:tcW w:w="656" w:type="pct"/>
                  <w:shd w:val="clear" w:color="auto" w:fill="auto"/>
                  <w:noWrap w:val="0"/>
                  <w:vAlign w:val="center"/>
                </w:tcPr>
                <w:p w14:paraId="2C1590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9.45</w:t>
                  </w:r>
                </w:p>
              </w:tc>
            </w:tr>
            <w:tr w14:paraId="5BE1D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pct"/>
                  <w:noWrap w:val="0"/>
                  <w:vAlign w:val="center"/>
                </w:tcPr>
                <w:p w14:paraId="24B91CFC">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物料装卸、堆存粉尘</w:t>
                  </w:r>
                </w:p>
              </w:tc>
              <w:tc>
                <w:tcPr>
                  <w:tcW w:w="654" w:type="pct"/>
                  <w:noWrap w:val="0"/>
                  <w:vAlign w:val="center"/>
                </w:tcPr>
                <w:p w14:paraId="0F6A4CBF">
                  <w:pPr>
                    <w:spacing w:before="48" w:beforeLines="20" w:after="48" w:afterLines="20"/>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lang w:val="en-US" w:eastAsia="zh-CN"/>
                    </w:rPr>
                    <w:t>20.4</w:t>
                  </w:r>
                </w:p>
              </w:tc>
              <w:tc>
                <w:tcPr>
                  <w:tcW w:w="1364" w:type="pct"/>
                  <w:noWrap w:val="0"/>
                  <w:vAlign w:val="center"/>
                </w:tcPr>
                <w:p w14:paraId="1AE2DDC1">
                  <w:pPr>
                    <w:spacing w:before="48" w:beforeLines="20" w:after="48" w:afterLines="2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原料及成品堆场半封闭；卸料和铲料时对</w:t>
                  </w:r>
                  <w:r>
                    <w:rPr>
                      <w:rFonts w:hint="default" w:ascii="Times New Roman" w:hAnsi="Times New Roman" w:cs="Times New Roman"/>
                      <w:szCs w:val="21"/>
                      <w:highlight w:val="none"/>
                      <w:lang w:val="en-US" w:eastAsia="zh-CN"/>
                    </w:rPr>
                    <w:t>物</w:t>
                  </w:r>
                  <w:r>
                    <w:rPr>
                      <w:rFonts w:hint="default" w:ascii="Times New Roman" w:hAnsi="Times New Roman" w:cs="Times New Roman"/>
                      <w:szCs w:val="21"/>
                      <w:highlight w:val="none"/>
                    </w:rPr>
                    <w:t>料进行喷洒水预处理进行降尘</w:t>
                  </w:r>
                </w:p>
              </w:tc>
              <w:tc>
                <w:tcPr>
                  <w:tcW w:w="1112" w:type="pct"/>
                  <w:noWrap w:val="0"/>
                  <w:vAlign w:val="center"/>
                </w:tcPr>
                <w:p w14:paraId="38E8DE15">
                  <w:pPr>
                    <w:spacing w:before="48" w:beforeLines="20" w:after="48" w:afterLines="20"/>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喷洒水除尘效率74%，半封闭堆场阻隔效率</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0%</w:t>
                  </w:r>
                </w:p>
              </w:tc>
              <w:tc>
                <w:tcPr>
                  <w:tcW w:w="1174" w:type="pct"/>
                  <w:gridSpan w:val="2"/>
                  <w:noWrap w:val="0"/>
                  <w:vAlign w:val="center"/>
                </w:tcPr>
                <w:p w14:paraId="469187FA">
                  <w:pPr>
                    <w:spacing w:before="48" w:beforeLines="20" w:after="48" w:afterLines="20"/>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szCs w:val="21"/>
                      <w:highlight w:val="none"/>
                      <w:lang w:val="en-US" w:eastAsia="zh-CN"/>
                    </w:rPr>
                    <w:t>0.53</w:t>
                  </w:r>
                </w:p>
              </w:tc>
            </w:tr>
          </w:tbl>
          <w:p w14:paraId="0ADE47CA">
            <w:pPr>
              <w:spacing w:line="360" w:lineRule="auto"/>
              <w:ind w:firstLine="48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lang w:val="en-US" w:eastAsia="zh-CN"/>
              </w:rPr>
              <w:t>2</w:t>
            </w: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rPr>
              <w:t>彩砂生产线废气产排情况</w:t>
            </w:r>
          </w:p>
          <w:p w14:paraId="5E10B841">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1）装卸及堆存粉尘</w:t>
            </w:r>
          </w:p>
          <w:p w14:paraId="47F00216">
            <w:pPr>
              <w:spacing w:line="360" w:lineRule="auto"/>
              <w:ind w:firstLine="48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在改性粉体及干混砂浆生产线建成之前彩砂生产线产品全部外售。本次以最大产污情况进行装卸粉尘核算及分析。</w:t>
            </w:r>
          </w:p>
          <w:p w14:paraId="2E9589B1">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a</w:t>
            </w:r>
            <w:r>
              <w:rPr>
                <w:rFonts w:hint="default" w:ascii="Times New Roman" w:hAnsi="Times New Roman" w:cs="Times New Roman"/>
                <w:color w:val="auto"/>
                <w:kern w:val="0"/>
                <w:sz w:val="24"/>
                <w:highlight w:val="none"/>
              </w:rPr>
              <w:t>.物料装车粉尘</w:t>
            </w:r>
          </w:p>
          <w:p w14:paraId="450EAD34">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物料装车机械落差的</w:t>
            </w:r>
            <w:r>
              <w:rPr>
                <w:rFonts w:hint="default" w:ascii="Times New Roman" w:hAnsi="Times New Roman" w:cs="Times New Roman"/>
                <w:color w:val="auto"/>
                <w:sz w:val="24"/>
                <w:highlight w:val="none"/>
              </w:rPr>
              <w:t>起尘量推荐采用</w:t>
            </w:r>
            <w:r>
              <w:rPr>
                <w:rFonts w:hint="eastAsia" w:cs="Times New Roman"/>
                <w:color w:val="auto"/>
                <w:sz w:val="24"/>
                <w:highlight w:val="none"/>
                <w:lang w:eastAsia="zh-CN"/>
              </w:rPr>
              <w:t>交通运输部</w:t>
            </w:r>
            <w:r>
              <w:rPr>
                <w:rFonts w:hint="default" w:ascii="Times New Roman" w:hAnsi="Times New Roman" w:cs="Times New Roman"/>
                <w:color w:val="auto"/>
                <w:sz w:val="24"/>
                <w:highlight w:val="none"/>
              </w:rPr>
              <w:t>水运研究所和武汉水运工程学院提出的铲装起尘量的经验公式估算，经验公式为：</w:t>
            </w:r>
          </w:p>
          <w:p w14:paraId="3C7241DE">
            <w:pPr>
              <w:adjustRightInd w:val="0"/>
              <w:snapToGrid w:val="0"/>
              <w:spacing w:line="360" w:lineRule="auto"/>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Q=1/t·0.03U</w:t>
            </w:r>
            <w:r>
              <w:rPr>
                <w:rFonts w:hint="default" w:ascii="Times New Roman" w:hAnsi="Times New Roman" w:cs="Times New Roman"/>
                <w:color w:val="auto"/>
                <w:sz w:val="24"/>
                <w:highlight w:val="none"/>
                <w:vertAlign w:val="superscript"/>
              </w:rPr>
              <w:t>1.6</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perscript"/>
              </w:rPr>
              <w:t>1.23</w:t>
            </w:r>
            <w:r>
              <w:rPr>
                <w:rFonts w:hint="default" w:ascii="Times New Roman" w:hAnsi="Times New Roman" w:cs="Times New Roman"/>
                <w:color w:val="auto"/>
                <w:sz w:val="24"/>
                <w:highlight w:val="none"/>
              </w:rPr>
              <w:t>e</w:t>
            </w:r>
            <w:r>
              <w:rPr>
                <w:rFonts w:hint="default" w:ascii="Times New Roman" w:hAnsi="Times New Roman" w:cs="Times New Roman"/>
                <w:color w:val="auto"/>
                <w:sz w:val="24"/>
                <w:highlight w:val="none"/>
                <w:vertAlign w:val="superscript"/>
              </w:rPr>
              <w:t>-0.28w</w:t>
            </w:r>
          </w:p>
          <w:p w14:paraId="5424473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式中：Q—物料机械落差起尘量，kg/s；</w:t>
            </w:r>
          </w:p>
          <w:p w14:paraId="00201114">
            <w:pPr>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H—物料落差，0.5m；</w:t>
            </w:r>
          </w:p>
          <w:p w14:paraId="758CBDC7">
            <w:pPr>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U—地面平均风速，m/s，本次取1.0m/s；</w:t>
            </w:r>
          </w:p>
          <w:p w14:paraId="67621665">
            <w:pPr>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W—物料含水，%，取10%；</w:t>
            </w:r>
          </w:p>
          <w:p w14:paraId="0AC6ACD8">
            <w:pPr>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t—每吨物料装车所用时间t/s，5s。</w:t>
            </w:r>
          </w:p>
          <w:p w14:paraId="79CCA09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经计算，物料装车起尘量约为1.5×10</w:t>
            </w:r>
            <w:r>
              <w:rPr>
                <w:rFonts w:hint="eastAsia" w:cs="Times New Roman"/>
                <w:color w:val="auto"/>
                <w:sz w:val="24"/>
                <w:highlight w:val="none"/>
                <w:lang w:eastAsia="zh-CN"/>
              </w:rPr>
              <w:t>～</w:t>
            </w:r>
            <w:r>
              <w:rPr>
                <w:rFonts w:hint="default" w:ascii="Times New Roman" w:hAnsi="Times New Roman" w:cs="Times New Roman"/>
                <w:color w:val="auto"/>
                <w:sz w:val="24"/>
                <w:highlight w:val="none"/>
                <w:vertAlign w:val="superscript"/>
              </w:rPr>
              <w:t>4</w:t>
            </w:r>
            <w:r>
              <w:rPr>
                <w:rFonts w:hint="default" w:ascii="Times New Roman" w:hAnsi="Times New Roman" w:cs="Times New Roman"/>
                <w:color w:val="auto"/>
                <w:sz w:val="24"/>
                <w:highlight w:val="none"/>
              </w:rPr>
              <w:t>kg/s，成品装车量约</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万t/a，装车总时间约为</w:t>
            </w:r>
            <w:r>
              <w:rPr>
                <w:rFonts w:hint="default" w:ascii="Times New Roman" w:hAnsi="Times New Roman" w:cs="Times New Roman"/>
                <w:color w:val="auto"/>
                <w:sz w:val="24"/>
                <w:highlight w:val="none"/>
                <w:lang w:val="en-US" w:eastAsia="zh-CN"/>
              </w:rPr>
              <w:t xml:space="preserve">2500000 </w:t>
            </w:r>
            <w:r>
              <w:rPr>
                <w:rFonts w:hint="default" w:ascii="Times New Roman" w:hAnsi="Times New Roman" w:cs="Times New Roman"/>
                <w:color w:val="auto"/>
                <w:sz w:val="24"/>
                <w:highlight w:val="none"/>
              </w:rPr>
              <w:t>s，则粉尘产生量为</w:t>
            </w:r>
            <w:r>
              <w:rPr>
                <w:rFonts w:hint="default" w:ascii="Times New Roman" w:hAnsi="Times New Roman" w:cs="Times New Roman"/>
                <w:color w:val="auto"/>
                <w:sz w:val="24"/>
                <w:highlight w:val="none"/>
                <w:lang w:val="en-US" w:eastAsia="zh-CN"/>
              </w:rPr>
              <w:t xml:space="preserve">375 </w:t>
            </w:r>
            <w:r>
              <w:rPr>
                <w:rFonts w:hint="default" w:ascii="Times New Roman" w:hAnsi="Times New Roman" w:cs="Times New Roman"/>
                <w:color w:val="auto"/>
                <w:sz w:val="24"/>
                <w:highlight w:val="none"/>
              </w:rPr>
              <w:t>kg/a。</w:t>
            </w:r>
          </w:p>
          <w:p w14:paraId="3EED4883">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cs="Times New Roman"/>
                <w:color w:val="auto"/>
                <w:sz w:val="24"/>
                <w:highlight w:val="none"/>
              </w:rPr>
              <w:t>.卸车粉尘</w:t>
            </w:r>
          </w:p>
          <w:p w14:paraId="13E5B670">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自卸汽车卸料起尘量，推荐选用山西环保科研所、武汉水运工程学院提出的经验公式估算，经验公式为：</w:t>
            </w:r>
          </w:p>
          <w:p w14:paraId="43C89AF7">
            <w:pPr>
              <w:snapToGrid w:val="0"/>
              <w:spacing w:line="360" w:lineRule="auto"/>
              <w:ind w:firstLine="3060" w:firstLineChars="1275"/>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Q=e</w:t>
            </w:r>
            <w:r>
              <w:rPr>
                <w:rFonts w:hint="default" w:ascii="Times New Roman" w:hAnsi="Times New Roman" w:cs="Times New Roman"/>
                <w:color w:val="auto"/>
                <w:sz w:val="24"/>
                <w:szCs w:val="22"/>
                <w:highlight w:val="none"/>
                <w:vertAlign w:val="superscript"/>
              </w:rPr>
              <w:t>0.61u</w:t>
            </w:r>
            <w:r>
              <w:rPr>
                <w:rFonts w:hint="eastAsia"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M/13.5</w:t>
            </w:r>
            <w:r>
              <w:rPr>
                <w:rFonts w:hint="eastAsia" w:cs="Times New Roman"/>
                <w:color w:val="auto"/>
                <w:sz w:val="24"/>
                <w:szCs w:val="22"/>
                <w:highlight w:val="none"/>
                <w:lang w:eastAsia="zh-CN"/>
              </w:rPr>
              <w:t>)</w:t>
            </w:r>
          </w:p>
          <w:p w14:paraId="53666E9D">
            <w:pPr>
              <w:snapToGrid w:val="0"/>
              <w:spacing w:line="360" w:lineRule="auto"/>
              <w:ind w:firstLine="420" w:firstLineChars="175"/>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式中：Q——自卸汽车卸料起尘量，g/次；</w:t>
            </w:r>
          </w:p>
          <w:p w14:paraId="3ECF7EA4">
            <w:pPr>
              <w:snapToGrid w:val="0"/>
              <w:spacing w:line="360" w:lineRule="auto"/>
              <w:ind w:firstLine="1200" w:firstLineChars="5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U——平均风速（m/s），1；</w:t>
            </w:r>
          </w:p>
          <w:p w14:paraId="76408D1A">
            <w:pPr>
              <w:snapToGrid w:val="0"/>
              <w:spacing w:line="360" w:lineRule="auto"/>
              <w:ind w:firstLine="1200" w:firstLineChars="5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M——汽车卸料量，t，30。</w:t>
            </w:r>
          </w:p>
          <w:p w14:paraId="6CD94037">
            <w:pPr>
              <w:snapToGrid w:val="0"/>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进厂原料白方石约为</w:t>
            </w:r>
            <w:r>
              <w:rPr>
                <w:rFonts w:hint="default" w:ascii="Times New Roman" w:hAnsi="Times New Roman" w:cs="Times New Roman"/>
                <w:color w:val="auto"/>
                <w:sz w:val="24"/>
                <w:szCs w:val="22"/>
                <w:highlight w:val="none"/>
                <w:lang w:val="en-US" w:eastAsia="zh-CN"/>
              </w:rPr>
              <w:t>50</w:t>
            </w:r>
            <w:r>
              <w:rPr>
                <w:rFonts w:hint="default" w:ascii="Times New Roman" w:hAnsi="Times New Roman" w:cs="Times New Roman"/>
                <w:color w:val="auto"/>
                <w:sz w:val="24"/>
                <w:szCs w:val="22"/>
                <w:highlight w:val="none"/>
              </w:rPr>
              <w:t>万t/a，转运次数约为</w:t>
            </w:r>
            <w:r>
              <w:rPr>
                <w:rFonts w:hint="default" w:ascii="Times New Roman" w:hAnsi="Times New Roman" w:cs="Times New Roman"/>
                <w:color w:val="auto"/>
                <w:sz w:val="24"/>
                <w:szCs w:val="22"/>
                <w:highlight w:val="none"/>
                <w:lang w:val="en-US" w:eastAsia="zh-CN"/>
              </w:rPr>
              <w:t>16667</w:t>
            </w:r>
            <w:r>
              <w:rPr>
                <w:rFonts w:hint="default" w:ascii="Times New Roman" w:hAnsi="Times New Roman" w:cs="Times New Roman"/>
                <w:color w:val="auto"/>
                <w:sz w:val="24"/>
                <w:szCs w:val="22"/>
                <w:highlight w:val="none"/>
              </w:rPr>
              <w:t>次，则卸车粉尘量约为</w:t>
            </w:r>
            <w:r>
              <w:rPr>
                <w:rFonts w:hint="default" w:ascii="Times New Roman" w:hAnsi="Times New Roman" w:cs="Times New Roman"/>
                <w:color w:val="auto"/>
                <w:sz w:val="24"/>
                <w:szCs w:val="22"/>
                <w:highlight w:val="none"/>
                <w:lang w:val="en-US" w:eastAsia="zh-CN"/>
              </w:rPr>
              <w:t xml:space="preserve">68.08 </w:t>
            </w:r>
            <w:r>
              <w:rPr>
                <w:rFonts w:hint="default" w:ascii="Times New Roman" w:hAnsi="Times New Roman" w:cs="Times New Roman"/>
                <w:color w:val="auto"/>
                <w:sz w:val="24"/>
                <w:szCs w:val="22"/>
                <w:highlight w:val="none"/>
              </w:rPr>
              <w:t>kg/a。</w:t>
            </w:r>
          </w:p>
          <w:p w14:paraId="47F3153E">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rPr>
              <w:t>.堆存粉尘</w:t>
            </w:r>
          </w:p>
          <w:p w14:paraId="5FB46768">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根据现场调查，厂区内成品堆场</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sz w:val="24"/>
                <w:highlight w:val="none"/>
              </w:rPr>
              <w:t>三面封闭+顶棚处理。采取</w:t>
            </w:r>
            <w:r>
              <w:rPr>
                <w:rFonts w:hint="default" w:ascii="Times New Roman" w:hAnsi="Times New Roman" w:cs="Times New Roman"/>
                <w:color w:val="auto"/>
                <w:sz w:val="24"/>
                <w:highlight w:val="none"/>
                <w:lang w:val="en-US" w:eastAsia="zh-CN"/>
              </w:rPr>
              <w:t>该</w:t>
            </w:r>
            <w:r>
              <w:rPr>
                <w:rFonts w:hint="default" w:ascii="Times New Roman" w:hAnsi="Times New Roman" w:cs="Times New Roman"/>
                <w:color w:val="auto"/>
                <w:sz w:val="24"/>
                <w:highlight w:val="none"/>
              </w:rPr>
              <w:t>措施后，物料堆存粉尘产生量较小，且在堆存区内自然沉降，故本次不进行堆存过程粉尘的定量计算。</w:t>
            </w:r>
          </w:p>
          <w:p w14:paraId="73BA6AB0">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综上，</w:t>
            </w:r>
            <w:r>
              <w:rPr>
                <w:rFonts w:hint="default" w:ascii="Times New Roman" w:hAnsi="Times New Roman" w:cs="Times New Roman"/>
                <w:color w:val="auto"/>
                <w:kern w:val="0"/>
                <w:sz w:val="24"/>
                <w:highlight w:val="none"/>
              </w:rPr>
              <w:t>彩砂生产线</w:t>
            </w:r>
            <w:r>
              <w:rPr>
                <w:rFonts w:hint="default" w:ascii="Times New Roman" w:hAnsi="Times New Roman" w:cs="Times New Roman"/>
                <w:color w:val="auto"/>
                <w:sz w:val="24"/>
                <w:highlight w:val="none"/>
              </w:rPr>
              <w:t>物料装卸、堆存粉尘合计产生量约0.</w:t>
            </w:r>
            <w:r>
              <w:rPr>
                <w:rFonts w:hint="default" w:ascii="Times New Roman" w:hAnsi="Times New Roman" w:cs="Times New Roman"/>
                <w:color w:val="auto"/>
                <w:sz w:val="24"/>
                <w:highlight w:val="none"/>
                <w:lang w:val="en-US" w:eastAsia="zh-CN"/>
              </w:rPr>
              <w:t xml:space="preserve">443 </w:t>
            </w:r>
            <w:r>
              <w:rPr>
                <w:rFonts w:hint="default" w:ascii="Times New Roman" w:hAnsi="Times New Roman" w:cs="Times New Roman"/>
                <w:color w:val="auto"/>
                <w:sz w:val="24"/>
                <w:highlight w:val="none"/>
              </w:rPr>
              <w:t>t/a。</w:t>
            </w:r>
          </w:p>
          <w:p w14:paraId="1F0327F4">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cs="Times New Roman"/>
                <w:color w:val="auto"/>
                <w:kern w:val="0"/>
                <w:sz w:val="24"/>
                <w:highlight w:val="none"/>
              </w:rPr>
              <w:t>物料装车</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卸车在</w:t>
            </w:r>
            <w:r>
              <w:rPr>
                <w:rFonts w:hint="default" w:ascii="Times New Roman" w:hAnsi="Times New Roman" w:cs="Times New Roman"/>
                <w:color w:val="auto"/>
                <w:kern w:val="0"/>
                <w:sz w:val="24"/>
                <w:highlight w:val="none"/>
                <w:lang w:val="en-US" w:eastAsia="zh-CN"/>
              </w:rPr>
              <w:t>半</w:t>
            </w:r>
            <w:r>
              <w:rPr>
                <w:rFonts w:hint="default" w:ascii="Times New Roman" w:hAnsi="Times New Roman" w:cs="Times New Roman"/>
                <w:color w:val="auto"/>
                <w:kern w:val="0"/>
                <w:sz w:val="24"/>
                <w:highlight w:val="none"/>
              </w:rPr>
              <w:t>封闭</w:t>
            </w:r>
            <w:r>
              <w:rPr>
                <w:rFonts w:hint="default" w:ascii="Times New Roman" w:hAnsi="Times New Roman" w:cs="Times New Roman"/>
                <w:color w:val="auto"/>
                <w:kern w:val="0"/>
                <w:sz w:val="24"/>
                <w:highlight w:val="none"/>
                <w:lang w:val="en-US" w:eastAsia="zh-CN"/>
              </w:rPr>
              <w:t>堆场</w:t>
            </w:r>
            <w:r>
              <w:rPr>
                <w:rFonts w:hint="default" w:ascii="Times New Roman" w:hAnsi="Times New Roman" w:cs="Times New Roman"/>
                <w:color w:val="auto"/>
                <w:kern w:val="0"/>
                <w:sz w:val="24"/>
                <w:highlight w:val="none"/>
              </w:rPr>
              <w:t>内（</w:t>
            </w:r>
            <w:r>
              <w:rPr>
                <w:rFonts w:hint="default" w:ascii="Times New Roman" w:hAnsi="Times New Roman" w:cs="Times New Roman"/>
                <w:color w:val="auto"/>
                <w:kern w:val="0"/>
                <w:sz w:val="24"/>
                <w:highlight w:val="none"/>
                <w:lang w:val="en-US" w:eastAsia="zh-CN"/>
              </w:rPr>
              <w:t>三面围挡+顶棚</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28"/>
                <w:sz w:val="24"/>
                <w:szCs w:val="22"/>
                <w:highlight w:val="none"/>
              </w:rPr>
              <w:t>。</w:t>
            </w:r>
            <w:r>
              <w:rPr>
                <w:rFonts w:hint="default" w:ascii="Times New Roman" w:hAnsi="Times New Roman" w:cs="Times New Roman"/>
                <w:color w:val="auto"/>
                <w:sz w:val="24"/>
                <w:highlight w:val="none"/>
              </w:rPr>
              <w:t>根据《固体物料堆存颗粒物产排污核算系数手册》附录5堆场类型控制效率可知，密闭式控制效率为99%（由于</w:t>
            </w:r>
            <w:r>
              <w:rPr>
                <w:rFonts w:hint="default" w:ascii="Times New Roman" w:hAnsi="Times New Roman" w:cs="Times New Roman"/>
                <w:color w:val="auto"/>
                <w:sz w:val="24"/>
                <w:highlight w:val="none"/>
                <w:lang w:val="en-US" w:eastAsia="zh-CN"/>
              </w:rPr>
              <w:t>装卸料</w:t>
            </w:r>
            <w:r>
              <w:rPr>
                <w:rFonts w:hint="default" w:ascii="Times New Roman" w:hAnsi="Times New Roman" w:cs="Times New Roman"/>
                <w:color w:val="auto"/>
                <w:sz w:val="24"/>
                <w:highlight w:val="none"/>
              </w:rPr>
              <w:t>在封闭区间内，仅保留出入口，故本次按90%考虑），综合计算</w:t>
            </w:r>
            <w:r>
              <w:rPr>
                <w:rFonts w:hint="default" w:ascii="Times New Roman" w:hAnsi="Times New Roman" w:cs="Times New Roman"/>
                <w:color w:val="auto"/>
                <w:kern w:val="28"/>
                <w:sz w:val="24"/>
                <w:szCs w:val="22"/>
                <w:highlight w:val="none"/>
              </w:rPr>
              <w:t>装卸过程粉尘排放量约合0.</w:t>
            </w:r>
            <w:r>
              <w:rPr>
                <w:rFonts w:hint="default" w:ascii="Times New Roman" w:hAnsi="Times New Roman" w:cs="Times New Roman"/>
                <w:color w:val="auto"/>
                <w:kern w:val="28"/>
                <w:sz w:val="24"/>
                <w:szCs w:val="22"/>
                <w:highlight w:val="none"/>
                <w:lang w:val="en-US" w:eastAsia="zh-CN"/>
              </w:rPr>
              <w:t xml:space="preserve">0443 </w:t>
            </w:r>
            <w:r>
              <w:rPr>
                <w:rFonts w:hint="default" w:ascii="Times New Roman" w:hAnsi="Times New Roman" w:cs="Times New Roman"/>
                <w:color w:val="auto"/>
                <w:kern w:val="28"/>
                <w:sz w:val="24"/>
                <w:szCs w:val="22"/>
                <w:highlight w:val="none"/>
              </w:rPr>
              <w:t>t</w:t>
            </w:r>
            <w:r>
              <w:rPr>
                <w:rFonts w:hint="default" w:ascii="Times New Roman" w:hAnsi="Times New Roman" w:cs="Times New Roman"/>
                <w:color w:val="auto"/>
                <w:sz w:val="24"/>
                <w:highlight w:val="none"/>
              </w:rPr>
              <w:t>/a</w:t>
            </w:r>
            <w:r>
              <w:rPr>
                <w:rFonts w:hint="default" w:ascii="Times New Roman" w:hAnsi="Times New Roman" w:cs="Times New Roman"/>
                <w:color w:val="auto"/>
                <w:sz w:val="24"/>
                <w:szCs w:val="22"/>
                <w:highlight w:val="none"/>
              </w:rPr>
              <w:t>。</w:t>
            </w:r>
          </w:p>
          <w:p w14:paraId="24076567">
            <w:pPr>
              <w:adjustRightInd w:val="0"/>
              <w:snapToGrid w:val="0"/>
              <w:spacing w:line="360" w:lineRule="auto"/>
              <w:ind w:firstLine="482" w:firstLineChars="200"/>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rPr>
              <w:t>可行性分析：</w:t>
            </w:r>
            <w:r>
              <w:rPr>
                <w:rFonts w:hint="default" w:ascii="Times New Roman" w:hAnsi="Times New Roman" w:cs="Times New Roman"/>
                <w:color w:val="auto"/>
                <w:sz w:val="24"/>
                <w:highlight w:val="none"/>
              </w:rPr>
              <w:t>通过合理控制卸料高度、原料区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成品区</w:t>
            </w:r>
            <w:r>
              <w:rPr>
                <w:rFonts w:hint="default" w:ascii="Times New Roman" w:hAnsi="Times New Roman" w:cs="Times New Roman"/>
                <w:color w:val="auto"/>
                <w:sz w:val="24"/>
                <w:highlight w:val="none"/>
              </w:rPr>
              <w:t>采取三面封闭+顶棚处理，可有效控制物料装卸、堆存</w:t>
            </w:r>
            <w:r>
              <w:rPr>
                <w:rFonts w:hint="default" w:ascii="Times New Roman" w:hAnsi="Times New Roman" w:cs="Times New Roman"/>
                <w:color w:val="auto"/>
                <w:sz w:val="24"/>
                <w:highlight w:val="none"/>
                <w:lang w:val="en-US" w:eastAsia="zh-CN"/>
              </w:rPr>
              <w:t>过程</w:t>
            </w:r>
            <w:r>
              <w:rPr>
                <w:rFonts w:hint="default" w:ascii="Times New Roman" w:hAnsi="Times New Roman" w:cs="Times New Roman"/>
                <w:color w:val="auto"/>
                <w:sz w:val="24"/>
                <w:highlight w:val="none"/>
              </w:rPr>
              <w:t>粉尘产生量，对外环境影响不大，因此</w:t>
            </w:r>
            <w:r>
              <w:rPr>
                <w:rFonts w:hint="default" w:ascii="Times New Roman" w:hAnsi="Times New Roman" w:cs="Times New Roman"/>
                <w:color w:val="auto"/>
                <w:kern w:val="0"/>
                <w:sz w:val="24"/>
                <w:highlight w:val="none"/>
              </w:rPr>
              <w:t>彩砂生产线装卸及堆存过程粉尘</w:t>
            </w:r>
            <w:r>
              <w:rPr>
                <w:rFonts w:hint="default" w:ascii="Times New Roman" w:hAnsi="Times New Roman" w:cs="Times New Roman"/>
                <w:color w:val="auto"/>
                <w:sz w:val="24"/>
                <w:highlight w:val="none"/>
              </w:rPr>
              <w:t>采取上述环保措施可行。</w:t>
            </w:r>
          </w:p>
          <w:p w14:paraId="7EE00BDD">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）加工粉尘</w:t>
            </w:r>
          </w:p>
          <w:p w14:paraId="7E145844">
            <w:pPr>
              <w:adjustRightInd w:val="0"/>
              <w:snapToGrid w:val="0"/>
              <w:spacing w:line="360" w:lineRule="auto"/>
              <w:ind w:firstLine="482" w:firstLineChars="200"/>
              <w:jc w:val="both"/>
              <w:rPr>
                <w:rFonts w:hint="default" w:ascii="Times New Roman" w:hAnsi="Times New Roman" w:eastAsia="宋体" w:cs="Times New Roman"/>
                <w:kern w:val="0"/>
                <w:sz w:val="24"/>
                <w:highlight w:val="none"/>
              </w:rPr>
            </w:pPr>
            <w:r>
              <w:rPr>
                <w:rFonts w:hint="default" w:ascii="Times New Roman" w:hAnsi="Times New Roman" w:cs="Times New Roman"/>
                <w:b/>
                <w:bCs/>
                <w:color w:val="auto"/>
                <w:kern w:val="0"/>
                <w:sz w:val="24"/>
                <w:highlight w:val="none"/>
              </w:rPr>
              <w:t>排放情况：</w:t>
            </w:r>
            <w:r>
              <w:rPr>
                <w:rFonts w:hint="default" w:ascii="Times New Roman" w:hAnsi="Times New Roman" w:cs="Times New Roman"/>
                <w:kern w:val="0"/>
                <w:sz w:val="24"/>
                <w:highlight w:val="none"/>
                <w:lang w:val="en-US" w:eastAsia="zh-CN"/>
              </w:rPr>
              <w:t>本次参照</w:t>
            </w:r>
            <w:r>
              <w:rPr>
                <w:rFonts w:hint="default" w:ascii="Times New Roman" w:hAnsi="Times New Roman" w:cs="Times New Roman"/>
                <w:kern w:val="0"/>
                <w:sz w:val="24"/>
                <w:highlight w:val="none"/>
              </w:rPr>
              <w:t>《排放源统计调查产排污核算方法和系数手册》中“3039 其他建筑材料制造行业”，砂石骨料产品由矿石、建筑固体废弃物、尾矿等原料经破碎、筛分工艺的废气颗粒物产污系数为1.89 kg/t-产品。根据建设单位提供资料，</w:t>
            </w:r>
            <w:r>
              <w:rPr>
                <w:rFonts w:hint="default" w:ascii="Times New Roman" w:hAnsi="Times New Roman" w:eastAsia="宋体" w:cs="Times New Roman"/>
                <w:kern w:val="0"/>
                <w:sz w:val="24"/>
                <w:highlight w:val="none"/>
              </w:rPr>
              <w:t>本项目设计年加工</w:t>
            </w:r>
            <w:r>
              <w:rPr>
                <w:rFonts w:hint="default" w:ascii="Times New Roman" w:hAnsi="Times New Roman" w:eastAsia="宋体" w:cs="Times New Roman"/>
                <w:kern w:val="0"/>
                <w:sz w:val="24"/>
                <w:highlight w:val="none"/>
                <w:lang w:val="en-US" w:eastAsia="zh-CN"/>
              </w:rPr>
              <w:t>彩砂</w:t>
            </w:r>
            <w:r>
              <w:rPr>
                <w:rFonts w:hint="default" w:ascii="Times New Roman" w:hAnsi="Times New Roman" w:eastAsia="宋体" w:cs="Times New Roman"/>
                <w:kern w:val="0"/>
                <w:sz w:val="24"/>
                <w:highlight w:val="none"/>
              </w:rPr>
              <w:t>产品年产量约</w:t>
            </w:r>
            <w:r>
              <w:rPr>
                <w:rFonts w:hint="default" w:ascii="Times New Roman" w:hAnsi="Times New Roman" w:eastAsia="宋体" w:cs="Times New Roman"/>
                <w:kern w:val="0"/>
                <w:sz w:val="24"/>
                <w:highlight w:val="none"/>
                <w:lang w:val="en-US" w:eastAsia="zh-CN"/>
              </w:rPr>
              <w:t>50</w:t>
            </w:r>
            <w:r>
              <w:rPr>
                <w:rFonts w:hint="default" w:ascii="Times New Roman" w:hAnsi="Times New Roman" w:eastAsia="宋体" w:cs="Times New Roman"/>
                <w:kern w:val="0"/>
                <w:sz w:val="24"/>
                <w:highlight w:val="none"/>
              </w:rPr>
              <w:t>万t，则生产线粉尘产生量约为</w:t>
            </w:r>
            <w:r>
              <w:rPr>
                <w:rFonts w:hint="default" w:ascii="Times New Roman" w:hAnsi="Times New Roman" w:eastAsia="宋体" w:cs="Times New Roman"/>
                <w:kern w:val="0"/>
                <w:sz w:val="24"/>
                <w:highlight w:val="none"/>
                <w:lang w:val="en-US" w:eastAsia="zh-CN"/>
              </w:rPr>
              <w:t>945</w:t>
            </w:r>
            <w:r>
              <w:rPr>
                <w:rFonts w:hint="default" w:ascii="Times New Roman" w:hAnsi="Times New Roman" w:eastAsia="宋体" w:cs="Times New Roman"/>
                <w:kern w:val="0"/>
                <w:sz w:val="24"/>
                <w:highlight w:val="none"/>
              </w:rPr>
              <w:t xml:space="preserve"> t/a。</w:t>
            </w:r>
          </w:p>
          <w:p w14:paraId="6F7BB489">
            <w:pPr>
              <w:adjustRightInd w:val="0"/>
              <w:snapToGrid w:val="0"/>
              <w:spacing w:line="360" w:lineRule="auto"/>
              <w:ind w:firstLine="480" w:firstLineChars="200"/>
              <w:jc w:val="both"/>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治理措施：</w:t>
            </w:r>
            <w:r>
              <w:rPr>
                <w:rFonts w:hint="default" w:ascii="Times New Roman" w:hAnsi="Times New Roman" w:eastAsia="宋体" w:cs="Times New Roman"/>
                <w:kern w:val="0"/>
                <w:sz w:val="24"/>
                <w:highlight w:val="none"/>
                <w:lang w:val="en-US" w:eastAsia="zh-CN"/>
              </w:rPr>
              <w:t>彩砂</w:t>
            </w:r>
            <w:r>
              <w:rPr>
                <w:rFonts w:hint="default" w:ascii="Times New Roman" w:hAnsi="Times New Roman" w:eastAsia="宋体" w:cs="Times New Roman"/>
                <w:kern w:val="0"/>
                <w:sz w:val="24"/>
                <w:highlight w:val="none"/>
              </w:rPr>
              <w:t>生产车间</w:t>
            </w:r>
            <w:r>
              <w:rPr>
                <w:rFonts w:hint="default" w:ascii="Times New Roman" w:hAnsi="Times New Roman" w:eastAsia="宋体" w:cs="Times New Roman"/>
                <w:kern w:val="0"/>
                <w:sz w:val="24"/>
                <w:highlight w:val="none"/>
                <w:lang w:val="en-US" w:eastAsia="zh-CN"/>
              </w:rPr>
              <w:t>为封闭车间（保留进出口），</w:t>
            </w:r>
            <w:r>
              <w:rPr>
                <w:rFonts w:hint="default" w:ascii="Times New Roman" w:hAnsi="Times New Roman" w:eastAsia="宋体" w:cs="Times New Roman"/>
                <w:kern w:val="0"/>
                <w:sz w:val="24"/>
                <w:highlight w:val="none"/>
              </w:rPr>
              <w:t>各产尘点均布置有集气设施，统一收集后</w:t>
            </w:r>
            <w:r>
              <w:rPr>
                <w:rFonts w:hint="default" w:ascii="Times New Roman" w:hAnsi="Times New Roman" w:eastAsia="宋体" w:cs="Times New Roman"/>
                <w:kern w:val="0"/>
                <w:sz w:val="24"/>
                <w:highlight w:val="none"/>
                <w:lang w:eastAsia="zh-CN"/>
              </w:rPr>
              <w:t>（</w:t>
            </w:r>
            <w:r>
              <w:rPr>
                <w:rFonts w:hint="default" w:ascii="Times New Roman" w:hAnsi="Times New Roman" w:eastAsia="宋体" w:cs="Times New Roman"/>
                <w:kern w:val="0"/>
                <w:sz w:val="24"/>
                <w:highlight w:val="none"/>
              </w:rPr>
              <w:t>收集效率</w:t>
            </w:r>
            <w:r>
              <w:rPr>
                <w:rFonts w:hint="default" w:ascii="Times New Roman" w:hAnsi="Times New Roman" w:eastAsia="宋体" w:cs="Times New Roman"/>
                <w:kern w:val="0"/>
                <w:sz w:val="24"/>
                <w:highlight w:val="none"/>
                <w:lang w:val="en-US" w:eastAsia="zh-CN"/>
              </w:rPr>
              <w:t>取</w:t>
            </w:r>
            <w:r>
              <w:rPr>
                <w:rFonts w:hint="default" w:ascii="Times New Roman" w:hAnsi="Times New Roman" w:eastAsia="宋体" w:cs="Times New Roman"/>
                <w:kern w:val="0"/>
                <w:sz w:val="24"/>
                <w:highlight w:val="none"/>
              </w:rPr>
              <w:t>9</w:t>
            </w:r>
            <w:r>
              <w:rPr>
                <w:rFonts w:hint="default" w:ascii="Times New Roman" w:hAnsi="Times New Roman" w:eastAsia="宋体" w:cs="Times New Roman"/>
                <w:kern w:val="0"/>
                <w:sz w:val="24"/>
                <w:highlight w:val="none"/>
                <w:lang w:val="en-US" w:eastAsia="zh-CN"/>
              </w:rPr>
              <w:t>5</w:t>
            </w:r>
            <w:r>
              <w:rPr>
                <w:rFonts w:hint="default" w:ascii="Times New Roman" w:hAnsi="Times New Roman" w:eastAsia="宋体" w:cs="Times New Roman"/>
                <w:kern w:val="0"/>
                <w:sz w:val="24"/>
                <w:highlight w:val="none"/>
              </w:rPr>
              <w:t>%</w:t>
            </w:r>
            <w:r>
              <w:rPr>
                <w:rFonts w:hint="default" w:ascii="Times New Roman" w:hAnsi="Times New Roman" w:eastAsia="宋体" w:cs="Times New Roman"/>
                <w:kern w:val="0"/>
                <w:sz w:val="24"/>
                <w:highlight w:val="none"/>
                <w:lang w:eastAsia="zh-CN"/>
              </w:rPr>
              <w:t>）</w:t>
            </w:r>
            <w:r>
              <w:rPr>
                <w:rFonts w:hint="default" w:ascii="Times New Roman" w:hAnsi="Times New Roman" w:eastAsia="宋体" w:cs="Times New Roman"/>
                <w:kern w:val="0"/>
                <w:sz w:val="24"/>
                <w:highlight w:val="none"/>
              </w:rPr>
              <w:t>经车间中央布袋除尘器处理后通过1根1</w:t>
            </w:r>
            <w:r>
              <w:rPr>
                <w:rFonts w:hint="default" w:ascii="Times New Roman" w:hAnsi="Times New Roman" w:cs="Times New Roman"/>
                <w:kern w:val="0"/>
                <w:sz w:val="24"/>
                <w:highlight w:val="none"/>
                <w:lang w:val="en-US" w:eastAsia="zh-CN"/>
              </w:rPr>
              <w:t>7</w:t>
            </w:r>
            <w:r>
              <w:rPr>
                <w:rFonts w:hint="default" w:ascii="Times New Roman" w:hAnsi="Times New Roman" w:eastAsia="宋体" w:cs="Times New Roman"/>
                <w:kern w:val="0"/>
                <w:sz w:val="24"/>
                <w:highlight w:val="none"/>
              </w:rPr>
              <w:t>m排气筒（DA00</w:t>
            </w:r>
            <w:r>
              <w:rPr>
                <w:rFonts w:hint="default" w:ascii="Times New Roman" w:hAnsi="Times New Roman" w:eastAsia="宋体" w:cs="Times New Roman"/>
                <w:kern w:val="0"/>
                <w:sz w:val="24"/>
                <w:highlight w:val="none"/>
                <w:lang w:val="en-US" w:eastAsia="zh-CN"/>
              </w:rPr>
              <w:t>2</w:t>
            </w:r>
            <w:r>
              <w:rPr>
                <w:rFonts w:hint="default" w:ascii="Times New Roman" w:hAnsi="Times New Roman" w:eastAsia="宋体" w:cs="Times New Roman"/>
                <w:kern w:val="0"/>
                <w:sz w:val="24"/>
                <w:highlight w:val="none"/>
              </w:rPr>
              <w:t>）排放。</w:t>
            </w:r>
          </w:p>
          <w:p w14:paraId="3E85DC52">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color w:val="auto"/>
                <w:highlight w:val="none"/>
              </w:rPr>
            </w:pPr>
            <w:r>
              <w:rPr>
                <w:rFonts w:hint="default" w:ascii="Times New Roman" w:hAnsi="Times New Roman" w:cs="Times New Roman"/>
                <w:b/>
                <w:bCs/>
                <w:color w:val="auto"/>
                <w:kern w:val="0"/>
                <w:szCs w:val="21"/>
                <w:highlight w:val="none"/>
              </w:rPr>
              <w:t>表4-</w:t>
            </w:r>
            <w:r>
              <w:rPr>
                <w:rFonts w:hint="default" w:ascii="Times New Roman" w:hAnsi="Times New Roman" w:cs="Times New Roman"/>
                <w:b/>
                <w:bCs/>
                <w:color w:val="auto"/>
                <w:kern w:val="0"/>
                <w:szCs w:val="21"/>
                <w:highlight w:val="none"/>
                <w:lang w:val="en-US" w:eastAsia="zh-CN"/>
              </w:rPr>
              <w:t>3</w:t>
            </w:r>
            <w:r>
              <w:rPr>
                <w:rFonts w:hint="default" w:ascii="Times New Roman" w:hAnsi="Times New Roman" w:cs="Times New Roman"/>
                <w:b/>
                <w:bCs/>
                <w:color w:val="auto"/>
                <w:kern w:val="0"/>
                <w:szCs w:val="21"/>
                <w:highlight w:val="none"/>
              </w:rPr>
              <w:t xml:space="preserve"> </w:t>
            </w:r>
            <w:r>
              <w:rPr>
                <w:rFonts w:hint="default" w:ascii="Times New Roman" w:hAnsi="Times New Roman" w:cs="Times New Roman"/>
                <w:b/>
                <w:bCs/>
                <w:color w:val="auto"/>
                <w:kern w:val="0"/>
                <w:szCs w:val="21"/>
                <w:highlight w:val="none"/>
                <w:lang w:val="en-US" w:eastAsia="zh-CN"/>
              </w:rPr>
              <w:t xml:space="preserve"> 彩砂</w:t>
            </w:r>
            <w:r>
              <w:rPr>
                <w:rFonts w:hint="default" w:ascii="Times New Roman" w:hAnsi="Times New Roman" w:cs="Times New Roman"/>
                <w:b/>
                <w:bCs/>
                <w:color w:val="auto"/>
                <w:kern w:val="0"/>
                <w:szCs w:val="21"/>
                <w:highlight w:val="none"/>
              </w:rPr>
              <w:t>生产线加工粉尘产排情况一览表</w:t>
            </w:r>
          </w:p>
          <w:tbl>
            <w:tblPr>
              <w:tblStyle w:val="32"/>
              <w:tblW w:w="85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3"/>
              <w:gridCol w:w="715"/>
              <w:gridCol w:w="754"/>
              <w:gridCol w:w="706"/>
              <w:gridCol w:w="896"/>
              <w:gridCol w:w="1403"/>
              <w:gridCol w:w="785"/>
              <w:gridCol w:w="662"/>
              <w:gridCol w:w="912"/>
              <w:gridCol w:w="908"/>
            </w:tblGrid>
            <w:tr w14:paraId="61428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3" w:type="pct"/>
                  <w:vAlign w:val="center"/>
                </w:tcPr>
                <w:p w14:paraId="4FE4CF3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生产线</w:t>
                  </w:r>
                </w:p>
              </w:tc>
              <w:tc>
                <w:tcPr>
                  <w:tcW w:w="419" w:type="pct"/>
                  <w:vAlign w:val="center"/>
                </w:tcPr>
                <w:p w14:paraId="045B089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污染物</w:t>
                  </w:r>
                </w:p>
              </w:tc>
              <w:tc>
                <w:tcPr>
                  <w:tcW w:w="442" w:type="pct"/>
                  <w:vAlign w:val="center"/>
                </w:tcPr>
                <w:p w14:paraId="3D418CE3">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产污系数</w:t>
                  </w:r>
                </w:p>
              </w:tc>
              <w:tc>
                <w:tcPr>
                  <w:tcW w:w="414" w:type="pct"/>
                  <w:vAlign w:val="center"/>
                </w:tcPr>
                <w:p w14:paraId="0C24205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产生量</w:t>
                  </w:r>
                </w:p>
              </w:tc>
              <w:tc>
                <w:tcPr>
                  <w:tcW w:w="526" w:type="pct"/>
                  <w:vAlign w:val="center"/>
                </w:tcPr>
                <w:p w14:paraId="31B6DF4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治理措施</w:t>
                  </w:r>
                </w:p>
              </w:tc>
              <w:tc>
                <w:tcPr>
                  <w:tcW w:w="823" w:type="pct"/>
                  <w:vAlign w:val="center"/>
                </w:tcPr>
                <w:p w14:paraId="45BE8F9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处理效率</w:t>
                  </w:r>
                </w:p>
              </w:tc>
              <w:tc>
                <w:tcPr>
                  <w:tcW w:w="461" w:type="pct"/>
                  <w:vAlign w:val="center"/>
                </w:tcPr>
                <w:p w14:paraId="1FD5EE36">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排放形式</w:t>
                  </w:r>
                </w:p>
              </w:tc>
              <w:tc>
                <w:tcPr>
                  <w:tcW w:w="388" w:type="pct"/>
                  <w:vAlign w:val="center"/>
                </w:tcPr>
                <w:p w14:paraId="55380DE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排放量</w:t>
                  </w:r>
                  <w:r>
                    <w:rPr>
                      <w:rFonts w:hint="default" w:ascii="Times New Roman" w:hAnsi="Times New Roman" w:cs="Times New Roman"/>
                      <w:color w:val="auto"/>
                      <w:highlight w:val="none"/>
                    </w:rPr>
                    <w:t>t/a</w:t>
                  </w:r>
                </w:p>
              </w:tc>
              <w:tc>
                <w:tcPr>
                  <w:tcW w:w="535" w:type="pct"/>
                  <w:vAlign w:val="center"/>
                </w:tcPr>
                <w:p w14:paraId="201FD96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排放速率kg/h</w:t>
                  </w:r>
                </w:p>
              </w:tc>
              <w:tc>
                <w:tcPr>
                  <w:tcW w:w="533" w:type="pct"/>
                  <w:vAlign w:val="center"/>
                </w:tcPr>
                <w:p w14:paraId="0E953E5F">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排放浓度mg/m</w:t>
                  </w:r>
                  <w:r>
                    <w:rPr>
                      <w:rFonts w:hint="default" w:ascii="Times New Roman" w:hAnsi="Times New Roman" w:cs="Times New Roman"/>
                      <w:color w:val="auto"/>
                      <w:kern w:val="0"/>
                      <w:szCs w:val="21"/>
                      <w:highlight w:val="none"/>
                      <w:vertAlign w:val="superscript"/>
                    </w:rPr>
                    <w:t>3</w:t>
                  </w:r>
                </w:p>
              </w:tc>
            </w:tr>
            <w:tr w14:paraId="64E97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7" w:hRule="atLeast"/>
                <w:jc w:val="center"/>
              </w:trPr>
              <w:tc>
                <w:tcPr>
                  <w:tcW w:w="453" w:type="pct"/>
                  <w:vMerge w:val="restart"/>
                  <w:vAlign w:val="center"/>
                </w:tcPr>
                <w:p w14:paraId="68E4AF84">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彩砂</w:t>
                  </w:r>
                  <w:r>
                    <w:rPr>
                      <w:rFonts w:hint="default" w:ascii="Times New Roman" w:hAnsi="Times New Roman" w:cs="Times New Roman"/>
                      <w:color w:val="auto"/>
                      <w:szCs w:val="21"/>
                      <w:highlight w:val="none"/>
                    </w:rPr>
                    <w:t>生产线</w:t>
                  </w:r>
                </w:p>
              </w:tc>
              <w:tc>
                <w:tcPr>
                  <w:tcW w:w="419" w:type="pct"/>
                  <w:vAlign w:val="center"/>
                </w:tcPr>
                <w:p w14:paraId="5F988F7C">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工业废气量</w:t>
                  </w:r>
                </w:p>
              </w:tc>
              <w:tc>
                <w:tcPr>
                  <w:tcW w:w="442" w:type="pct"/>
                  <w:vAlign w:val="center"/>
                </w:tcPr>
                <w:p w14:paraId="0B22E7FD">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1215标立方米/吨</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产品</w:t>
                  </w:r>
                </w:p>
              </w:tc>
              <w:tc>
                <w:tcPr>
                  <w:tcW w:w="414" w:type="pct"/>
                  <w:vAlign w:val="center"/>
                </w:tcPr>
                <w:p w14:paraId="2BCF830B">
                  <w:pPr>
                    <w:widowControl/>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6.075×10</w:t>
                  </w:r>
                  <w:r>
                    <w:rPr>
                      <w:rFonts w:hint="default" w:ascii="Times New Roman" w:hAnsi="Times New Roman" w:cs="Times New Roman"/>
                      <w:color w:val="auto"/>
                      <w:szCs w:val="21"/>
                      <w:highlight w:val="none"/>
                      <w:vertAlign w:val="superscript"/>
                      <w:lang w:val="en-US" w:eastAsia="zh-CN"/>
                    </w:rPr>
                    <w:t>8</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/a</w:t>
                  </w:r>
                </w:p>
              </w:tc>
              <w:tc>
                <w:tcPr>
                  <w:tcW w:w="526" w:type="pct"/>
                  <w:vAlign w:val="center"/>
                </w:tcPr>
                <w:p w14:paraId="10621974">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823" w:type="pct"/>
                  <w:vAlign w:val="center"/>
                </w:tcPr>
                <w:p w14:paraId="1BBEF263">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461" w:type="pct"/>
                  <w:vAlign w:val="center"/>
                </w:tcPr>
                <w:p w14:paraId="78DD1CB7">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388" w:type="pct"/>
                  <w:vAlign w:val="center"/>
                </w:tcPr>
                <w:p w14:paraId="0FB6F40C">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535" w:type="pct"/>
                  <w:vAlign w:val="center"/>
                </w:tcPr>
                <w:p w14:paraId="58F3437B">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533" w:type="pct"/>
                  <w:vAlign w:val="center"/>
                </w:tcPr>
                <w:p w14:paraId="40A0815E">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r>
            <w:tr w14:paraId="55384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453" w:type="pct"/>
                  <w:vMerge w:val="continue"/>
                  <w:vAlign w:val="center"/>
                </w:tcPr>
                <w:p w14:paraId="00130A76">
                  <w:pPr>
                    <w:snapToGrid w:val="0"/>
                    <w:jc w:val="center"/>
                    <w:rPr>
                      <w:rFonts w:hint="default" w:ascii="Times New Roman" w:hAnsi="Times New Roman" w:cs="Times New Roman"/>
                      <w:color w:val="auto"/>
                      <w:szCs w:val="21"/>
                      <w:highlight w:val="none"/>
                    </w:rPr>
                  </w:pPr>
                </w:p>
              </w:tc>
              <w:tc>
                <w:tcPr>
                  <w:tcW w:w="419" w:type="pct"/>
                  <w:vMerge w:val="restart"/>
                  <w:vAlign w:val="center"/>
                </w:tcPr>
                <w:p w14:paraId="3BF33FA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粉尘</w:t>
                  </w:r>
                </w:p>
              </w:tc>
              <w:tc>
                <w:tcPr>
                  <w:tcW w:w="442" w:type="pct"/>
                  <w:vMerge w:val="restart"/>
                  <w:vAlign w:val="center"/>
                </w:tcPr>
                <w:p w14:paraId="187BCA43">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1.89 </w:t>
                  </w:r>
                  <w:r>
                    <w:rPr>
                      <w:rFonts w:hint="default" w:ascii="Times New Roman" w:hAnsi="Times New Roman" w:cs="Times New Roman"/>
                      <w:kern w:val="0"/>
                      <w:sz w:val="24"/>
                      <w:highlight w:val="none"/>
                    </w:rPr>
                    <w:t>kg/t-产品</w:t>
                  </w:r>
                </w:p>
              </w:tc>
              <w:tc>
                <w:tcPr>
                  <w:tcW w:w="414" w:type="pct"/>
                  <w:vMerge w:val="restart"/>
                  <w:vAlign w:val="center"/>
                </w:tcPr>
                <w:p w14:paraId="20F96FDA">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945</w:t>
                  </w:r>
                  <w:r>
                    <w:rPr>
                      <w:rFonts w:hint="default" w:ascii="Times New Roman" w:hAnsi="Times New Roman" w:cs="Times New Roman"/>
                      <w:color w:val="auto"/>
                      <w:kern w:val="0"/>
                      <w:szCs w:val="21"/>
                      <w:highlight w:val="none"/>
                    </w:rPr>
                    <w:t>t/a</w:t>
                  </w:r>
                </w:p>
              </w:tc>
              <w:tc>
                <w:tcPr>
                  <w:tcW w:w="526" w:type="pct"/>
                  <w:vMerge w:val="restart"/>
                  <w:vAlign w:val="center"/>
                </w:tcPr>
                <w:p w14:paraId="5B1A6C19">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集尘设施</w:t>
                  </w:r>
                </w:p>
                <w:p w14:paraId="6F907619">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+袋式除尘器</w:t>
                  </w:r>
                </w:p>
              </w:tc>
              <w:tc>
                <w:tcPr>
                  <w:tcW w:w="823" w:type="pct"/>
                  <w:vAlign w:val="center"/>
                </w:tcPr>
                <w:p w14:paraId="5A67D42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集气效率为9</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%，除尘效率为99%</w:t>
                  </w:r>
                </w:p>
              </w:tc>
              <w:tc>
                <w:tcPr>
                  <w:tcW w:w="461" w:type="pct"/>
                  <w:vAlign w:val="center"/>
                </w:tcPr>
                <w:p w14:paraId="1FBD3E6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有组织</w:t>
                  </w:r>
                </w:p>
              </w:tc>
              <w:tc>
                <w:tcPr>
                  <w:tcW w:w="388" w:type="pct"/>
                  <w:vAlign w:val="center"/>
                </w:tcPr>
                <w:p w14:paraId="0B93415F">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8.978</w:t>
                  </w:r>
                </w:p>
              </w:tc>
              <w:tc>
                <w:tcPr>
                  <w:tcW w:w="535" w:type="pct"/>
                  <w:vAlign w:val="center"/>
                </w:tcPr>
                <w:p w14:paraId="64F5A864">
                  <w:pPr>
                    <w:keepNext w:val="0"/>
                    <w:keepLines w:val="0"/>
                    <w:widowControl/>
                    <w:suppressLineNumbers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1.870</w:t>
                  </w:r>
                </w:p>
              </w:tc>
              <w:tc>
                <w:tcPr>
                  <w:tcW w:w="533" w:type="pct"/>
                  <w:vAlign w:val="center"/>
                </w:tcPr>
                <w:p w14:paraId="1083760B">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14.778</w:t>
                  </w:r>
                </w:p>
              </w:tc>
            </w:tr>
            <w:tr w14:paraId="506C0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3" w:type="pct"/>
                  <w:vMerge w:val="continue"/>
                  <w:vAlign w:val="center"/>
                </w:tcPr>
                <w:p w14:paraId="60DB04DB">
                  <w:pPr>
                    <w:snapToGrid w:val="0"/>
                    <w:jc w:val="center"/>
                    <w:rPr>
                      <w:rFonts w:hint="default" w:ascii="Times New Roman" w:hAnsi="Times New Roman" w:cs="Times New Roman"/>
                      <w:color w:val="auto"/>
                      <w:szCs w:val="21"/>
                      <w:highlight w:val="none"/>
                      <w:lang w:val="en-US" w:eastAsia="zh-CN"/>
                    </w:rPr>
                  </w:pPr>
                </w:p>
              </w:tc>
              <w:tc>
                <w:tcPr>
                  <w:tcW w:w="419" w:type="pct"/>
                  <w:vMerge w:val="continue"/>
                  <w:vAlign w:val="center"/>
                </w:tcPr>
                <w:p w14:paraId="6405B471">
                  <w:pPr>
                    <w:widowControl/>
                    <w:jc w:val="center"/>
                    <w:rPr>
                      <w:rFonts w:hint="default" w:ascii="Times New Roman" w:hAnsi="Times New Roman" w:cs="Times New Roman"/>
                      <w:color w:val="auto"/>
                      <w:szCs w:val="21"/>
                      <w:highlight w:val="none"/>
                    </w:rPr>
                  </w:pPr>
                </w:p>
              </w:tc>
              <w:tc>
                <w:tcPr>
                  <w:tcW w:w="442" w:type="pct"/>
                  <w:vMerge w:val="continue"/>
                  <w:vAlign w:val="center"/>
                </w:tcPr>
                <w:p w14:paraId="62E723C9">
                  <w:pPr>
                    <w:widowControl/>
                    <w:jc w:val="center"/>
                    <w:rPr>
                      <w:rFonts w:hint="default" w:ascii="Times New Roman" w:hAnsi="Times New Roman" w:cs="Times New Roman"/>
                      <w:color w:val="auto"/>
                      <w:kern w:val="0"/>
                      <w:szCs w:val="21"/>
                      <w:highlight w:val="none"/>
                      <w:lang w:val="en-US" w:eastAsia="zh-CN"/>
                    </w:rPr>
                  </w:pPr>
                </w:p>
              </w:tc>
              <w:tc>
                <w:tcPr>
                  <w:tcW w:w="414" w:type="pct"/>
                  <w:vMerge w:val="continue"/>
                  <w:vAlign w:val="center"/>
                </w:tcPr>
                <w:p w14:paraId="39325DF7">
                  <w:pPr>
                    <w:widowControl/>
                    <w:jc w:val="center"/>
                    <w:rPr>
                      <w:rFonts w:hint="default" w:ascii="Times New Roman" w:hAnsi="Times New Roman" w:cs="Times New Roman"/>
                      <w:color w:val="auto"/>
                      <w:kern w:val="0"/>
                      <w:szCs w:val="21"/>
                      <w:highlight w:val="none"/>
                      <w:lang w:val="en-US" w:eastAsia="zh-CN"/>
                    </w:rPr>
                  </w:pPr>
                </w:p>
              </w:tc>
              <w:tc>
                <w:tcPr>
                  <w:tcW w:w="526" w:type="pct"/>
                  <w:vMerge w:val="continue"/>
                  <w:vAlign w:val="center"/>
                </w:tcPr>
                <w:p w14:paraId="71F31375">
                  <w:pPr>
                    <w:snapToGrid w:val="0"/>
                    <w:jc w:val="center"/>
                    <w:rPr>
                      <w:rFonts w:hint="default" w:ascii="Times New Roman" w:hAnsi="Times New Roman" w:cs="Times New Roman"/>
                      <w:color w:val="auto"/>
                      <w:szCs w:val="21"/>
                      <w:highlight w:val="none"/>
                    </w:rPr>
                  </w:pPr>
                </w:p>
              </w:tc>
              <w:tc>
                <w:tcPr>
                  <w:tcW w:w="823" w:type="pct"/>
                  <w:vAlign w:val="center"/>
                </w:tcPr>
                <w:p w14:paraId="056B8315">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封闭车间（保留进出口）</w:t>
                  </w:r>
                  <w:r>
                    <w:rPr>
                      <w:rFonts w:hint="default" w:ascii="Times New Roman" w:hAnsi="Times New Roman" w:cs="Times New Roman"/>
                      <w:szCs w:val="21"/>
                      <w:highlight w:val="none"/>
                    </w:rPr>
                    <w:t>阻隔效率</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0%</w:t>
                  </w:r>
                </w:p>
              </w:tc>
              <w:tc>
                <w:tcPr>
                  <w:tcW w:w="461" w:type="pct"/>
                  <w:vAlign w:val="center"/>
                </w:tcPr>
                <w:p w14:paraId="3031801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无组织</w:t>
                  </w:r>
                </w:p>
              </w:tc>
              <w:tc>
                <w:tcPr>
                  <w:tcW w:w="388" w:type="pct"/>
                  <w:vAlign w:val="center"/>
                </w:tcPr>
                <w:p w14:paraId="1BE84720">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4.725</w:t>
                  </w:r>
                </w:p>
              </w:tc>
              <w:tc>
                <w:tcPr>
                  <w:tcW w:w="535" w:type="pct"/>
                  <w:vAlign w:val="center"/>
                </w:tcPr>
                <w:p w14:paraId="55444A87">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0.984</w:t>
                  </w:r>
                </w:p>
              </w:tc>
              <w:tc>
                <w:tcPr>
                  <w:tcW w:w="533" w:type="pct"/>
                  <w:vAlign w:val="center"/>
                </w:tcPr>
                <w:p w14:paraId="63B7F043">
                  <w:pPr>
                    <w:jc w:val="center"/>
                    <w:rPr>
                      <w:rFonts w:hint="default" w:ascii="Times New Roman" w:hAnsi="Times New Roman" w:eastAsia="宋体" w:cs="Times New Roman"/>
                      <w:color w:val="auto"/>
                      <w:kern w:val="0"/>
                      <w:szCs w:val="21"/>
                      <w:highlight w:val="none"/>
                      <w:lang w:val="en-US" w:eastAsia="zh-CN"/>
                    </w:rPr>
                  </w:pPr>
                </w:p>
              </w:tc>
            </w:tr>
          </w:tbl>
          <w:p w14:paraId="43642AF3">
            <w:pPr>
              <w:pStyle w:val="41"/>
              <w:spacing w:line="36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可行性分析：</w:t>
            </w:r>
            <w:r>
              <w:rPr>
                <w:rFonts w:hint="default" w:ascii="Times New Roman" w:hAnsi="Times New Roman" w:cs="Times New Roman"/>
                <w:color w:val="auto"/>
                <w:highlight w:val="none"/>
              </w:rPr>
              <w:t>由于本行业无《排污许可申请与核发技术规范》相关规定，参照《排放源统计调查产排污核算方法和系数手册》（生态环境部）中“3039其他建筑材料制造行业”，岩石、矿石、建筑固体废弃物等破碎、筛分工艺中采用袋式除尘技术</w:t>
            </w:r>
            <w:r>
              <w:rPr>
                <w:rFonts w:hint="default" w:ascii="Times New Roman" w:hAnsi="Times New Roman" w:cs="Times New Roman"/>
                <w:color w:val="auto"/>
                <w:highlight w:val="none"/>
                <w:lang w:val="en-US" w:eastAsia="zh-CN"/>
              </w:rPr>
              <w:t>除尘</w:t>
            </w:r>
            <w:r>
              <w:rPr>
                <w:rFonts w:hint="default" w:ascii="Times New Roman" w:hAnsi="Times New Roman" w:cs="Times New Roman"/>
                <w:color w:val="auto"/>
                <w:highlight w:val="none"/>
              </w:rPr>
              <w:t>效率可达99%。因此该方法可行。</w:t>
            </w:r>
          </w:p>
          <w:p w14:paraId="47F3A027">
            <w:pPr>
              <w:pStyle w:val="41"/>
              <w:spacing w:line="360" w:lineRule="auto"/>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达标性分析：</w:t>
            </w:r>
            <w:r>
              <w:rPr>
                <w:rFonts w:hint="default" w:ascii="Times New Roman" w:hAnsi="Times New Roman" w:eastAsia="宋体" w:cs="Times New Roman"/>
                <w:color w:val="auto"/>
                <w:highlight w:val="none"/>
                <w:lang w:val="en-US" w:eastAsia="zh-CN"/>
              </w:rPr>
              <w:t>根据上表核算结果</w:t>
            </w:r>
            <w:r>
              <w:rPr>
                <w:rFonts w:hint="default" w:ascii="Times New Roman" w:hAnsi="Times New Roman" w:eastAsia="宋体" w:cs="Times New Roman"/>
                <w:color w:val="auto"/>
                <w:highlight w:val="none"/>
              </w:rPr>
              <w:t>可知，彩砂生产线运行期间有组织废气</w:t>
            </w:r>
            <w:r>
              <w:rPr>
                <w:rFonts w:hint="default" w:ascii="Times New Roman" w:hAnsi="Times New Roman" w:eastAsia="宋体" w:cs="Times New Roman"/>
                <w:color w:val="auto"/>
                <w:highlight w:val="none"/>
                <w:lang w:val="en-US" w:eastAsia="zh-CN"/>
              </w:rPr>
              <w:t>排放浓度及速率均</w:t>
            </w:r>
            <w:r>
              <w:rPr>
                <w:rFonts w:hint="default" w:ascii="Times New Roman" w:hAnsi="Times New Roman" w:eastAsia="宋体" w:cs="Times New Roman"/>
                <w:color w:val="auto"/>
                <w:highlight w:val="none"/>
              </w:rPr>
              <w:t>满足《大气污染物综合排放标准》（GB</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16297-1996）</w:t>
            </w:r>
            <w:r>
              <w:rPr>
                <w:rFonts w:hint="default" w:ascii="Times New Roman" w:hAnsi="Times New Roman" w:eastAsia="宋体" w:cs="Times New Roman"/>
                <w:color w:val="auto"/>
                <w:highlight w:val="none"/>
                <w:lang w:val="en-US" w:eastAsia="zh-CN"/>
              </w:rPr>
              <w:t xml:space="preserve">中排放浓度限值120 </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lang w:val="en-US" w:eastAsia="zh-CN"/>
              </w:rPr>
              <w:t>，排放速率限值4.46 kg/h的要求（按照</w:t>
            </w:r>
            <w:r>
              <w:rPr>
                <w:rFonts w:hint="default" w:ascii="Times New Roman" w:hAnsi="Times New Roman" w:eastAsia="宋体" w:cs="Times New Roman"/>
                <w:color w:val="auto"/>
                <w:highlight w:val="none"/>
                <w:lang w:eastAsia="zh-CN"/>
              </w:rPr>
              <w:t>GB</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eastAsia="zh-CN"/>
              </w:rPr>
              <w:t>16297-1996附录</w:t>
            </w:r>
            <w:r>
              <w:rPr>
                <w:rFonts w:hint="default" w:ascii="Times New Roman" w:hAnsi="Times New Roman" w:eastAsia="宋体" w:cs="Times New Roman"/>
                <w:color w:val="auto"/>
                <w:highlight w:val="none"/>
                <w:lang w:val="en-US" w:eastAsia="zh-CN"/>
              </w:rPr>
              <w:t>B1</w:t>
            </w:r>
            <w:r>
              <w:rPr>
                <w:rFonts w:hint="default" w:ascii="Times New Roman" w:hAnsi="Times New Roman" w:eastAsia="宋体" w:cs="Times New Roman"/>
                <w:color w:val="auto"/>
                <w:highlight w:val="none"/>
                <w:lang w:eastAsia="zh-CN"/>
              </w:rPr>
              <w:t>折算</w:t>
            </w:r>
            <w:r>
              <w:rPr>
                <w:rFonts w:hint="default" w:ascii="Times New Roman" w:hAnsi="Times New Roman" w:eastAsia="宋体" w:cs="Times New Roman"/>
                <w:color w:val="auto"/>
                <w:highlight w:val="none"/>
                <w:lang w:val="en-US" w:eastAsia="zh-CN"/>
              </w:rPr>
              <w:t>17 m高排气筒排放速率限值）</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因此，彩砂生产线运行期间，</w:t>
            </w:r>
            <w:r>
              <w:rPr>
                <w:rFonts w:hint="default" w:ascii="Times New Roman" w:hAnsi="Times New Roman" w:eastAsia="宋体" w:cs="Times New Roman"/>
                <w:color w:val="auto"/>
                <w:highlight w:val="none"/>
                <w:lang w:val="en-US" w:eastAsia="zh-CN"/>
              </w:rPr>
              <w:t>有组织</w:t>
            </w:r>
            <w:r>
              <w:rPr>
                <w:rFonts w:hint="default" w:ascii="Times New Roman" w:hAnsi="Times New Roman" w:eastAsia="宋体" w:cs="Times New Roman"/>
                <w:color w:val="auto"/>
                <w:highlight w:val="none"/>
              </w:rPr>
              <w:t>废气可做到达标排放。本次将全厂无组织</w:t>
            </w:r>
            <w:r>
              <w:rPr>
                <w:rFonts w:hint="default" w:ascii="Times New Roman" w:hAnsi="Times New Roman" w:eastAsia="宋体" w:cs="Times New Roman"/>
                <w:color w:val="auto"/>
                <w:highlight w:val="none"/>
                <w:lang w:val="en-US" w:eastAsia="zh-CN"/>
              </w:rPr>
              <w:t>生产</w:t>
            </w:r>
            <w:r>
              <w:rPr>
                <w:rFonts w:hint="default" w:ascii="Times New Roman" w:hAnsi="Times New Roman" w:eastAsia="宋体" w:cs="Times New Roman"/>
                <w:color w:val="auto"/>
                <w:highlight w:val="none"/>
              </w:rPr>
              <w:t>粉尘整体进行估算（详见本章第3小节达标性分析）。</w:t>
            </w:r>
          </w:p>
          <w:p w14:paraId="6FB7BF0D">
            <w:pPr>
              <w:spacing w:line="360" w:lineRule="auto"/>
              <w:ind w:firstLine="48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w:t>
            </w:r>
            <w:r>
              <w:rPr>
                <w:rFonts w:hint="default" w:ascii="Times New Roman" w:hAnsi="Times New Roman" w:cs="Times New Roman"/>
                <w:b/>
                <w:bCs/>
                <w:color w:val="auto"/>
                <w:kern w:val="0"/>
                <w:sz w:val="24"/>
                <w:highlight w:val="none"/>
                <w:lang w:val="en-US" w:eastAsia="zh-CN"/>
              </w:rPr>
              <w:t>3</w:t>
            </w:r>
            <w:r>
              <w:rPr>
                <w:rFonts w:hint="default" w:ascii="Times New Roman" w:hAnsi="Times New Roman" w:cs="Times New Roman"/>
                <w:b/>
                <w:bCs/>
                <w:color w:val="auto"/>
                <w:kern w:val="0"/>
                <w:sz w:val="24"/>
                <w:highlight w:val="none"/>
              </w:rPr>
              <w:t>）运输扬尘</w:t>
            </w:r>
          </w:p>
          <w:p w14:paraId="5F46A35C">
            <w:pPr>
              <w:adjustRightInd w:val="0"/>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源强核算：</w:t>
            </w:r>
            <w:r>
              <w:rPr>
                <w:rFonts w:hint="default" w:ascii="Times New Roman" w:hAnsi="Times New Roman" w:cs="Times New Roman"/>
                <w:color w:val="auto"/>
                <w:sz w:val="24"/>
                <w:highlight w:val="none"/>
              </w:rPr>
              <w:t>车辆行驶按起尘的原因可分为风力起尘和动力起尘，其中风力起尘主要是由于裸露的路面表层浮尘由于天气干燥及大风，产生风力扬尘；而动力起尘，主要是装卸过程中，由于外力而产生的尘粒再悬浮所造成的。</w:t>
            </w:r>
          </w:p>
          <w:p w14:paraId="714E674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据有关文献资料介绍，车辆行驶产生的扬尘占总扬尘的60%以上。车辆行驶产生的扬尘，在完全干燥情况下，可按下列经验公式计算：</w:t>
            </w:r>
          </w:p>
          <w:p w14:paraId="2D463F5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0" distR="0">
                  <wp:extent cx="3423920" cy="223520"/>
                  <wp:effectExtent l="0" t="0" r="0" b="4445"/>
                  <wp:docPr id="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3"/>
                          <pic:cNvPicPr>
                            <a:picLocks noChangeAspect="1" noChangeArrowheads="1"/>
                          </pic:cNvPicPr>
                        </pic:nvPicPr>
                        <pic:blipFill>
                          <a:blip r:embed="rId17" cstate="print"/>
                          <a:srcRect/>
                          <a:stretch>
                            <a:fillRect/>
                          </a:stretch>
                        </pic:blipFill>
                        <pic:spPr>
                          <a:xfrm>
                            <a:off x="0" y="0"/>
                            <a:ext cx="3423920" cy="223520"/>
                          </a:xfrm>
                          <a:prstGeom prst="rect">
                            <a:avLst/>
                          </a:prstGeom>
                          <a:noFill/>
                          <a:ln w="9525" cmpd="sng">
                            <a:noFill/>
                            <a:miter lim="800000"/>
                            <a:headEnd/>
                            <a:tailEnd/>
                          </a:ln>
                        </pic:spPr>
                      </pic:pic>
                    </a:graphicData>
                  </a:graphic>
                </wp:inline>
              </w:drawing>
            </w:r>
          </w:p>
          <w:p w14:paraId="2F2B38B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29" o:spt="75" type="#_x0000_t75" style="height:16.45pt;width:91.55pt;" o:ole="t" filled="f" o:preferrelative="t" stroked="f" coordsize="21600,21600">
                  <v:path/>
                  <v:fill on="f" focussize="0,0"/>
                  <v:stroke on="f" joinstyle="miter"/>
                  <v:imagedata r:id="rId19" o:title=""/>
                  <o:lock v:ext="edit" aspectratio="t"/>
                  <w10:wrap type="none"/>
                  <w10:anchorlock/>
                </v:shape>
                <o:OLEObject Type="Embed" ProgID="Equations" ShapeID="_x0000_i1029" DrawAspect="Content" ObjectID="_1468075729" r:id="rId18">
                  <o:LockedField>false</o:LockedField>
                </o:OLEObject>
              </w:object>
            </w:r>
          </w:p>
          <w:p w14:paraId="717F171D">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式中：Q——汽车行驶的扬尘，kg/km·辆；</w:t>
            </w:r>
          </w:p>
          <w:p w14:paraId="5700B04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rPr>
              <w:drawing>
                <wp:inline distT="0" distB="0" distL="0" distR="0">
                  <wp:extent cx="53340" cy="106045"/>
                  <wp:effectExtent l="0" t="0" r="3810" b="0"/>
                  <wp:docPr id="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5"/>
                          <pic:cNvPicPr>
                            <a:picLocks noChangeAspect="1" noChangeArrowheads="1"/>
                          </pic:cNvPicPr>
                        </pic:nvPicPr>
                        <pic:blipFill>
                          <a:blip r:embed="rId20" cstate="print"/>
                          <a:srcRect/>
                          <a:stretch>
                            <a:fillRect/>
                          </a:stretch>
                        </pic:blipFill>
                        <pic:spPr>
                          <a:xfrm>
                            <a:off x="0" y="0"/>
                            <a:ext cx="53340" cy="106045"/>
                          </a:xfrm>
                          <a:prstGeom prst="rect">
                            <a:avLst/>
                          </a:prstGeom>
                          <a:noFill/>
                          <a:ln w="9525" cmpd="sng">
                            <a:noFill/>
                            <a:miter lim="800000"/>
                            <a:headEnd/>
                            <a:tailEnd/>
                          </a:ln>
                        </pic:spPr>
                      </pic:pic>
                    </a:graphicData>
                  </a:graphic>
                </wp:inline>
              </w:drawing>
            </w:r>
            <w:r>
              <w:rPr>
                <w:rFonts w:hint="default" w:ascii="Times New Roman" w:hAnsi="Times New Roman" w:cs="Times New Roman"/>
                <w:color w:val="auto"/>
                <w:sz w:val="24"/>
                <w:highlight w:val="none"/>
              </w:rPr>
              <w:t>——运输途中起尘量，kg/a；</w:t>
            </w:r>
          </w:p>
          <w:p w14:paraId="14353DE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Qp——运输量，t/a；</w:t>
            </w:r>
          </w:p>
          <w:p w14:paraId="28D4D51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V——汽车行驶速度，km/h；</w:t>
            </w:r>
          </w:p>
          <w:p w14:paraId="414BDFD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W——汽车载重量，吨/辆；</w:t>
            </w:r>
          </w:p>
          <w:p w14:paraId="6499DFB9">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P——道路表面粉尘量，kg/m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14:paraId="160490C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L——运输距离，km。</w:t>
            </w:r>
          </w:p>
          <w:p w14:paraId="5022D496">
            <w:pPr>
              <w:adjustRightIn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运输车辆在厂区内累计行驶距离按200</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m计，厂区道路表面粉尘量按0.2</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kg/m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，车速以5</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kern w:val="28"/>
                <w:sz w:val="24"/>
                <w:highlight w:val="none"/>
              </w:rPr>
              <w:t>km/h</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val="en-US" w:eastAsia="zh-CN"/>
              </w:rPr>
              <w:t>砂石骨料、</w:t>
            </w:r>
            <w:r>
              <w:rPr>
                <w:rFonts w:hint="default" w:ascii="Times New Roman" w:hAnsi="Times New Roman" w:cs="Times New Roman"/>
                <w:color w:val="auto"/>
                <w:kern w:val="0"/>
                <w:sz w:val="24"/>
                <w:highlight w:val="none"/>
              </w:rPr>
              <w:t>彩砂生产线</w:t>
            </w:r>
            <w:r>
              <w:rPr>
                <w:rFonts w:hint="default" w:ascii="Times New Roman" w:hAnsi="Times New Roman" w:cs="Times New Roman"/>
                <w:color w:val="auto"/>
                <w:sz w:val="24"/>
                <w:highlight w:val="none"/>
              </w:rPr>
              <w:t>原料、成品合计运输量约</w:t>
            </w:r>
            <w:r>
              <w:rPr>
                <w:rFonts w:hint="default" w:ascii="Times New Roman" w:hAnsi="Times New Roman" w:cs="Times New Roman"/>
                <w:color w:val="auto"/>
                <w:sz w:val="24"/>
                <w:highlight w:val="none"/>
                <w:lang w:val="en-US" w:eastAsia="zh-CN"/>
              </w:rPr>
              <w:t>300</w:t>
            </w:r>
            <w:r>
              <w:rPr>
                <w:rFonts w:hint="default" w:ascii="Times New Roman" w:hAnsi="Times New Roman" w:cs="Times New Roman"/>
                <w:color w:val="auto"/>
                <w:sz w:val="24"/>
                <w:highlight w:val="none"/>
              </w:rPr>
              <w:t>万t，汽车载重量约20</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t/辆。经计算，厂区道路汽车运输扬尘产生量约</w:t>
            </w:r>
            <w:r>
              <w:rPr>
                <w:rFonts w:hint="default" w:ascii="Times New Roman" w:hAnsi="Times New Roman" w:cs="Times New Roman"/>
                <w:color w:val="auto"/>
                <w:sz w:val="24"/>
                <w:highlight w:val="none"/>
                <w:lang w:val="en-US" w:eastAsia="zh-CN"/>
              </w:rPr>
              <w:t xml:space="preserve">6.54 </w:t>
            </w:r>
            <w:r>
              <w:rPr>
                <w:rFonts w:hint="default" w:ascii="Times New Roman" w:hAnsi="Times New Roman" w:cs="Times New Roman"/>
                <w:color w:val="auto"/>
                <w:sz w:val="24"/>
                <w:highlight w:val="none"/>
              </w:rPr>
              <w:t>t/a。</w:t>
            </w:r>
          </w:p>
          <w:p w14:paraId="770AA312">
            <w:pPr>
              <w:adjustRightInd w:val="0"/>
              <w:spacing w:line="360" w:lineRule="auto"/>
              <w:ind w:firstLine="482" w:firstLineChars="200"/>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cs="Times New Roman"/>
                <w:color w:val="auto"/>
                <w:kern w:val="0"/>
                <w:sz w:val="24"/>
                <w:highlight w:val="none"/>
              </w:rPr>
              <w:t>目前厂区主干道已硬化，运行期间进行定期洒水和车辆冲洗，同时采取运输车辆密闭、篷布遮盖等措施，可有效</w:t>
            </w:r>
            <w:r>
              <w:rPr>
                <w:rFonts w:hint="default" w:ascii="Times New Roman" w:hAnsi="Times New Roman" w:cs="Times New Roman"/>
                <w:color w:val="auto"/>
                <w:sz w:val="24"/>
                <w:highlight w:val="none"/>
              </w:rPr>
              <w:t>减少汽车运输扬尘，预计可减少80%左右，则汽车运输扬尘排放量约</w:t>
            </w:r>
            <w:r>
              <w:rPr>
                <w:rFonts w:hint="default" w:ascii="Times New Roman" w:hAnsi="Times New Roman" w:cs="Times New Roman"/>
                <w:color w:val="auto"/>
                <w:sz w:val="24"/>
                <w:highlight w:val="none"/>
                <w:lang w:val="en-US" w:eastAsia="zh-CN"/>
              </w:rPr>
              <w:t xml:space="preserve">1.308 </w:t>
            </w:r>
            <w:r>
              <w:rPr>
                <w:rFonts w:hint="default" w:ascii="Times New Roman" w:hAnsi="Times New Roman" w:cs="Times New Roman"/>
                <w:color w:val="auto"/>
                <w:sz w:val="24"/>
                <w:highlight w:val="none"/>
              </w:rPr>
              <w:t>t/a。</w:t>
            </w:r>
          </w:p>
          <w:p w14:paraId="77E7013D">
            <w:pPr>
              <w:spacing w:line="360" w:lineRule="auto"/>
              <w:ind w:firstLine="48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改性粉体及干混</w:t>
            </w:r>
            <w:r>
              <w:rPr>
                <w:rFonts w:hint="default" w:ascii="Times New Roman" w:hAnsi="Times New Roman" w:cs="Times New Roman"/>
                <w:b/>
                <w:bCs/>
                <w:color w:val="auto"/>
                <w:sz w:val="24"/>
                <w:highlight w:val="none"/>
              </w:rPr>
              <w:t>砂浆生产线废气产排情况</w:t>
            </w:r>
          </w:p>
          <w:p w14:paraId="04C0DDCD">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（1）物料装卸及堆存粉尘</w:t>
            </w:r>
          </w:p>
          <w:p w14:paraId="56CC88CC">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①卸车粉尘</w:t>
            </w:r>
          </w:p>
          <w:p w14:paraId="58F9B533">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A.水泥卸料、贮存至储罐过程粉尘</w:t>
            </w:r>
          </w:p>
          <w:p w14:paraId="21594A01">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干混</w:t>
            </w:r>
            <w:r>
              <w:rPr>
                <w:rFonts w:hint="default" w:ascii="Times New Roman" w:hAnsi="Times New Roman" w:cs="Times New Roman"/>
                <w:color w:val="auto"/>
                <w:sz w:val="24"/>
                <w:highlight w:val="none"/>
              </w:rPr>
              <w:t>砂浆生产线所需水泥由厂家罐车运输至厂区，通过管道输送至储罐内保存，该过程会产生一定量粉尘。</w:t>
            </w:r>
            <w:r>
              <w:rPr>
                <w:rFonts w:hint="default" w:ascii="Times New Roman" w:hAnsi="Times New Roman" w:cs="Times New Roman"/>
                <w:color w:val="auto"/>
                <w:sz w:val="24"/>
                <w:szCs w:val="22"/>
                <w:highlight w:val="none"/>
              </w:rPr>
              <w:t>源强</w:t>
            </w:r>
            <w:r>
              <w:rPr>
                <w:rFonts w:hint="default" w:ascii="Times New Roman" w:hAnsi="Times New Roman" w:cs="Times New Roman"/>
                <w:color w:val="auto"/>
                <w:sz w:val="24"/>
                <w:highlight w:val="none"/>
              </w:rPr>
              <w:t>参考《逸散性工业粉尘控制技术》【（美）奥里蒙（Orlemann,J.A.）等编著；张良壁，刘敬严编译；中国环境科学出版社；1989年12月出版】中第二十二章（混凝土分批搅拌厂）的逸散尘排放因子（0.12kg/t-物料），水泥采购量</w:t>
            </w:r>
            <w:r>
              <w:rPr>
                <w:rFonts w:hint="default" w:ascii="Times New Roman" w:hAnsi="Times New Roman" w:cs="Times New Roman"/>
                <w:color w:val="auto"/>
                <w:sz w:val="24"/>
                <w:highlight w:val="none"/>
                <w:lang w:val="en-US" w:eastAsia="zh-CN"/>
              </w:rPr>
              <w:t>约</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7万</w:t>
            </w:r>
            <w:r>
              <w:rPr>
                <w:rFonts w:hint="default" w:ascii="Times New Roman" w:hAnsi="Times New Roman" w:cs="Times New Roman"/>
                <w:color w:val="auto"/>
                <w:sz w:val="24"/>
                <w:highlight w:val="none"/>
              </w:rPr>
              <w:t>t/a，则粉尘产生量为</w:t>
            </w:r>
            <w:r>
              <w:rPr>
                <w:rFonts w:hint="default" w:ascii="Times New Roman" w:hAnsi="Times New Roman" w:cs="Times New Roman"/>
                <w:color w:val="auto"/>
                <w:sz w:val="24"/>
                <w:highlight w:val="none"/>
                <w:lang w:val="en-US" w:eastAsia="zh-CN"/>
              </w:rPr>
              <w:t xml:space="preserve">8.4 </w:t>
            </w:r>
            <w:r>
              <w:rPr>
                <w:rFonts w:hint="default" w:ascii="Times New Roman" w:hAnsi="Times New Roman" w:cs="Times New Roman"/>
                <w:color w:val="auto"/>
                <w:sz w:val="24"/>
                <w:highlight w:val="none"/>
              </w:rPr>
              <w:t>t/a。</w:t>
            </w:r>
          </w:p>
          <w:p w14:paraId="449A4EDD">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B.其他物料卸车粉尘</w:t>
            </w:r>
          </w:p>
          <w:p w14:paraId="13944D5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自卸汽车卸料起尘量，推荐选用山西环保科研所、武汉水运工程学院提出的经验公式估算，经验公式为：</w:t>
            </w:r>
          </w:p>
          <w:p w14:paraId="02253110">
            <w:pPr>
              <w:snapToGrid w:val="0"/>
              <w:spacing w:line="360" w:lineRule="auto"/>
              <w:ind w:firstLine="3060" w:firstLineChars="1275"/>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Q=e</w:t>
            </w:r>
            <w:r>
              <w:rPr>
                <w:rFonts w:hint="default" w:ascii="Times New Roman" w:hAnsi="Times New Roman" w:cs="Times New Roman"/>
                <w:color w:val="auto"/>
                <w:sz w:val="24"/>
                <w:szCs w:val="22"/>
                <w:highlight w:val="none"/>
                <w:vertAlign w:val="superscript"/>
              </w:rPr>
              <w:t>0.61u</w:t>
            </w:r>
            <w:r>
              <w:rPr>
                <w:rFonts w:hint="default" w:ascii="Times New Roman" w:hAnsi="Times New Roman" w:cs="Times New Roman"/>
                <w:color w:val="auto"/>
                <w:sz w:val="24"/>
                <w:szCs w:val="22"/>
                <w:highlight w:val="none"/>
              </w:rPr>
              <w:t>（M/13.5）</w:t>
            </w:r>
          </w:p>
          <w:p w14:paraId="61EE47EC">
            <w:pPr>
              <w:snapToGrid w:val="0"/>
              <w:spacing w:line="360" w:lineRule="auto"/>
              <w:ind w:firstLine="420" w:firstLineChars="175"/>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式中：Q——自卸汽车卸料起尘量，g/次；</w:t>
            </w:r>
          </w:p>
          <w:p w14:paraId="3FFB6D44">
            <w:pPr>
              <w:snapToGrid w:val="0"/>
              <w:spacing w:line="360" w:lineRule="auto"/>
              <w:ind w:firstLine="1200" w:firstLineChars="5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U——平均风速（m/s），1；</w:t>
            </w:r>
          </w:p>
          <w:p w14:paraId="710BFCC6">
            <w:pPr>
              <w:snapToGrid w:val="0"/>
              <w:spacing w:line="360" w:lineRule="auto"/>
              <w:ind w:firstLine="1200" w:firstLineChars="5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M——汽车卸料量，t，30。</w:t>
            </w:r>
          </w:p>
          <w:p w14:paraId="37C06A23">
            <w:pPr>
              <w:snapToGrid w:val="0"/>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highlight w:val="none"/>
                <w:lang w:val="en-US" w:eastAsia="zh-CN"/>
              </w:rPr>
              <w:t>改性粉体</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干混</w:t>
            </w:r>
            <w:r>
              <w:rPr>
                <w:rFonts w:hint="default" w:ascii="Times New Roman" w:hAnsi="Times New Roman" w:cs="Times New Roman"/>
                <w:color w:val="auto"/>
                <w:sz w:val="24"/>
                <w:highlight w:val="none"/>
              </w:rPr>
              <w:t>砂浆生产线所需</w:t>
            </w:r>
            <w:r>
              <w:rPr>
                <w:rFonts w:hint="default" w:ascii="Times New Roman" w:hAnsi="Times New Roman" w:cs="Times New Roman"/>
                <w:color w:val="auto"/>
                <w:sz w:val="24"/>
                <w:szCs w:val="22"/>
                <w:highlight w:val="none"/>
              </w:rPr>
              <w:t>原料（扣除水泥</w:t>
            </w:r>
            <w:r>
              <w:rPr>
                <w:rFonts w:hint="default" w:ascii="Times New Roman" w:hAnsi="Times New Roman" w:cs="Times New Roman"/>
                <w:color w:val="auto"/>
                <w:sz w:val="24"/>
                <w:szCs w:val="22"/>
                <w:highlight w:val="none"/>
                <w:lang w:val="en-US" w:eastAsia="zh-CN"/>
              </w:rPr>
              <w:t>及自产彩砂、钙粉</w:t>
            </w:r>
            <w:r>
              <w:rPr>
                <w:rFonts w:hint="default" w:ascii="Times New Roman" w:hAnsi="Times New Roman" w:cs="Times New Roman"/>
                <w:color w:val="auto"/>
                <w:sz w:val="24"/>
                <w:szCs w:val="22"/>
                <w:highlight w:val="none"/>
              </w:rPr>
              <w:t>外）约合</w:t>
            </w:r>
            <w:r>
              <w:rPr>
                <w:rFonts w:hint="default" w:ascii="Times New Roman" w:hAnsi="Times New Roman" w:cs="Times New Roman"/>
                <w:color w:val="auto"/>
                <w:sz w:val="24"/>
                <w:szCs w:val="22"/>
                <w:highlight w:val="none"/>
                <w:lang w:val="en-US" w:eastAsia="zh-CN"/>
              </w:rPr>
              <w:t>15.2</w:t>
            </w:r>
            <w:r>
              <w:rPr>
                <w:rFonts w:hint="default" w:ascii="Times New Roman" w:hAnsi="Times New Roman" w:cs="Times New Roman"/>
                <w:color w:val="auto"/>
                <w:sz w:val="24"/>
                <w:szCs w:val="22"/>
                <w:highlight w:val="none"/>
              </w:rPr>
              <w:t>万t/a，转运次数约为</w:t>
            </w:r>
            <w:r>
              <w:rPr>
                <w:rFonts w:hint="default" w:ascii="Times New Roman" w:hAnsi="Times New Roman" w:cs="Times New Roman"/>
                <w:color w:val="auto"/>
                <w:sz w:val="24"/>
                <w:szCs w:val="22"/>
                <w:highlight w:val="none"/>
                <w:lang w:val="en-US" w:eastAsia="zh-CN"/>
              </w:rPr>
              <w:t>5067</w:t>
            </w:r>
            <w:r>
              <w:rPr>
                <w:rFonts w:hint="default" w:ascii="Times New Roman" w:hAnsi="Times New Roman" w:cs="Times New Roman"/>
                <w:color w:val="auto"/>
                <w:sz w:val="24"/>
                <w:szCs w:val="22"/>
                <w:highlight w:val="none"/>
              </w:rPr>
              <w:t>次，则卸车粉尘量约为</w:t>
            </w:r>
            <w:r>
              <w:rPr>
                <w:rFonts w:hint="default" w:ascii="Times New Roman" w:hAnsi="Times New Roman" w:cs="Times New Roman"/>
                <w:color w:val="auto"/>
                <w:sz w:val="24"/>
                <w:szCs w:val="22"/>
                <w:highlight w:val="none"/>
                <w:lang w:val="en-US" w:eastAsia="zh-CN"/>
              </w:rPr>
              <w:t xml:space="preserve">20.7 </w:t>
            </w:r>
            <w:r>
              <w:rPr>
                <w:rFonts w:hint="default" w:ascii="Times New Roman" w:hAnsi="Times New Roman" w:cs="Times New Roman"/>
                <w:color w:val="auto"/>
                <w:sz w:val="24"/>
                <w:szCs w:val="22"/>
                <w:highlight w:val="none"/>
              </w:rPr>
              <w:t>kg/a。</w:t>
            </w:r>
          </w:p>
          <w:p w14:paraId="4895B30E">
            <w:pPr>
              <w:spacing w:line="360" w:lineRule="auto"/>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②装车粉尘</w:t>
            </w:r>
          </w:p>
          <w:p w14:paraId="1FA1DD94">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b w:val="0"/>
                <w:bCs w:val="0"/>
                <w:color w:val="auto"/>
                <w:sz w:val="24"/>
                <w:highlight w:val="none"/>
                <w:lang w:val="en-US" w:eastAsia="zh-CN"/>
              </w:rPr>
              <w:t>改性粉体及干混</w:t>
            </w:r>
            <w:r>
              <w:rPr>
                <w:rFonts w:hint="default" w:ascii="Times New Roman" w:hAnsi="Times New Roman" w:cs="Times New Roman"/>
                <w:b w:val="0"/>
                <w:bCs w:val="0"/>
                <w:color w:val="auto"/>
                <w:sz w:val="24"/>
                <w:highlight w:val="none"/>
              </w:rPr>
              <w:t>砂浆</w:t>
            </w:r>
            <w:r>
              <w:rPr>
                <w:rFonts w:hint="default" w:ascii="Times New Roman" w:hAnsi="Times New Roman" w:cs="Times New Roman"/>
                <w:b w:val="0"/>
                <w:bCs w:val="0"/>
                <w:color w:val="auto"/>
                <w:sz w:val="24"/>
                <w:highlight w:val="none"/>
                <w:lang w:val="en-US" w:eastAsia="zh-CN"/>
              </w:rPr>
              <w:t>生产线成品均采用包装材料包装后装车外运，装车均置于半封闭成品库内，</w:t>
            </w:r>
            <w:r>
              <w:rPr>
                <w:rFonts w:hint="default" w:ascii="Times New Roman" w:hAnsi="Times New Roman" w:cs="Times New Roman"/>
                <w:color w:val="auto"/>
                <w:sz w:val="24"/>
                <w:highlight w:val="none"/>
                <w:lang w:val="en-US" w:eastAsia="zh-CN"/>
              </w:rPr>
              <w:t>因此装车</w:t>
            </w:r>
            <w:r>
              <w:rPr>
                <w:rFonts w:hint="default" w:ascii="Times New Roman" w:hAnsi="Times New Roman" w:cs="Times New Roman"/>
                <w:color w:val="auto"/>
                <w:sz w:val="24"/>
                <w:highlight w:val="none"/>
              </w:rPr>
              <w:t>粉尘产生量较小，故本次不进行</w:t>
            </w:r>
            <w:r>
              <w:rPr>
                <w:rFonts w:hint="default" w:ascii="Times New Roman" w:hAnsi="Times New Roman" w:cs="Times New Roman"/>
                <w:color w:val="auto"/>
                <w:sz w:val="24"/>
                <w:highlight w:val="none"/>
                <w:lang w:val="en-US" w:eastAsia="zh-CN"/>
              </w:rPr>
              <w:t>装车</w:t>
            </w:r>
            <w:r>
              <w:rPr>
                <w:rFonts w:hint="default" w:ascii="Times New Roman" w:hAnsi="Times New Roman" w:cs="Times New Roman"/>
                <w:color w:val="auto"/>
                <w:sz w:val="24"/>
                <w:highlight w:val="none"/>
              </w:rPr>
              <w:t>过程粉尘的定量计算。</w:t>
            </w:r>
          </w:p>
          <w:p w14:paraId="32C83B9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③堆存粉尘</w:t>
            </w:r>
          </w:p>
          <w:p w14:paraId="021DF035">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根据现场调查，厂区内成品堆场</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sz w:val="24"/>
                <w:highlight w:val="none"/>
              </w:rPr>
              <w:t>三面封闭+顶棚处理。采取</w:t>
            </w:r>
            <w:r>
              <w:rPr>
                <w:rFonts w:hint="default" w:ascii="Times New Roman" w:hAnsi="Times New Roman" w:cs="Times New Roman"/>
                <w:color w:val="auto"/>
                <w:sz w:val="24"/>
                <w:highlight w:val="none"/>
                <w:lang w:val="en-US" w:eastAsia="zh-CN"/>
              </w:rPr>
              <w:t>该</w:t>
            </w:r>
            <w:r>
              <w:rPr>
                <w:rFonts w:hint="default" w:ascii="Times New Roman" w:hAnsi="Times New Roman" w:cs="Times New Roman"/>
                <w:color w:val="auto"/>
                <w:sz w:val="24"/>
                <w:highlight w:val="none"/>
              </w:rPr>
              <w:t>措施后，物料堆存粉尘产生量较小，且在堆存区内自然沉降，故本次不进行堆存过程粉尘的定量计算。</w:t>
            </w:r>
          </w:p>
          <w:p w14:paraId="46E87026">
            <w:pPr>
              <w:spacing w:line="360" w:lineRule="auto"/>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改性粉体及干混砂浆生产线</w:t>
            </w:r>
            <w:r>
              <w:rPr>
                <w:rFonts w:hint="eastAsia" w:ascii="Times New Roman" w:hAnsi="Times New Roman" w:cs="Times New Roman"/>
                <w:color w:val="auto"/>
                <w:sz w:val="24"/>
                <w:highlight w:val="none"/>
                <w:lang w:val="en-US" w:eastAsia="zh-CN"/>
              </w:rPr>
              <w:t>所用彩砂</w:t>
            </w:r>
            <w:r>
              <w:rPr>
                <w:rFonts w:hint="default" w:ascii="Times New Roman" w:hAnsi="Times New Roman" w:cs="Times New Roman"/>
                <w:color w:val="auto"/>
                <w:sz w:val="24"/>
                <w:highlight w:val="none"/>
                <w:lang w:val="en-US" w:eastAsia="zh-CN"/>
              </w:rPr>
              <w:t>原料</w:t>
            </w:r>
            <w:r>
              <w:rPr>
                <w:rFonts w:hint="eastAsia" w:ascii="Times New Roman" w:hAnsi="Times New Roman" w:cs="Times New Roman"/>
                <w:color w:val="auto"/>
                <w:sz w:val="24"/>
                <w:highlight w:val="none"/>
                <w:lang w:val="en-US" w:eastAsia="zh-CN"/>
              </w:rPr>
              <w:t>为项目自产的水洗后的彩砂，其</w:t>
            </w:r>
            <w:r>
              <w:rPr>
                <w:rFonts w:hint="default" w:ascii="Times New Roman" w:hAnsi="Times New Roman" w:cs="Times New Roman"/>
                <w:color w:val="auto"/>
                <w:sz w:val="24"/>
                <w:highlight w:val="none"/>
                <w:lang w:val="en-US" w:eastAsia="zh-CN"/>
              </w:rPr>
              <w:t>在半封闭原料堆场内进行暂存，储存过程中受风力影响较小产尘较少</w:t>
            </w:r>
            <w:r>
              <w:rPr>
                <w:rFonts w:hint="eastAsia" w:ascii="Times New Roman" w:hAnsi="Times New Roman" w:cs="Times New Roman"/>
                <w:color w:val="auto"/>
                <w:sz w:val="24"/>
                <w:highlight w:val="none"/>
                <w:lang w:val="en-US" w:eastAsia="zh-CN"/>
              </w:rPr>
              <w:t>。而后湿砂</w:t>
            </w:r>
            <w:r>
              <w:rPr>
                <w:rFonts w:hint="default" w:ascii="Times New Roman" w:hAnsi="Times New Roman" w:cs="Times New Roman"/>
                <w:color w:val="auto"/>
                <w:sz w:val="24"/>
                <w:highlight w:val="none"/>
                <w:lang w:val="en-US" w:eastAsia="zh-CN"/>
              </w:rPr>
              <w:t>经电烘干</w:t>
            </w:r>
            <w:r>
              <w:rPr>
                <w:rFonts w:hint="eastAsia" w:ascii="Times New Roman" w:hAnsi="Times New Roman" w:cs="Times New Roman"/>
                <w:color w:val="auto"/>
                <w:sz w:val="24"/>
                <w:highlight w:val="none"/>
                <w:lang w:val="en-US" w:eastAsia="zh-CN"/>
              </w:rPr>
              <w:t>机</w:t>
            </w:r>
            <w:r>
              <w:rPr>
                <w:rFonts w:hint="default" w:ascii="Times New Roman" w:hAnsi="Times New Roman" w:cs="Times New Roman"/>
                <w:color w:val="auto"/>
                <w:sz w:val="24"/>
                <w:highlight w:val="none"/>
                <w:lang w:val="en-US" w:eastAsia="zh-CN"/>
              </w:rPr>
              <w:t>密闭</w:t>
            </w:r>
            <w:r>
              <w:rPr>
                <w:rFonts w:hint="eastAsia" w:ascii="Times New Roman" w:hAnsi="Times New Roman" w:cs="Times New Roman"/>
                <w:color w:val="auto"/>
                <w:sz w:val="24"/>
                <w:highlight w:val="none"/>
                <w:lang w:val="en-US" w:eastAsia="zh-CN"/>
              </w:rPr>
              <w:t>烘干</w:t>
            </w:r>
            <w:r>
              <w:rPr>
                <w:rFonts w:hint="default" w:ascii="Times New Roman" w:hAnsi="Times New Roman" w:cs="Times New Roman"/>
                <w:color w:val="auto"/>
                <w:sz w:val="24"/>
                <w:highlight w:val="none"/>
                <w:lang w:val="en-US" w:eastAsia="zh-CN"/>
              </w:rPr>
              <w:t>后</w:t>
            </w:r>
            <w:r>
              <w:rPr>
                <w:rFonts w:hint="eastAsia" w:ascii="Times New Roman" w:hAnsi="Times New Roman" w:cs="Times New Roman"/>
                <w:color w:val="auto"/>
                <w:sz w:val="24"/>
                <w:highlight w:val="none"/>
                <w:lang w:val="en-US" w:eastAsia="zh-CN"/>
              </w:rPr>
              <w:t>进行传输</w:t>
            </w:r>
            <w:r>
              <w:rPr>
                <w:rFonts w:hint="default" w:ascii="Times New Roman" w:hAnsi="Times New Roman" w:cs="Times New Roman"/>
                <w:color w:val="auto"/>
                <w:sz w:val="24"/>
                <w:highlight w:val="none"/>
                <w:lang w:val="en-US" w:eastAsia="zh-CN"/>
              </w:rPr>
              <w:t>，砂料输送过程粉尘</w:t>
            </w:r>
            <w:r>
              <w:rPr>
                <w:rFonts w:hint="eastAsia" w:ascii="Times New Roman" w:hAnsi="Times New Roman" w:cs="Times New Roman"/>
                <w:color w:val="auto"/>
                <w:sz w:val="24"/>
                <w:highlight w:val="none"/>
                <w:lang w:val="en-US" w:eastAsia="zh-CN"/>
              </w:rPr>
              <w:t>产生量较少</w:t>
            </w:r>
            <w:r>
              <w:rPr>
                <w:rFonts w:hint="default" w:ascii="Times New Roman" w:hAnsi="Times New Roman" w:cs="Times New Roman"/>
                <w:color w:val="auto"/>
                <w:sz w:val="24"/>
                <w:highlight w:val="none"/>
                <w:lang w:val="en-US" w:eastAsia="zh-CN"/>
              </w:rPr>
              <w:t>基本不会外逸。</w:t>
            </w:r>
          </w:p>
          <w:p w14:paraId="0979C098">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综上，</w:t>
            </w:r>
            <w:r>
              <w:rPr>
                <w:rFonts w:hint="default" w:ascii="Times New Roman" w:hAnsi="Times New Roman" w:cs="Times New Roman"/>
                <w:color w:val="auto"/>
                <w:sz w:val="24"/>
                <w:highlight w:val="none"/>
                <w:lang w:val="en-US" w:eastAsia="zh-CN"/>
              </w:rPr>
              <w:t>改性粉体</w:t>
            </w:r>
            <w:r>
              <w:rPr>
                <w:rFonts w:hint="default" w:ascii="Times New Roman" w:hAnsi="Times New Roman" w:cs="Times New Roman"/>
                <w:color w:val="auto"/>
                <w:sz w:val="24"/>
                <w:highlight w:val="none"/>
              </w:rPr>
              <w:t>、砂浆生产线物料装卸、堆存粉尘合计产生量</w:t>
            </w:r>
            <w:r>
              <w:rPr>
                <w:rFonts w:hint="eastAsia" w:cs="Times New Roman"/>
                <w:color w:val="auto"/>
                <w:sz w:val="24"/>
                <w:highlight w:val="none"/>
                <w:lang w:eastAsia="zh-CN"/>
              </w:rPr>
              <w:t>约</w:t>
            </w:r>
            <w:r>
              <w:rPr>
                <w:rFonts w:hint="default" w:ascii="Times New Roman" w:hAnsi="Times New Roman" w:cs="Times New Roman"/>
                <w:color w:val="auto"/>
                <w:sz w:val="24"/>
                <w:highlight w:val="none"/>
                <w:lang w:val="en-US" w:eastAsia="zh-CN"/>
              </w:rPr>
              <w:t xml:space="preserve">8.42 </w:t>
            </w:r>
            <w:r>
              <w:rPr>
                <w:rFonts w:hint="default" w:ascii="Times New Roman" w:hAnsi="Times New Roman" w:cs="Times New Roman"/>
                <w:color w:val="auto"/>
                <w:sz w:val="24"/>
                <w:highlight w:val="none"/>
              </w:rPr>
              <w:t>t/a。</w:t>
            </w:r>
          </w:p>
          <w:p w14:paraId="5D459444">
            <w:pPr>
              <w:adjustRightInd w:val="0"/>
              <w:snapToGrid w:val="0"/>
              <w:spacing w:line="360" w:lineRule="auto"/>
              <w:ind w:firstLine="482" w:firstLineChars="200"/>
              <w:rPr>
                <w:rFonts w:hint="default" w:ascii="Times New Roman" w:hAnsi="Times New Roman" w:eastAsia="宋体" w:cs="Times New Roman"/>
                <w:color w:val="auto"/>
                <w:kern w:val="0"/>
                <w:sz w:val="24"/>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eastAsia="宋体" w:cs="Times New Roman"/>
                <w:color w:val="auto"/>
                <w:kern w:val="0"/>
                <w:sz w:val="24"/>
                <w:highlight w:val="none"/>
              </w:rPr>
              <w:t>物料装卸车在</w:t>
            </w:r>
            <w:r>
              <w:rPr>
                <w:rFonts w:hint="default" w:ascii="Times New Roman" w:hAnsi="Times New Roman" w:eastAsia="宋体" w:cs="Times New Roman"/>
                <w:color w:val="auto"/>
                <w:kern w:val="0"/>
                <w:sz w:val="24"/>
                <w:highlight w:val="none"/>
                <w:lang w:val="en-US" w:eastAsia="zh-CN"/>
              </w:rPr>
              <w:t>半</w:t>
            </w:r>
            <w:r>
              <w:rPr>
                <w:rFonts w:hint="default" w:ascii="Times New Roman" w:hAnsi="Times New Roman" w:eastAsia="宋体" w:cs="Times New Roman"/>
                <w:color w:val="auto"/>
                <w:kern w:val="0"/>
                <w:sz w:val="24"/>
                <w:highlight w:val="none"/>
              </w:rPr>
              <w:t>封闭区间内（仅保留出入口）。根据《固体物料堆存颗粒物产排污核算系数手册》附录5堆场类型控制效率可知，</w:t>
            </w:r>
            <w:r>
              <w:rPr>
                <w:rFonts w:hint="default" w:ascii="Times New Roman" w:hAnsi="Times New Roman" w:eastAsia="宋体" w:cs="Times New Roman"/>
                <w:color w:val="auto"/>
                <w:kern w:val="0"/>
                <w:sz w:val="24"/>
                <w:highlight w:val="none"/>
                <w:lang w:val="en-US" w:eastAsia="zh-CN"/>
              </w:rPr>
              <w:t>封闭区间（保留进出口）</w:t>
            </w:r>
            <w:r>
              <w:rPr>
                <w:rFonts w:hint="default" w:ascii="Times New Roman" w:hAnsi="Times New Roman" w:eastAsia="宋体" w:cs="Times New Roman"/>
                <w:color w:val="auto"/>
                <w:kern w:val="0"/>
                <w:sz w:val="24"/>
                <w:highlight w:val="none"/>
              </w:rPr>
              <w:t>控制效率</w:t>
            </w:r>
            <w:r>
              <w:rPr>
                <w:rFonts w:hint="default" w:ascii="Times New Roman" w:hAnsi="Times New Roman" w:eastAsia="宋体" w:cs="Times New Roman"/>
                <w:color w:val="auto"/>
                <w:kern w:val="0"/>
                <w:sz w:val="24"/>
                <w:highlight w:val="none"/>
                <w:lang w:val="en-US" w:eastAsia="zh-CN"/>
              </w:rPr>
              <w:t>以9</w:t>
            </w:r>
            <w:r>
              <w:rPr>
                <w:rFonts w:hint="default" w:ascii="Times New Roman" w:hAnsi="Times New Roman" w:eastAsia="宋体" w:cs="Times New Roman"/>
                <w:color w:val="auto"/>
                <w:kern w:val="0"/>
                <w:sz w:val="24"/>
                <w:highlight w:val="none"/>
              </w:rPr>
              <w:t>0%</w:t>
            </w:r>
            <w:r>
              <w:rPr>
                <w:rFonts w:hint="default" w:ascii="Times New Roman" w:hAnsi="Times New Roman" w:eastAsia="宋体" w:cs="Times New Roman"/>
                <w:color w:val="auto"/>
                <w:kern w:val="0"/>
                <w:sz w:val="24"/>
                <w:highlight w:val="none"/>
                <w:lang w:val="en-US" w:eastAsia="zh-CN"/>
              </w:rPr>
              <w:t>计</w:t>
            </w:r>
            <w:r>
              <w:rPr>
                <w:rFonts w:hint="default" w:ascii="Times New Roman" w:hAnsi="Times New Roman" w:eastAsia="宋体" w:cs="Times New Roman"/>
                <w:color w:val="auto"/>
                <w:kern w:val="0"/>
                <w:sz w:val="24"/>
                <w:highlight w:val="none"/>
              </w:rPr>
              <w:t>、水泥储罐顶部仓顶</w:t>
            </w:r>
            <w:r>
              <w:rPr>
                <w:rFonts w:hint="default" w:ascii="Times New Roman" w:hAnsi="Times New Roman" w:eastAsia="宋体" w:cs="Times New Roman"/>
                <w:color w:val="auto"/>
                <w:kern w:val="0"/>
                <w:sz w:val="24"/>
                <w:highlight w:val="none"/>
                <w:lang w:eastAsia="zh-CN"/>
              </w:rPr>
              <w:t>布袋除尘器</w:t>
            </w:r>
            <w:r>
              <w:rPr>
                <w:rFonts w:hint="default" w:ascii="Times New Roman" w:hAnsi="Times New Roman" w:eastAsia="宋体" w:cs="Times New Roman"/>
                <w:color w:val="auto"/>
                <w:kern w:val="0"/>
                <w:sz w:val="24"/>
                <w:highlight w:val="none"/>
              </w:rPr>
              <w:t>除尘效率为99%，综合计算装卸及堆存过程粉尘排放量约合0.0</w:t>
            </w:r>
            <w:r>
              <w:rPr>
                <w:rFonts w:hint="default" w:ascii="Times New Roman" w:hAnsi="Times New Roman" w:eastAsia="宋体" w:cs="Times New Roman"/>
                <w:color w:val="auto"/>
                <w:kern w:val="0"/>
                <w:sz w:val="24"/>
                <w:highlight w:val="none"/>
                <w:lang w:val="en-US" w:eastAsia="zh-CN"/>
              </w:rPr>
              <w:t xml:space="preserve">86 </w:t>
            </w:r>
            <w:r>
              <w:rPr>
                <w:rFonts w:hint="default" w:ascii="Times New Roman" w:hAnsi="Times New Roman" w:eastAsia="宋体" w:cs="Times New Roman"/>
                <w:color w:val="auto"/>
                <w:kern w:val="0"/>
                <w:sz w:val="24"/>
                <w:highlight w:val="none"/>
              </w:rPr>
              <w:t>t/a。</w:t>
            </w:r>
          </w:p>
          <w:p w14:paraId="0E184781">
            <w:pPr>
              <w:adjustRightInd w:val="0"/>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kern w:val="0"/>
                <w:sz w:val="24"/>
                <w:highlight w:val="none"/>
              </w:rPr>
              <w:t>可行性分析：</w:t>
            </w:r>
            <w:r>
              <w:rPr>
                <w:rFonts w:hint="default" w:ascii="Times New Roman" w:hAnsi="Times New Roman" w:cs="Times New Roman"/>
                <w:color w:val="auto"/>
                <w:sz w:val="24"/>
                <w:highlight w:val="none"/>
              </w:rPr>
              <w:t>通过合理控制卸料高度、原料区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成品区</w:t>
            </w:r>
            <w:r>
              <w:rPr>
                <w:rFonts w:hint="default" w:ascii="Times New Roman" w:hAnsi="Times New Roman" w:cs="Times New Roman"/>
                <w:color w:val="auto"/>
                <w:sz w:val="24"/>
                <w:highlight w:val="none"/>
              </w:rPr>
              <w:t>采取三面封闭+顶棚处理、水泥储罐顶部设仓顶除尘器，可有效控制物料装卸、堆存粉尘产生量，对外环境影响不大，因此上述环保措施可行。</w:t>
            </w:r>
          </w:p>
          <w:p w14:paraId="3DCE8708">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（2）加工粉尘</w:t>
            </w:r>
          </w:p>
          <w:p w14:paraId="6452670B">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源强核算：</w:t>
            </w:r>
            <w:r>
              <w:rPr>
                <w:rFonts w:hint="default" w:ascii="Times New Roman" w:hAnsi="Times New Roman" w:cs="Times New Roman"/>
                <w:color w:val="auto"/>
                <w:sz w:val="24"/>
                <w:highlight w:val="none"/>
              </w:rPr>
              <w:t>根据前文工艺可知，</w:t>
            </w:r>
            <w:r>
              <w:rPr>
                <w:rFonts w:hint="default" w:ascii="Times New Roman" w:hAnsi="Times New Roman" w:cs="Times New Roman"/>
                <w:color w:val="auto"/>
                <w:sz w:val="24"/>
                <w:highlight w:val="none"/>
                <w:lang w:val="en-US" w:eastAsia="zh-CN"/>
              </w:rPr>
              <w:t>改性粉体</w:t>
            </w:r>
            <w:r>
              <w:rPr>
                <w:rFonts w:hint="default" w:ascii="Times New Roman" w:hAnsi="Times New Roman" w:cs="Times New Roman"/>
                <w:color w:val="auto"/>
                <w:sz w:val="24"/>
                <w:highlight w:val="none"/>
              </w:rPr>
              <w:t>、砂浆生产线</w:t>
            </w:r>
            <w:r>
              <w:rPr>
                <w:rFonts w:hint="default" w:ascii="Times New Roman" w:hAnsi="Times New Roman" w:cs="Times New Roman"/>
                <w:color w:val="auto"/>
                <w:sz w:val="24"/>
                <w:szCs w:val="32"/>
                <w:highlight w:val="none"/>
              </w:rPr>
              <w:t>中搅拌及包装环节均会有粉尘产生。</w:t>
            </w:r>
            <w:r>
              <w:rPr>
                <w:rFonts w:hint="default" w:ascii="Times New Roman" w:hAnsi="Times New Roman" w:cs="Times New Roman"/>
                <w:color w:val="auto"/>
                <w:sz w:val="24"/>
                <w:highlight w:val="none"/>
              </w:rPr>
              <w:t>考虑到本行业无适合的源强参考依据，本次参照《排放源统计调查产排污核算方法和系数手册》（生态环境部）中“3021水泥制品制造（含3022砼结构构件、3029其他水泥类似制品制造）行业”，混凝土制品物料混合搅拌工艺产污系数为0.13kg/t-产品；成品装袋的产污源强类比参照《逸散性工业粉尘控制技术》【（美）奥里蒙（Orlemann,J.A.）等编著；张良壁，刘敬严编译；中国环境科学出版社；1989年12月出版】中第十三章 水泥厂 表13-2中水泥装袋的排放因子，为0.005kg/t-产品。</w:t>
            </w:r>
          </w:p>
          <w:p w14:paraId="28C8520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根据前文产品方案可知，</w:t>
            </w:r>
            <w:r>
              <w:rPr>
                <w:rFonts w:hint="default" w:ascii="Times New Roman" w:hAnsi="Times New Roman" w:cs="Times New Roman"/>
                <w:color w:val="auto"/>
                <w:sz w:val="24"/>
                <w:highlight w:val="none"/>
                <w:lang w:val="en-US" w:eastAsia="zh-CN"/>
              </w:rPr>
              <w:t>改性粉体</w:t>
            </w:r>
            <w:r>
              <w:rPr>
                <w:rFonts w:hint="default" w:ascii="Times New Roman" w:hAnsi="Times New Roman" w:cs="Times New Roman"/>
                <w:color w:val="auto"/>
                <w:sz w:val="24"/>
                <w:highlight w:val="none"/>
              </w:rPr>
              <w:t>年产</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万吨、砂浆年产</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万吨，则</w:t>
            </w:r>
            <w:r>
              <w:rPr>
                <w:rFonts w:hint="default" w:ascii="Times New Roman" w:hAnsi="Times New Roman" w:cs="Times New Roman"/>
                <w:color w:val="auto"/>
                <w:sz w:val="24"/>
                <w:highlight w:val="none"/>
                <w:lang w:val="en-US" w:eastAsia="zh-CN"/>
              </w:rPr>
              <w:t>改性粉体及</w:t>
            </w:r>
            <w:r>
              <w:rPr>
                <w:rFonts w:hint="default" w:ascii="Times New Roman" w:hAnsi="Times New Roman" w:cs="Times New Roman"/>
                <w:color w:val="auto"/>
                <w:sz w:val="24"/>
                <w:highlight w:val="none"/>
              </w:rPr>
              <w:t>砂浆生产线搅拌粉尘合计产生量为</w:t>
            </w:r>
            <w:r>
              <w:rPr>
                <w:rFonts w:hint="default" w:ascii="Times New Roman" w:hAnsi="Times New Roman" w:cs="Times New Roman"/>
                <w:color w:val="auto"/>
                <w:sz w:val="24"/>
                <w:highlight w:val="none"/>
                <w:lang w:val="en-US" w:eastAsia="zh-CN"/>
              </w:rPr>
              <w:t xml:space="preserve">91 </w:t>
            </w:r>
            <w:r>
              <w:rPr>
                <w:rFonts w:hint="default" w:ascii="Times New Roman" w:hAnsi="Times New Roman" w:cs="Times New Roman"/>
                <w:color w:val="auto"/>
                <w:sz w:val="24"/>
                <w:highlight w:val="none"/>
              </w:rPr>
              <w:t>t/a，包装过程粉尘产生量合计为</w:t>
            </w:r>
            <w:r>
              <w:rPr>
                <w:rFonts w:hint="default" w:ascii="Times New Roman" w:hAnsi="Times New Roman" w:cs="Times New Roman"/>
                <w:color w:val="auto"/>
                <w:sz w:val="24"/>
                <w:highlight w:val="none"/>
                <w:lang w:val="en-US" w:eastAsia="zh-CN"/>
              </w:rPr>
              <w:t xml:space="preserve">3.5 </w:t>
            </w:r>
            <w:r>
              <w:rPr>
                <w:rFonts w:hint="default" w:ascii="Times New Roman" w:hAnsi="Times New Roman" w:cs="Times New Roman"/>
                <w:color w:val="auto"/>
                <w:sz w:val="24"/>
                <w:highlight w:val="none"/>
              </w:rPr>
              <w:t>t/a。</w:t>
            </w:r>
          </w:p>
          <w:p w14:paraId="63B41E4B">
            <w:pPr>
              <w:adjustRightInd w:val="0"/>
              <w:snapToGrid w:val="0"/>
              <w:spacing w:line="360" w:lineRule="auto"/>
              <w:ind w:firstLine="482" w:firstLineChars="200"/>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cs="Times New Roman"/>
                <w:color w:val="auto"/>
                <w:kern w:val="0"/>
                <w:sz w:val="24"/>
                <w:highlight w:val="none"/>
              </w:rPr>
              <w:t>建设单位拟在各产尘点上方设置集气设施，收集效率约9</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%；各生产线粉尘收集后，统一经中央布袋除尘器处理后通过1</w:t>
            </w:r>
            <w:r>
              <w:rPr>
                <w:rFonts w:hint="default" w:ascii="Times New Roman" w:hAnsi="Times New Roman" w:cs="Times New Roman"/>
                <w:color w:val="auto"/>
                <w:kern w:val="0"/>
                <w:sz w:val="24"/>
                <w:highlight w:val="none"/>
                <w:lang w:val="en-US" w:eastAsia="zh-CN"/>
              </w:rPr>
              <w:t xml:space="preserve">5 </w:t>
            </w:r>
            <w:r>
              <w:rPr>
                <w:rFonts w:hint="default" w:ascii="Times New Roman" w:hAnsi="Times New Roman" w:cs="Times New Roman"/>
                <w:color w:val="auto"/>
                <w:kern w:val="0"/>
                <w:sz w:val="24"/>
                <w:highlight w:val="none"/>
              </w:rPr>
              <w:t>m高排气筒（DA00</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）排放，除尘效率按99%计。具体加工粉尘产排情况见下表：</w:t>
            </w:r>
          </w:p>
          <w:p w14:paraId="06816211">
            <w:pPr>
              <w:widowControl/>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表4-</w:t>
            </w:r>
            <w:r>
              <w:rPr>
                <w:rFonts w:hint="default" w:ascii="Times New Roman" w:hAnsi="Times New Roman" w:cs="Times New Roman"/>
                <w:b/>
                <w:bCs/>
                <w:color w:val="auto"/>
                <w:kern w:val="0"/>
                <w:szCs w:val="21"/>
                <w:highlight w:val="none"/>
                <w:lang w:val="en-US" w:eastAsia="zh-CN"/>
              </w:rPr>
              <w:t>4</w:t>
            </w:r>
            <w:r>
              <w:rPr>
                <w:rFonts w:hint="default" w:ascii="Times New Roman" w:hAnsi="Times New Roman" w:cs="Times New Roman"/>
                <w:b/>
                <w:bCs/>
                <w:color w:val="auto"/>
                <w:kern w:val="0"/>
                <w:szCs w:val="21"/>
                <w:highlight w:val="none"/>
              </w:rPr>
              <w:t xml:space="preserve">  </w:t>
            </w:r>
            <w:r>
              <w:rPr>
                <w:rFonts w:hint="default" w:ascii="Times New Roman" w:hAnsi="Times New Roman" w:cs="Times New Roman"/>
                <w:b/>
                <w:bCs/>
                <w:color w:val="auto"/>
                <w:kern w:val="0"/>
                <w:szCs w:val="21"/>
                <w:highlight w:val="none"/>
                <w:lang w:val="en-US" w:eastAsia="zh-CN"/>
              </w:rPr>
              <w:t>改性粉体</w:t>
            </w:r>
            <w:r>
              <w:rPr>
                <w:rFonts w:hint="default" w:ascii="Times New Roman" w:hAnsi="Times New Roman" w:cs="Times New Roman"/>
                <w:b/>
                <w:bCs/>
                <w:color w:val="auto"/>
                <w:kern w:val="0"/>
                <w:szCs w:val="21"/>
                <w:highlight w:val="none"/>
              </w:rPr>
              <w:t>、砂浆生产线加工粉尘产排情况一览表</w:t>
            </w:r>
          </w:p>
          <w:tbl>
            <w:tblPr>
              <w:tblStyle w:val="32"/>
              <w:tblW w:w="85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0"/>
              <w:gridCol w:w="834"/>
              <w:gridCol w:w="943"/>
              <w:gridCol w:w="1223"/>
              <w:gridCol w:w="1292"/>
              <w:gridCol w:w="680"/>
              <w:gridCol w:w="662"/>
              <w:gridCol w:w="912"/>
              <w:gridCol w:w="908"/>
            </w:tblGrid>
            <w:tr w14:paraId="080E2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22" w:type="pct"/>
                  <w:vAlign w:val="center"/>
                </w:tcPr>
                <w:p w14:paraId="308A7C3C">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生产线</w:t>
                  </w:r>
                </w:p>
              </w:tc>
              <w:tc>
                <w:tcPr>
                  <w:tcW w:w="489" w:type="pct"/>
                  <w:vAlign w:val="center"/>
                </w:tcPr>
                <w:p w14:paraId="471EDF6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污染物</w:t>
                  </w:r>
                </w:p>
              </w:tc>
              <w:tc>
                <w:tcPr>
                  <w:tcW w:w="553" w:type="pct"/>
                  <w:vAlign w:val="center"/>
                </w:tcPr>
                <w:p w14:paraId="6A4D1D7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产生量</w:t>
                  </w:r>
                </w:p>
              </w:tc>
              <w:tc>
                <w:tcPr>
                  <w:tcW w:w="718" w:type="pct"/>
                  <w:vAlign w:val="center"/>
                </w:tcPr>
                <w:p w14:paraId="2521B38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治理措施</w:t>
                  </w:r>
                </w:p>
              </w:tc>
              <w:tc>
                <w:tcPr>
                  <w:tcW w:w="758" w:type="pct"/>
                  <w:vAlign w:val="center"/>
                </w:tcPr>
                <w:p w14:paraId="7B1F767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处理效率</w:t>
                  </w:r>
                </w:p>
              </w:tc>
              <w:tc>
                <w:tcPr>
                  <w:tcW w:w="399" w:type="pct"/>
                  <w:vAlign w:val="center"/>
                </w:tcPr>
                <w:p w14:paraId="67946E1E">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排放形式</w:t>
                  </w:r>
                </w:p>
              </w:tc>
              <w:tc>
                <w:tcPr>
                  <w:tcW w:w="388" w:type="pct"/>
                  <w:vAlign w:val="center"/>
                </w:tcPr>
                <w:p w14:paraId="1B3B218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排放量</w:t>
                  </w:r>
                </w:p>
              </w:tc>
              <w:tc>
                <w:tcPr>
                  <w:tcW w:w="535" w:type="pct"/>
                  <w:vAlign w:val="center"/>
                </w:tcPr>
                <w:p w14:paraId="0B7A7C6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排放速率</w:t>
                  </w:r>
                </w:p>
              </w:tc>
              <w:tc>
                <w:tcPr>
                  <w:tcW w:w="533" w:type="pct"/>
                  <w:vAlign w:val="center"/>
                </w:tcPr>
                <w:p w14:paraId="0412AF5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排放浓度</w:t>
                  </w:r>
                </w:p>
              </w:tc>
            </w:tr>
            <w:tr w14:paraId="3F2B9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622" w:type="pct"/>
                  <w:vMerge w:val="restart"/>
                  <w:vAlign w:val="center"/>
                </w:tcPr>
                <w:p w14:paraId="48A1415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改性粉体</w:t>
                  </w:r>
                  <w:r>
                    <w:rPr>
                      <w:rFonts w:hint="default" w:ascii="Times New Roman" w:hAnsi="Times New Roman" w:eastAsia="宋体" w:cs="Times New Roman"/>
                      <w:color w:val="auto"/>
                      <w:szCs w:val="21"/>
                      <w:highlight w:val="none"/>
                    </w:rPr>
                    <w:t>、砂浆生产线</w:t>
                  </w:r>
                </w:p>
              </w:tc>
              <w:tc>
                <w:tcPr>
                  <w:tcW w:w="489" w:type="pct"/>
                  <w:vMerge w:val="restart"/>
                  <w:vAlign w:val="center"/>
                </w:tcPr>
                <w:p w14:paraId="1F1B8BF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粉尘</w:t>
                  </w:r>
                </w:p>
              </w:tc>
              <w:tc>
                <w:tcPr>
                  <w:tcW w:w="553" w:type="pct"/>
                  <w:vMerge w:val="restart"/>
                  <w:vAlign w:val="center"/>
                </w:tcPr>
                <w:p w14:paraId="16093C8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rPr>
                    <w:t xml:space="preserve">94.5 </w:t>
                  </w:r>
                  <w:r>
                    <w:rPr>
                      <w:rFonts w:hint="default" w:ascii="Times New Roman" w:hAnsi="Times New Roman" w:cs="Times New Roman"/>
                      <w:color w:val="auto"/>
                      <w:kern w:val="0"/>
                      <w:szCs w:val="21"/>
                      <w:highlight w:val="none"/>
                    </w:rPr>
                    <w:t>t/a</w:t>
                  </w:r>
                </w:p>
              </w:tc>
              <w:tc>
                <w:tcPr>
                  <w:tcW w:w="718" w:type="pct"/>
                  <w:vMerge w:val="restart"/>
                  <w:vAlign w:val="center"/>
                </w:tcPr>
                <w:p w14:paraId="4A4F1BEA">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集尘设施</w:t>
                  </w:r>
                </w:p>
                <w:p w14:paraId="4C1E8736">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+袋式除尘器</w:t>
                  </w:r>
                </w:p>
              </w:tc>
              <w:tc>
                <w:tcPr>
                  <w:tcW w:w="758" w:type="pct"/>
                  <w:vAlign w:val="center"/>
                </w:tcPr>
                <w:p w14:paraId="113E5B2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集气效率为9</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%，除尘效率为99%</w:t>
                  </w:r>
                </w:p>
              </w:tc>
              <w:tc>
                <w:tcPr>
                  <w:tcW w:w="399" w:type="pct"/>
                  <w:vAlign w:val="center"/>
                </w:tcPr>
                <w:p w14:paraId="1CEE728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有组织</w:t>
                  </w:r>
                </w:p>
              </w:tc>
              <w:tc>
                <w:tcPr>
                  <w:tcW w:w="388" w:type="pct"/>
                  <w:vAlign w:val="center"/>
                </w:tcPr>
                <w:p w14:paraId="7B8DE3A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lang w:val="en-US" w:eastAsia="zh-CN"/>
                    </w:rPr>
                    <w:t xml:space="preserve">0.898 </w:t>
                  </w:r>
                  <w:r>
                    <w:rPr>
                      <w:rFonts w:hint="default" w:ascii="Times New Roman" w:hAnsi="Times New Roman" w:cs="Times New Roman"/>
                      <w:color w:val="auto"/>
                      <w:highlight w:val="none"/>
                    </w:rPr>
                    <w:t>t/a</w:t>
                  </w:r>
                </w:p>
              </w:tc>
              <w:tc>
                <w:tcPr>
                  <w:tcW w:w="535" w:type="pct"/>
                  <w:vAlign w:val="center"/>
                </w:tcPr>
                <w:p w14:paraId="4BA34D6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 xml:space="preserve">0.187 </w:t>
                  </w:r>
                  <w:r>
                    <w:rPr>
                      <w:rFonts w:hint="default" w:ascii="Times New Roman" w:hAnsi="Times New Roman" w:cs="Times New Roman"/>
                      <w:color w:val="auto"/>
                      <w:kern w:val="0"/>
                      <w:szCs w:val="21"/>
                      <w:highlight w:val="none"/>
                    </w:rPr>
                    <w:t>kg/h</w:t>
                  </w:r>
                </w:p>
              </w:tc>
              <w:tc>
                <w:tcPr>
                  <w:tcW w:w="533" w:type="pct"/>
                  <w:vAlign w:val="center"/>
                </w:tcPr>
                <w:p w14:paraId="4BD4489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 xml:space="preserve">18.7 </w:t>
                  </w:r>
                  <w:r>
                    <w:rPr>
                      <w:rFonts w:hint="default" w:ascii="Times New Roman" w:hAnsi="Times New Roman" w:cs="Times New Roman"/>
                      <w:color w:val="auto"/>
                      <w:kern w:val="0"/>
                      <w:szCs w:val="21"/>
                      <w:highlight w:val="none"/>
                    </w:rPr>
                    <w:t>mg/m</w:t>
                  </w:r>
                  <w:r>
                    <w:rPr>
                      <w:rFonts w:hint="default" w:ascii="Times New Roman" w:hAnsi="Times New Roman" w:cs="Times New Roman"/>
                      <w:color w:val="auto"/>
                      <w:kern w:val="0"/>
                      <w:szCs w:val="21"/>
                      <w:highlight w:val="none"/>
                      <w:vertAlign w:val="superscript"/>
                    </w:rPr>
                    <w:t>3</w:t>
                  </w:r>
                </w:p>
              </w:tc>
            </w:tr>
            <w:tr w14:paraId="26F42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622" w:type="pct"/>
                  <w:vMerge w:val="continue"/>
                  <w:vAlign w:val="center"/>
                </w:tcPr>
                <w:p w14:paraId="683686EE">
                  <w:pPr>
                    <w:snapToGrid w:val="0"/>
                    <w:jc w:val="center"/>
                    <w:rPr>
                      <w:rFonts w:hint="default" w:ascii="Times New Roman" w:hAnsi="Times New Roman" w:cs="Times New Roman"/>
                      <w:color w:val="auto"/>
                      <w:szCs w:val="21"/>
                      <w:highlight w:val="none"/>
                      <w:lang w:val="en-US" w:eastAsia="zh-CN"/>
                    </w:rPr>
                  </w:pPr>
                </w:p>
              </w:tc>
              <w:tc>
                <w:tcPr>
                  <w:tcW w:w="489" w:type="pct"/>
                  <w:vMerge w:val="continue"/>
                  <w:vAlign w:val="center"/>
                </w:tcPr>
                <w:p w14:paraId="17C8E600">
                  <w:pPr>
                    <w:widowControl/>
                    <w:jc w:val="center"/>
                    <w:rPr>
                      <w:rFonts w:hint="default" w:ascii="Times New Roman" w:hAnsi="Times New Roman" w:cs="Times New Roman"/>
                      <w:color w:val="auto"/>
                      <w:szCs w:val="21"/>
                      <w:highlight w:val="none"/>
                    </w:rPr>
                  </w:pPr>
                </w:p>
              </w:tc>
              <w:tc>
                <w:tcPr>
                  <w:tcW w:w="553" w:type="pct"/>
                  <w:vMerge w:val="continue"/>
                  <w:vAlign w:val="center"/>
                </w:tcPr>
                <w:p w14:paraId="2BEF64C3">
                  <w:pPr>
                    <w:widowControl/>
                    <w:jc w:val="center"/>
                    <w:rPr>
                      <w:rFonts w:hint="default" w:ascii="Times New Roman" w:hAnsi="Times New Roman" w:cs="Times New Roman"/>
                      <w:color w:val="auto"/>
                      <w:kern w:val="0"/>
                      <w:szCs w:val="21"/>
                      <w:highlight w:val="none"/>
                      <w:lang w:val="en-US" w:eastAsia="zh-CN"/>
                    </w:rPr>
                  </w:pPr>
                </w:p>
              </w:tc>
              <w:tc>
                <w:tcPr>
                  <w:tcW w:w="718" w:type="pct"/>
                  <w:vMerge w:val="continue"/>
                  <w:vAlign w:val="center"/>
                </w:tcPr>
                <w:p w14:paraId="04CE760A">
                  <w:pPr>
                    <w:snapToGrid w:val="0"/>
                    <w:jc w:val="center"/>
                    <w:rPr>
                      <w:rFonts w:hint="default" w:ascii="Times New Roman" w:hAnsi="Times New Roman" w:cs="Times New Roman"/>
                      <w:color w:val="auto"/>
                      <w:szCs w:val="21"/>
                      <w:highlight w:val="none"/>
                    </w:rPr>
                  </w:pPr>
                </w:p>
              </w:tc>
              <w:tc>
                <w:tcPr>
                  <w:tcW w:w="758" w:type="pct"/>
                  <w:vAlign w:val="center"/>
                </w:tcPr>
                <w:p w14:paraId="0D4F079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厂房阻隔90%</w:t>
                  </w:r>
                </w:p>
              </w:tc>
              <w:tc>
                <w:tcPr>
                  <w:tcW w:w="399" w:type="pct"/>
                  <w:vAlign w:val="center"/>
                </w:tcPr>
                <w:p w14:paraId="3744739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无组织</w:t>
                  </w:r>
                </w:p>
              </w:tc>
              <w:tc>
                <w:tcPr>
                  <w:tcW w:w="388" w:type="pct"/>
                  <w:vAlign w:val="center"/>
                </w:tcPr>
                <w:p w14:paraId="48313A4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 xml:space="preserve">0.473 </w:t>
                  </w:r>
                  <w:r>
                    <w:rPr>
                      <w:rFonts w:hint="default" w:ascii="Times New Roman" w:hAnsi="Times New Roman" w:cs="Times New Roman"/>
                      <w:color w:val="auto"/>
                      <w:highlight w:val="none"/>
                    </w:rPr>
                    <w:t>t/a</w:t>
                  </w:r>
                </w:p>
              </w:tc>
              <w:tc>
                <w:tcPr>
                  <w:tcW w:w="535" w:type="pct"/>
                  <w:vAlign w:val="center"/>
                </w:tcPr>
                <w:p w14:paraId="7913DF53">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 xml:space="preserve">0.0984 </w:t>
                  </w:r>
                  <w:r>
                    <w:rPr>
                      <w:rFonts w:hint="default" w:ascii="Times New Roman" w:hAnsi="Times New Roman" w:cs="Times New Roman"/>
                      <w:color w:val="auto"/>
                      <w:kern w:val="0"/>
                      <w:szCs w:val="21"/>
                      <w:highlight w:val="none"/>
                    </w:rPr>
                    <w:t>kg/h</w:t>
                  </w:r>
                </w:p>
              </w:tc>
              <w:tc>
                <w:tcPr>
                  <w:tcW w:w="533" w:type="pct"/>
                  <w:vAlign w:val="center"/>
                </w:tcPr>
                <w:p w14:paraId="0BEDD45F">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r>
            <w:tr w14:paraId="7C1EB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9"/>
                  <w:vAlign w:val="center"/>
                </w:tcPr>
                <w:p w14:paraId="7E31E288">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注：风机风量为</w:t>
                  </w:r>
                  <w:r>
                    <w:rPr>
                      <w:rFonts w:hint="default" w:ascii="Times New Roman" w:hAnsi="Times New Roman" w:cs="Times New Roman"/>
                      <w:color w:val="auto"/>
                      <w:kern w:val="0"/>
                      <w:szCs w:val="21"/>
                      <w:highlight w:val="none"/>
                      <w:lang w:val="en-US" w:eastAsia="zh-CN"/>
                    </w:rPr>
                    <w:t>10</w:t>
                  </w:r>
                  <w:r>
                    <w:rPr>
                      <w:rFonts w:hint="default" w:ascii="Times New Roman" w:hAnsi="Times New Roman" w:cs="Times New Roman"/>
                      <w:color w:val="auto"/>
                      <w:kern w:val="0"/>
                      <w:szCs w:val="21"/>
                      <w:highlight w:val="none"/>
                    </w:rPr>
                    <w:t>000</w:t>
                  </w:r>
                  <w:r>
                    <w:rPr>
                      <w:rFonts w:hint="default" w:ascii="Times New Roman" w:hAnsi="Times New Roman" w:cs="Times New Roman"/>
                      <w:color w:val="auto"/>
                      <w:kern w:val="0"/>
                      <w:szCs w:val="21"/>
                      <w:highlight w:val="none"/>
                      <w:lang w:val="en-US" w:eastAsia="zh-CN"/>
                    </w:rPr>
                    <w:t xml:space="preserve"> </w:t>
                  </w: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/h。</w:t>
                  </w:r>
                </w:p>
              </w:tc>
            </w:tr>
          </w:tbl>
          <w:p w14:paraId="7C246612">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达标性分析：</w:t>
            </w:r>
          </w:p>
          <w:p w14:paraId="0848513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①</w:t>
            </w:r>
            <w:r>
              <w:rPr>
                <w:rFonts w:hint="default" w:ascii="Times New Roman" w:hAnsi="Times New Roman" w:cs="Times New Roman"/>
                <w:color w:val="auto"/>
                <w:sz w:val="24"/>
                <w:highlight w:val="none"/>
              </w:rPr>
              <w:t>有组织达标性分析</w:t>
            </w:r>
          </w:p>
          <w:p w14:paraId="4F76BB69">
            <w:pPr>
              <w:pStyle w:val="40"/>
              <w:rPr>
                <w:rFonts w:hint="default" w:ascii="Times New Roman" w:hAnsi="Times New Roman" w:cs="Times New Roman"/>
                <w:bCs/>
                <w:color w:val="auto"/>
                <w:highlight w:val="none"/>
              </w:rPr>
            </w:pPr>
            <w:r>
              <w:rPr>
                <w:rFonts w:hint="default" w:ascii="Times New Roman" w:hAnsi="Times New Roman" w:cs="Times New Roman"/>
                <w:color w:val="auto"/>
                <w:szCs w:val="24"/>
                <w:highlight w:val="none"/>
              </w:rPr>
              <w:t>根据</w:t>
            </w:r>
            <w:r>
              <w:rPr>
                <w:rFonts w:hint="default" w:ascii="Times New Roman" w:hAnsi="Times New Roman" w:cs="Times New Roman"/>
                <w:color w:val="auto"/>
                <w:szCs w:val="24"/>
                <w:highlight w:val="none"/>
                <w:lang w:val="en-US" w:eastAsia="zh-CN"/>
              </w:rPr>
              <w:t>上</w:t>
            </w:r>
            <w:r>
              <w:rPr>
                <w:rFonts w:hint="default" w:ascii="Times New Roman" w:hAnsi="Times New Roman" w:cs="Times New Roman"/>
                <w:color w:val="auto"/>
                <w:szCs w:val="24"/>
                <w:highlight w:val="none"/>
              </w:rPr>
              <w:t>表可知，</w:t>
            </w:r>
            <w:r>
              <w:rPr>
                <w:rFonts w:hint="default" w:ascii="Times New Roman" w:hAnsi="Times New Roman" w:cs="Times New Roman"/>
                <w:color w:val="auto"/>
                <w:szCs w:val="21"/>
                <w:highlight w:val="none"/>
                <w:lang w:val="en-US" w:eastAsia="zh-CN"/>
              </w:rPr>
              <w:t>改性粉体</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砂浆生产线</w:t>
            </w:r>
            <w:r>
              <w:rPr>
                <w:rFonts w:hint="default" w:ascii="Times New Roman" w:hAnsi="Times New Roman" w:cs="Times New Roman"/>
                <w:color w:val="auto"/>
                <w:szCs w:val="24"/>
                <w:highlight w:val="none"/>
              </w:rPr>
              <w:t>粉尘排放满足《水泥工业大气污染物排放标准》（GB</w:t>
            </w:r>
            <w:r>
              <w:rPr>
                <w:rFonts w:hint="default" w:ascii="Times New Roman" w:hAnsi="Times New Roman" w:cs="Times New Roman"/>
                <w:color w:val="auto"/>
                <w:szCs w:val="24"/>
                <w:highlight w:val="none"/>
                <w:lang w:val="en-US" w:eastAsia="zh-CN"/>
              </w:rPr>
              <w:t xml:space="preserve"> </w:t>
            </w:r>
            <w:r>
              <w:rPr>
                <w:rFonts w:hint="default" w:ascii="Times New Roman" w:hAnsi="Times New Roman" w:cs="Times New Roman"/>
                <w:color w:val="auto"/>
                <w:szCs w:val="24"/>
                <w:highlight w:val="none"/>
              </w:rPr>
              <w:t>4915-2013）表1中标准限值（排放浓度限值20</w:t>
            </w:r>
            <w:r>
              <w:rPr>
                <w:rFonts w:hint="default" w:ascii="Times New Roman" w:hAnsi="Times New Roman" w:cs="Times New Roman"/>
                <w:color w:val="auto"/>
                <w:szCs w:val="24"/>
                <w:highlight w:val="none"/>
                <w:lang w:val="en-US" w:eastAsia="zh-CN"/>
              </w:rPr>
              <w:t xml:space="preserve"> </w:t>
            </w:r>
            <w:r>
              <w:rPr>
                <w:rFonts w:hint="default" w:ascii="Times New Roman" w:hAnsi="Times New Roman" w:cs="Times New Roman"/>
                <w:color w:val="auto"/>
                <w:szCs w:val="24"/>
                <w:highlight w:val="none"/>
              </w:rPr>
              <w:t>mg/m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），故有组织粉尘可达标排放。</w:t>
            </w:r>
            <w:r>
              <w:rPr>
                <w:rFonts w:hint="default" w:ascii="Times New Roman" w:hAnsi="Times New Roman" w:cs="Times New Roman"/>
                <w:bCs/>
                <w:color w:val="auto"/>
                <w:highlight w:val="none"/>
              </w:rPr>
              <w:t>本次将全厂无组织</w:t>
            </w:r>
            <w:r>
              <w:rPr>
                <w:rFonts w:hint="default" w:ascii="Times New Roman" w:hAnsi="Times New Roman" w:cs="Times New Roman"/>
                <w:bCs/>
                <w:color w:val="auto"/>
                <w:highlight w:val="none"/>
                <w:lang w:val="en-US" w:eastAsia="zh-CN"/>
              </w:rPr>
              <w:t>加工</w:t>
            </w:r>
            <w:r>
              <w:rPr>
                <w:rFonts w:hint="default" w:ascii="Times New Roman" w:hAnsi="Times New Roman" w:cs="Times New Roman"/>
                <w:bCs/>
                <w:color w:val="auto"/>
                <w:highlight w:val="none"/>
              </w:rPr>
              <w:t>粉尘整体进行估算（详见本章第3小节达标性分析）。</w:t>
            </w:r>
          </w:p>
          <w:p w14:paraId="67AC3CF5">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可行性分析：</w:t>
            </w:r>
            <w:r>
              <w:rPr>
                <w:rFonts w:hint="default" w:ascii="Times New Roman" w:hAnsi="Times New Roman" w:cs="Times New Roman"/>
                <w:color w:val="auto"/>
                <w:sz w:val="24"/>
                <w:highlight w:val="none"/>
              </w:rPr>
              <w:t>本次参照《排污许可证申请与核发技术规范  水泥工业》（HJ847-2017）附录B中污染防治可行技术可知，</w:t>
            </w:r>
            <w:r>
              <w:rPr>
                <w:rFonts w:hint="default" w:ascii="Times New Roman" w:hAnsi="Times New Roman" w:cs="Times New Roman"/>
                <w:color w:val="auto"/>
                <w:sz w:val="24"/>
                <w:highlight w:val="none"/>
                <w:lang w:val="en-US" w:eastAsia="zh-CN"/>
              </w:rPr>
              <w:t>改性粉体</w:t>
            </w:r>
            <w:r>
              <w:rPr>
                <w:rFonts w:hint="default" w:ascii="Times New Roman" w:hAnsi="Times New Roman" w:cs="Times New Roman"/>
                <w:color w:val="auto"/>
                <w:sz w:val="24"/>
                <w:highlight w:val="none"/>
              </w:rPr>
              <w:t>、砂浆生产线搅拌、包装环节采取布袋除尘器处理粉尘可行；</w:t>
            </w:r>
            <w:r>
              <w:rPr>
                <w:rFonts w:hint="default" w:ascii="Times New Roman" w:hAnsi="Times New Roman" w:cs="Times New Roman"/>
                <w:color w:val="auto"/>
                <w:kern w:val="0"/>
                <w:sz w:val="24"/>
                <w:highlight w:val="none"/>
              </w:rPr>
              <w:t>同时，</w:t>
            </w:r>
            <w:r>
              <w:rPr>
                <w:rFonts w:hint="default" w:ascii="Times New Roman" w:hAnsi="Times New Roman" w:cs="Times New Roman"/>
                <w:color w:val="auto"/>
                <w:sz w:val="24"/>
                <w:highlight w:val="none"/>
              </w:rPr>
              <w:t>通过采取车间封闭、原料区三面封闭+顶棚处置、合理控制卸料高度等措施可有效降低无组织粉尘产生量；此外，粉尘可做到达标排放。因此，上述环保措施可行。</w:t>
            </w:r>
          </w:p>
          <w:p w14:paraId="6DFA9353">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（3）运输扬尘</w:t>
            </w:r>
          </w:p>
          <w:p w14:paraId="24F222B8">
            <w:pPr>
              <w:adjustRightInd w:val="0"/>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源强核算：</w:t>
            </w:r>
            <w:r>
              <w:rPr>
                <w:rFonts w:hint="default" w:ascii="Times New Roman" w:hAnsi="Times New Roman" w:cs="Times New Roman"/>
                <w:color w:val="auto"/>
                <w:sz w:val="24"/>
                <w:highlight w:val="none"/>
              </w:rPr>
              <w:t>车辆行驶按起尘的原因可分为风力起尘和动力起尘，其中风力起尘主要是由于裸露的路面表层浮尘由于天气干燥及大风，产生风力扬尘；而动力起尘，主要是装卸过程中，由于外力而产生的尘粒再悬浮所造成的。</w:t>
            </w:r>
          </w:p>
          <w:p w14:paraId="7746E38D">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据有关文献资料介绍，车辆行驶产生的扬尘占总扬尘的60%以上。车辆行驶产生的扬尘，在完全干燥情况下，可按下列经验公式计算：</w:t>
            </w:r>
          </w:p>
          <w:p w14:paraId="00868EC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0" distR="0">
                  <wp:extent cx="3423920" cy="223520"/>
                  <wp:effectExtent l="0" t="0" r="0" b="4445"/>
                  <wp:docPr id="2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3"/>
                          <pic:cNvPicPr>
                            <a:picLocks noChangeAspect="1" noChangeArrowheads="1"/>
                          </pic:cNvPicPr>
                        </pic:nvPicPr>
                        <pic:blipFill>
                          <a:blip r:embed="rId17" cstate="print"/>
                          <a:srcRect/>
                          <a:stretch>
                            <a:fillRect/>
                          </a:stretch>
                        </pic:blipFill>
                        <pic:spPr>
                          <a:xfrm>
                            <a:off x="0" y="0"/>
                            <a:ext cx="3423920" cy="223520"/>
                          </a:xfrm>
                          <a:prstGeom prst="rect">
                            <a:avLst/>
                          </a:prstGeom>
                          <a:noFill/>
                          <a:ln w="9525" cmpd="sng">
                            <a:noFill/>
                            <a:miter lim="800000"/>
                            <a:headEnd/>
                            <a:tailEnd/>
                          </a:ln>
                        </pic:spPr>
                      </pic:pic>
                    </a:graphicData>
                  </a:graphic>
                </wp:inline>
              </w:drawing>
            </w:r>
          </w:p>
          <w:p w14:paraId="1D750F8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0" o:spt="75" type="#_x0000_t75" style="height:16.45pt;width:91.55pt;" o:ole="t" filled="f" o:preferrelative="t" stroked="f" coordsize="21600,21600">
                  <v:path/>
                  <v:fill on="f" focussize="0,0"/>
                  <v:stroke on="f" joinstyle="miter"/>
                  <v:imagedata r:id="rId19" o:title=""/>
                  <o:lock v:ext="edit" aspectratio="t"/>
                  <w10:wrap type="none"/>
                  <w10:anchorlock/>
                </v:shape>
                <o:OLEObject Type="Embed" ProgID="Equations" ShapeID="_x0000_i1030" DrawAspect="Content" ObjectID="_1468075730" r:id="rId21">
                  <o:LockedField>false</o:LockedField>
                </o:OLEObject>
              </w:object>
            </w:r>
          </w:p>
          <w:p w14:paraId="56DF82F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式中：Q——汽车行驶的扬尘，kg/km·辆；</w:t>
            </w:r>
          </w:p>
          <w:p w14:paraId="38CACD58">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rPr>
              <w:drawing>
                <wp:inline distT="0" distB="0" distL="0" distR="0">
                  <wp:extent cx="53340" cy="106045"/>
                  <wp:effectExtent l="0" t="0" r="3810" b="0"/>
                  <wp:docPr id="2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5"/>
                          <pic:cNvPicPr>
                            <a:picLocks noChangeAspect="1" noChangeArrowheads="1"/>
                          </pic:cNvPicPr>
                        </pic:nvPicPr>
                        <pic:blipFill>
                          <a:blip r:embed="rId20" cstate="print"/>
                          <a:srcRect/>
                          <a:stretch>
                            <a:fillRect/>
                          </a:stretch>
                        </pic:blipFill>
                        <pic:spPr>
                          <a:xfrm>
                            <a:off x="0" y="0"/>
                            <a:ext cx="53340" cy="106045"/>
                          </a:xfrm>
                          <a:prstGeom prst="rect">
                            <a:avLst/>
                          </a:prstGeom>
                          <a:noFill/>
                          <a:ln w="9525" cmpd="sng">
                            <a:noFill/>
                            <a:miter lim="800000"/>
                            <a:headEnd/>
                            <a:tailEnd/>
                          </a:ln>
                        </pic:spPr>
                      </pic:pic>
                    </a:graphicData>
                  </a:graphic>
                </wp:inline>
              </w:drawing>
            </w:r>
            <w:r>
              <w:rPr>
                <w:rFonts w:hint="default" w:ascii="Times New Roman" w:hAnsi="Times New Roman" w:cs="Times New Roman"/>
                <w:color w:val="auto"/>
                <w:sz w:val="24"/>
                <w:highlight w:val="none"/>
              </w:rPr>
              <w:t>——运输途中起尘量，kg/a；</w:t>
            </w:r>
          </w:p>
          <w:p w14:paraId="5A90814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Qp——运输量，t/a；</w:t>
            </w:r>
          </w:p>
          <w:p w14:paraId="202D880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V——汽车行驶速度，km/h；</w:t>
            </w:r>
          </w:p>
          <w:p w14:paraId="6488371D">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W——汽车载重量，吨/辆；</w:t>
            </w:r>
          </w:p>
          <w:p w14:paraId="266DD67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P——道路表面粉尘量，kg/m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14:paraId="408DEDB5">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L——运输距离，km。</w:t>
            </w:r>
          </w:p>
          <w:p w14:paraId="627087DE">
            <w:pPr>
              <w:adjustRightIn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运输车辆在厂区内累计行驶距离按200m计，厂区道路表面粉尘量按0.2</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kg/m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，车速以5</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kern w:val="28"/>
                <w:sz w:val="24"/>
                <w:highlight w:val="none"/>
              </w:rPr>
              <w:t>km/h</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val="en-US" w:eastAsia="zh-CN"/>
              </w:rPr>
              <w:t>改性粉体</w:t>
            </w:r>
            <w:r>
              <w:rPr>
                <w:rFonts w:hint="default" w:ascii="Times New Roman" w:hAnsi="Times New Roman" w:cs="Times New Roman"/>
                <w:color w:val="auto"/>
                <w:sz w:val="24"/>
                <w:highlight w:val="none"/>
              </w:rPr>
              <w:t>、砂浆生产线原料、成品合计年运输量约</w:t>
            </w:r>
            <w:r>
              <w:rPr>
                <w:rFonts w:hint="default" w:ascii="Times New Roman" w:hAnsi="Times New Roman" w:cs="Times New Roman"/>
                <w:color w:val="auto"/>
                <w:sz w:val="24"/>
                <w:highlight w:val="none"/>
                <w:lang w:val="en-US" w:eastAsia="zh-CN"/>
              </w:rPr>
              <w:t>92</w:t>
            </w:r>
            <w:r>
              <w:rPr>
                <w:rFonts w:hint="default" w:ascii="Times New Roman" w:hAnsi="Times New Roman" w:cs="Times New Roman"/>
                <w:color w:val="auto"/>
                <w:sz w:val="24"/>
                <w:highlight w:val="none"/>
              </w:rPr>
              <w:t>万t，汽车载重量约20t/辆。经计算，厂区道路汽车运输扬尘产生量约</w:t>
            </w:r>
            <w:r>
              <w:rPr>
                <w:rFonts w:hint="default" w:ascii="Times New Roman" w:hAnsi="Times New Roman" w:cs="Times New Roman"/>
                <w:color w:val="auto"/>
                <w:sz w:val="24"/>
                <w:highlight w:val="none"/>
                <w:lang w:val="en-US" w:eastAsia="zh-CN"/>
              </w:rPr>
              <w:t xml:space="preserve">2 </w:t>
            </w:r>
            <w:r>
              <w:rPr>
                <w:rFonts w:hint="default" w:ascii="Times New Roman" w:hAnsi="Times New Roman" w:cs="Times New Roman"/>
                <w:color w:val="auto"/>
                <w:sz w:val="24"/>
                <w:highlight w:val="none"/>
              </w:rPr>
              <w:t>t/a。</w:t>
            </w:r>
          </w:p>
          <w:p w14:paraId="0F9E852F">
            <w:pPr>
              <w:adjustRightInd w:val="0"/>
              <w:spacing w:line="36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cs="Times New Roman"/>
                <w:color w:val="auto"/>
                <w:kern w:val="0"/>
                <w:sz w:val="24"/>
                <w:highlight w:val="none"/>
              </w:rPr>
              <w:t>目前厂区主干道已硬化，运行期间进行定期洒水和车辆冲洗，同时采取运输车辆密闭、篷布遮盖等措施，可有效</w:t>
            </w:r>
            <w:r>
              <w:rPr>
                <w:rFonts w:hint="default" w:ascii="Times New Roman" w:hAnsi="Times New Roman" w:cs="Times New Roman"/>
                <w:color w:val="auto"/>
                <w:sz w:val="24"/>
                <w:highlight w:val="none"/>
              </w:rPr>
              <w:t>减少汽车运输扬尘，预计可减少80%左右，则汽车运输扬尘排放量约0.</w:t>
            </w:r>
            <w:r>
              <w:rPr>
                <w:rFonts w:hint="default" w:ascii="Times New Roman" w:hAnsi="Times New Roman" w:cs="Times New Roman"/>
                <w:color w:val="auto"/>
                <w:sz w:val="24"/>
                <w:highlight w:val="none"/>
                <w:lang w:val="en-US" w:eastAsia="zh-CN"/>
              </w:rPr>
              <w:t xml:space="preserve">4 </w:t>
            </w:r>
            <w:r>
              <w:rPr>
                <w:rFonts w:hint="default" w:ascii="Times New Roman" w:hAnsi="Times New Roman" w:cs="Times New Roman"/>
                <w:color w:val="auto"/>
                <w:sz w:val="24"/>
                <w:highlight w:val="none"/>
              </w:rPr>
              <w:t>t/a。</w:t>
            </w:r>
          </w:p>
          <w:p w14:paraId="00141EE5">
            <w:pPr>
              <w:numPr>
                <w:ilvl w:val="0"/>
                <w:numId w:val="5"/>
              </w:numPr>
              <w:spacing w:line="360" w:lineRule="auto"/>
              <w:ind w:firstLine="542" w:firstLineChars="225"/>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lang w:val="en-US" w:eastAsia="zh-CN"/>
              </w:rPr>
              <w:t>本项目</w:t>
            </w:r>
            <w:r>
              <w:rPr>
                <w:rFonts w:hint="default" w:ascii="Times New Roman" w:hAnsi="Times New Roman" w:cs="Times New Roman"/>
                <w:b/>
                <w:bCs w:val="0"/>
                <w:color w:val="auto"/>
                <w:sz w:val="24"/>
                <w:highlight w:val="none"/>
              </w:rPr>
              <w:t>全厂废气</w:t>
            </w:r>
            <w:r>
              <w:rPr>
                <w:rFonts w:hint="default" w:ascii="Times New Roman" w:hAnsi="Times New Roman" w:cs="Times New Roman"/>
                <w:b/>
                <w:bCs w:val="0"/>
                <w:color w:val="auto"/>
                <w:sz w:val="24"/>
                <w:highlight w:val="none"/>
                <w:lang w:val="en-US" w:eastAsia="zh-CN"/>
              </w:rPr>
              <w:t>产排</w:t>
            </w:r>
            <w:r>
              <w:rPr>
                <w:rFonts w:hint="default" w:ascii="Times New Roman" w:hAnsi="Times New Roman" w:cs="Times New Roman"/>
                <w:b/>
                <w:bCs w:val="0"/>
                <w:color w:val="auto"/>
                <w:sz w:val="24"/>
                <w:highlight w:val="none"/>
              </w:rPr>
              <w:t>情况汇总</w:t>
            </w:r>
          </w:p>
          <w:p w14:paraId="789A8FE5">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 xml:space="preserve">  全厂粉尘产排情况汇总表    单位：t/a</w:t>
            </w:r>
          </w:p>
          <w:tbl>
            <w:tblPr>
              <w:tblStyle w:val="32"/>
              <w:tblW w:w="84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621"/>
              <w:gridCol w:w="883"/>
              <w:gridCol w:w="833"/>
              <w:gridCol w:w="2284"/>
              <w:gridCol w:w="1416"/>
              <w:gridCol w:w="1451"/>
            </w:tblGrid>
            <w:tr w14:paraId="2F389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0" w:hRule="atLeast"/>
                <w:jc w:val="center"/>
              </w:trPr>
              <w:tc>
                <w:tcPr>
                  <w:tcW w:w="1621" w:type="dxa"/>
                  <w:vAlign w:val="center"/>
                </w:tcPr>
                <w:p w14:paraId="5282CBE9">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生产线</w:t>
                  </w:r>
                </w:p>
              </w:tc>
              <w:tc>
                <w:tcPr>
                  <w:tcW w:w="883" w:type="dxa"/>
                  <w:vAlign w:val="center"/>
                </w:tcPr>
                <w:p w14:paraId="4E5A68AE">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833" w:type="dxa"/>
                  <w:vAlign w:val="center"/>
                </w:tcPr>
                <w:p w14:paraId="705572E0">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产生量</w:t>
                  </w:r>
                </w:p>
              </w:tc>
              <w:tc>
                <w:tcPr>
                  <w:tcW w:w="2284" w:type="dxa"/>
                  <w:vAlign w:val="center"/>
                </w:tcPr>
                <w:p w14:paraId="4BBE3DAA">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治理措施</w:t>
                  </w:r>
                </w:p>
              </w:tc>
              <w:tc>
                <w:tcPr>
                  <w:tcW w:w="1416" w:type="dxa"/>
                  <w:vAlign w:val="center"/>
                </w:tcPr>
                <w:p w14:paraId="61767B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有组织排放量</w:t>
                  </w:r>
                </w:p>
              </w:tc>
              <w:tc>
                <w:tcPr>
                  <w:tcW w:w="1451" w:type="dxa"/>
                  <w:vAlign w:val="center"/>
                </w:tcPr>
                <w:p w14:paraId="5E3402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无组织排放量</w:t>
                  </w:r>
                </w:p>
              </w:tc>
            </w:tr>
            <w:tr w14:paraId="1BE58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90" w:hRule="atLeast"/>
                <w:jc w:val="center"/>
              </w:trPr>
              <w:tc>
                <w:tcPr>
                  <w:tcW w:w="1621" w:type="dxa"/>
                  <w:vAlign w:val="center"/>
                </w:tcPr>
                <w:p w14:paraId="7C563A08">
                  <w:pPr>
                    <w:snapToGrid w:val="0"/>
                    <w:spacing w:beforeLines="20" w:afterLines="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砂石骨料</w:t>
                  </w:r>
                </w:p>
              </w:tc>
              <w:tc>
                <w:tcPr>
                  <w:tcW w:w="883" w:type="dxa"/>
                  <w:vAlign w:val="center"/>
                </w:tcPr>
                <w:p w14:paraId="17270963">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粉尘</w:t>
                  </w:r>
                </w:p>
              </w:tc>
              <w:tc>
                <w:tcPr>
                  <w:tcW w:w="833" w:type="dxa"/>
                  <w:vAlign w:val="center"/>
                </w:tcPr>
                <w:p w14:paraId="0CEC33B5">
                  <w:pPr>
                    <w:snapToGrid w:val="0"/>
                    <w:spacing w:beforeLines="20" w:afterLines="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1890</w:t>
                  </w:r>
                </w:p>
              </w:tc>
              <w:tc>
                <w:tcPr>
                  <w:tcW w:w="2284" w:type="dxa"/>
                  <w:vAlign w:val="center"/>
                </w:tcPr>
                <w:p w14:paraId="71AB73D7">
                  <w:pPr>
                    <w:snapToGrid w:val="0"/>
                    <w:spacing w:beforeLines="20" w:afterLines="2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生产厂房封闭，</w:t>
                  </w:r>
                  <w:r>
                    <w:rPr>
                      <w:rFonts w:hint="default" w:ascii="Times New Roman" w:hAnsi="Times New Roman" w:cs="Times New Roman"/>
                      <w:color w:val="auto"/>
                      <w:szCs w:val="21"/>
                      <w:highlight w:val="none"/>
                    </w:rPr>
                    <w:t>集尘设施（收集效率9</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%）+袋式除尘器（处理效率99%）</w:t>
                  </w:r>
                </w:p>
              </w:tc>
              <w:tc>
                <w:tcPr>
                  <w:tcW w:w="1416" w:type="dxa"/>
                  <w:vAlign w:val="center"/>
                </w:tcPr>
                <w:p w14:paraId="28ED0E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17.955</w:t>
                  </w:r>
                </w:p>
              </w:tc>
              <w:tc>
                <w:tcPr>
                  <w:tcW w:w="1451" w:type="dxa"/>
                  <w:vAlign w:val="center"/>
                </w:tcPr>
                <w:p w14:paraId="25E52C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9.45</w:t>
                  </w:r>
                </w:p>
              </w:tc>
            </w:tr>
            <w:tr w14:paraId="20733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0" w:hRule="atLeast"/>
                <w:jc w:val="center"/>
              </w:trPr>
              <w:tc>
                <w:tcPr>
                  <w:tcW w:w="1621" w:type="dxa"/>
                  <w:vAlign w:val="center"/>
                </w:tcPr>
                <w:p w14:paraId="4A2AF2FA">
                  <w:pPr>
                    <w:pStyle w:val="46"/>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彩砂生产线</w:t>
                  </w:r>
                </w:p>
              </w:tc>
              <w:tc>
                <w:tcPr>
                  <w:tcW w:w="883" w:type="dxa"/>
                  <w:vAlign w:val="center"/>
                </w:tcPr>
                <w:p w14:paraId="1A5172E8">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粉尘</w:t>
                  </w:r>
                </w:p>
              </w:tc>
              <w:tc>
                <w:tcPr>
                  <w:tcW w:w="833" w:type="dxa"/>
                  <w:vAlign w:val="center"/>
                </w:tcPr>
                <w:p w14:paraId="7CF4D0A6">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945</w:t>
                  </w:r>
                </w:p>
              </w:tc>
              <w:tc>
                <w:tcPr>
                  <w:tcW w:w="2284" w:type="dxa"/>
                  <w:vMerge w:val="restart"/>
                  <w:vAlign w:val="center"/>
                </w:tcPr>
                <w:p w14:paraId="2BB57468">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生产厂房封闭，</w:t>
                  </w:r>
                  <w:r>
                    <w:rPr>
                      <w:rFonts w:hint="default" w:ascii="Times New Roman" w:hAnsi="Times New Roman" w:cs="Times New Roman"/>
                      <w:color w:val="auto"/>
                      <w:szCs w:val="21"/>
                      <w:highlight w:val="none"/>
                    </w:rPr>
                    <w:t>集尘设施（收集效率9</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%）+袋式除尘器（处理效率99%）</w:t>
                  </w:r>
                </w:p>
              </w:tc>
              <w:tc>
                <w:tcPr>
                  <w:tcW w:w="1416" w:type="dxa"/>
                  <w:vAlign w:val="center"/>
                </w:tcPr>
                <w:p w14:paraId="7F6C1782">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8.97</w:t>
                  </w:r>
                  <w:r>
                    <w:rPr>
                      <w:rFonts w:hint="default" w:ascii="Times New Roman" w:hAnsi="Times New Roman" w:cs="Times New Roman"/>
                      <w:i w:val="0"/>
                      <w:iCs w:val="0"/>
                      <w:color w:val="000000"/>
                      <w:kern w:val="0"/>
                      <w:sz w:val="21"/>
                      <w:szCs w:val="21"/>
                      <w:u w:val="none"/>
                      <w:lang w:val="en-US" w:eastAsia="zh-CN" w:bidi="ar"/>
                    </w:rPr>
                    <w:t>8</w:t>
                  </w:r>
                </w:p>
              </w:tc>
              <w:tc>
                <w:tcPr>
                  <w:tcW w:w="1451" w:type="dxa"/>
                  <w:vAlign w:val="center"/>
                </w:tcPr>
                <w:p w14:paraId="6635E2B5">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4.725</w:t>
                  </w:r>
                </w:p>
              </w:tc>
            </w:tr>
            <w:tr w14:paraId="77CC3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0" w:hRule="atLeast"/>
                <w:jc w:val="center"/>
              </w:trPr>
              <w:tc>
                <w:tcPr>
                  <w:tcW w:w="1621" w:type="dxa"/>
                  <w:vAlign w:val="center"/>
                </w:tcPr>
                <w:p w14:paraId="3F676CC4">
                  <w:pPr>
                    <w:pStyle w:val="46"/>
                    <w:snapToGrid w:val="0"/>
                    <w:spacing w:beforeLines="20" w:afterLines="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改性粉体</w:t>
                  </w:r>
                  <w:r>
                    <w:rPr>
                      <w:rFonts w:hint="default" w:ascii="Times New Roman" w:hAnsi="Times New Roman" w:cs="Times New Roman"/>
                      <w:color w:val="auto"/>
                      <w:sz w:val="21"/>
                      <w:szCs w:val="21"/>
                      <w:highlight w:val="none"/>
                    </w:rPr>
                    <w:t>、砂浆生产线</w:t>
                  </w:r>
                </w:p>
              </w:tc>
              <w:tc>
                <w:tcPr>
                  <w:tcW w:w="883" w:type="dxa"/>
                  <w:vAlign w:val="center"/>
                </w:tcPr>
                <w:p w14:paraId="15C4668D">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粉尘</w:t>
                  </w:r>
                </w:p>
              </w:tc>
              <w:tc>
                <w:tcPr>
                  <w:tcW w:w="833" w:type="dxa"/>
                  <w:vAlign w:val="center"/>
                </w:tcPr>
                <w:p w14:paraId="3BC36827">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94.5</w:t>
                  </w:r>
                </w:p>
              </w:tc>
              <w:tc>
                <w:tcPr>
                  <w:tcW w:w="2284" w:type="dxa"/>
                  <w:vMerge w:val="continue"/>
                  <w:vAlign w:val="center"/>
                </w:tcPr>
                <w:p w14:paraId="75B101AE">
                  <w:pPr>
                    <w:snapToGrid w:val="0"/>
                    <w:spacing w:beforeLines="20" w:afterLines="20"/>
                    <w:jc w:val="center"/>
                    <w:rPr>
                      <w:rFonts w:hint="default" w:ascii="Times New Roman" w:hAnsi="Times New Roman" w:cs="Times New Roman"/>
                      <w:color w:val="auto"/>
                      <w:szCs w:val="21"/>
                      <w:highlight w:val="none"/>
                    </w:rPr>
                  </w:pPr>
                </w:p>
              </w:tc>
              <w:tc>
                <w:tcPr>
                  <w:tcW w:w="1416" w:type="dxa"/>
                  <w:vAlign w:val="center"/>
                </w:tcPr>
                <w:p w14:paraId="2A69DF79">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0.898</w:t>
                  </w:r>
                </w:p>
              </w:tc>
              <w:tc>
                <w:tcPr>
                  <w:tcW w:w="1451" w:type="dxa"/>
                  <w:vAlign w:val="center"/>
                </w:tcPr>
                <w:p w14:paraId="090D268D">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0.473</w:t>
                  </w:r>
                </w:p>
              </w:tc>
            </w:tr>
            <w:tr w14:paraId="31999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0" w:hRule="atLeast"/>
                <w:jc w:val="center"/>
              </w:trPr>
              <w:tc>
                <w:tcPr>
                  <w:tcW w:w="1621" w:type="dxa"/>
                  <w:vAlign w:val="center"/>
                </w:tcPr>
                <w:p w14:paraId="22D17217">
                  <w:pPr>
                    <w:pStyle w:val="46"/>
                    <w:snapToGrid w:val="0"/>
                    <w:spacing w:beforeLines="20" w:afterLines="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车辆运输</w:t>
                  </w:r>
                </w:p>
              </w:tc>
              <w:tc>
                <w:tcPr>
                  <w:tcW w:w="883" w:type="dxa"/>
                  <w:vAlign w:val="center"/>
                </w:tcPr>
                <w:p w14:paraId="58B15E59">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粉尘</w:t>
                  </w:r>
                </w:p>
              </w:tc>
              <w:tc>
                <w:tcPr>
                  <w:tcW w:w="833" w:type="dxa"/>
                  <w:vAlign w:val="center"/>
                </w:tcPr>
                <w:p w14:paraId="51BCDE45">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.54</w:t>
                  </w:r>
                </w:p>
              </w:tc>
              <w:tc>
                <w:tcPr>
                  <w:tcW w:w="2284" w:type="dxa"/>
                  <w:vAlign w:val="center"/>
                </w:tcPr>
                <w:p w14:paraId="4BDCBBAB">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定期洒水和车辆冲洗（抑尘效率80%）</w:t>
                  </w:r>
                </w:p>
              </w:tc>
              <w:tc>
                <w:tcPr>
                  <w:tcW w:w="1416" w:type="dxa"/>
                  <w:vAlign w:val="center"/>
                </w:tcPr>
                <w:p w14:paraId="1C9B7734">
                  <w:pPr>
                    <w:keepNext w:val="0"/>
                    <w:keepLines w:val="0"/>
                    <w:widowControl/>
                    <w:suppressLineNumbers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451" w:type="dxa"/>
                  <w:vAlign w:val="center"/>
                </w:tcPr>
                <w:p w14:paraId="76774F30">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1.708</w:t>
                  </w:r>
                </w:p>
              </w:tc>
            </w:tr>
            <w:tr w14:paraId="7B914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0" w:hRule="atLeast"/>
                <w:jc w:val="center"/>
              </w:trPr>
              <w:tc>
                <w:tcPr>
                  <w:tcW w:w="1621" w:type="dxa"/>
                  <w:vAlign w:val="center"/>
                </w:tcPr>
                <w:p w14:paraId="2E453202">
                  <w:pPr>
                    <w:pStyle w:val="46"/>
                    <w:snapToGrid w:val="0"/>
                    <w:spacing w:beforeLines="20" w:afterLines="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堆存及装卸</w:t>
                  </w:r>
                </w:p>
              </w:tc>
              <w:tc>
                <w:tcPr>
                  <w:tcW w:w="883" w:type="dxa"/>
                  <w:vAlign w:val="center"/>
                </w:tcPr>
                <w:p w14:paraId="4DD62B89">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粉尘</w:t>
                  </w:r>
                </w:p>
              </w:tc>
              <w:tc>
                <w:tcPr>
                  <w:tcW w:w="833" w:type="dxa"/>
                  <w:vAlign w:val="center"/>
                </w:tcPr>
                <w:p w14:paraId="3071656F">
                  <w:pPr>
                    <w:snapToGrid w:val="0"/>
                    <w:spacing w:beforeLines="20" w:afterLines="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29.263</w:t>
                  </w:r>
                </w:p>
              </w:tc>
              <w:tc>
                <w:tcPr>
                  <w:tcW w:w="2284" w:type="dxa"/>
                  <w:vAlign w:val="center"/>
                </w:tcPr>
                <w:p w14:paraId="32593F54">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半封闭</w:t>
                  </w:r>
                  <w:r>
                    <w:rPr>
                      <w:rFonts w:hint="default" w:ascii="Times New Roman" w:hAnsi="Times New Roman" w:cs="Times New Roman"/>
                      <w:color w:val="auto"/>
                      <w:szCs w:val="21"/>
                      <w:highlight w:val="none"/>
                      <w:lang w:val="en-US" w:eastAsia="zh-CN"/>
                    </w:rPr>
                    <w:t>区间9</w:t>
                  </w:r>
                  <w:r>
                    <w:rPr>
                      <w:rFonts w:hint="default" w:ascii="Times New Roman" w:hAnsi="Times New Roman" w:cs="Times New Roman"/>
                      <w:color w:val="auto"/>
                      <w:szCs w:val="21"/>
                      <w:highlight w:val="none"/>
                    </w:rPr>
                    <w:t>0%抑尘效率+</w:t>
                  </w:r>
                  <w:r>
                    <w:rPr>
                      <w:rFonts w:hint="default" w:ascii="Times New Roman" w:hAnsi="Times New Roman" w:cs="Times New Roman"/>
                      <w:color w:val="auto"/>
                      <w:szCs w:val="21"/>
                      <w:highlight w:val="none"/>
                      <w:lang w:val="en-US" w:eastAsia="zh-CN"/>
                    </w:rPr>
                    <w:t>水泥罐</w:t>
                  </w:r>
                  <w:r>
                    <w:rPr>
                      <w:rFonts w:hint="default" w:ascii="Times New Roman" w:hAnsi="Times New Roman" w:cs="Times New Roman"/>
                      <w:color w:val="auto"/>
                      <w:szCs w:val="21"/>
                      <w:highlight w:val="none"/>
                    </w:rPr>
                    <w:t>仓顶</w:t>
                  </w:r>
                  <w:r>
                    <w:rPr>
                      <w:rFonts w:hint="default" w:ascii="Times New Roman" w:hAnsi="Times New Roman" w:cs="Times New Roman"/>
                      <w:color w:val="auto"/>
                      <w:highlight w:val="none"/>
                      <w:lang w:eastAsia="zh-CN"/>
                    </w:rPr>
                    <w:t>布袋除尘器</w:t>
                  </w:r>
                  <w:r>
                    <w:rPr>
                      <w:rFonts w:hint="default" w:ascii="Times New Roman" w:hAnsi="Times New Roman" w:cs="Times New Roman"/>
                      <w:color w:val="auto"/>
                      <w:szCs w:val="21"/>
                      <w:highlight w:val="none"/>
                    </w:rPr>
                    <w:t>除尘99%</w:t>
                  </w:r>
                </w:p>
              </w:tc>
              <w:tc>
                <w:tcPr>
                  <w:tcW w:w="1416" w:type="dxa"/>
                  <w:vAlign w:val="center"/>
                </w:tcPr>
                <w:p w14:paraId="64CAF1D5">
                  <w:pPr>
                    <w:widowControl/>
                    <w:spacing w:beforeLines="20" w:afterLines="2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1451" w:type="dxa"/>
                  <w:vAlign w:val="center"/>
                </w:tcPr>
                <w:p w14:paraId="191E528E">
                  <w:pPr>
                    <w:adjustRightInd w:val="0"/>
                    <w:snapToGrid w:val="0"/>
                    <w:spacing w:beforeLines="20" w:afterLines="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0.66</w:t>
                  </w:r>
                </w:p>
              </w:tc>
            </w:tr>
            <w:tr w14:paraId="3F9DD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cantSplit/>
                <w:trHeight w:val="0" w:hRule="atLeast"/>
                <w:jc w:val="center"/>
              </w:trPr>
              <w:tc>
                <w:tcPr>
                  <w:tcW w:w="2504" w:type="dxa"/>
                  <w:gridSpan w:val="2"/>
                  <w:vAlign w:val="center"/>
                </w:tcPr>
                <w:p w14:paraId="7AE6B91D">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833" w:type="dxa"/>
                  <w:shd w:val="clear" w:color="auto" w:fill="auto"/>
                  <w:vAlign w:val="center"/>
                </w:tcPr>
                <w:p w14:paraId="0ADD4C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2967.303</w:t>
                  </w:r>
                </w:p>
              </w:tc>
              <w:tc>
                <w:tcPr>
                  <w:tcW w:w="2284" w:type="dxa"/>
                  <w:vAlign w:val="center"/>
                </w:tcPr>
                <w:p w14:paraId="176BB862">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416" w:type="dxa"/>
                  <w:vAlign w:val="center"/>
                </w:tcPr>
                <w:p w14:paraId="2913A9ED">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27.8</w:t>
                  </w:r>
                  <w:r>
                    <w:rPr>
                      <w:rFonts w:hint="default" w:ascii="Times New Roman" w:hAnsi="Times New Roman" w:cs="Times New Roman"/>
                      <w:i w:val="0"/>
                      <w:iCs w:val="0"/>
                      <w:color w:val="000000"/>
                      <w:kern w:val="0"/>
                      <w:sz w:val="21"/>
                      <w:szCs w:val="21"/>
                      <w:u w:val="none"/>
                      <w:lang w:val="en-US" w:eastAsia="zh-CN" w:bidi="ar"/>
                    </w:rPr>
                    <w:t>31</w:t>
                  </w:r>
                </w:p>
              </w:tc>
              <w:tc>
                <w:tcPr>
                  <w:tcW w:w="1451" w:type="dxa"/>
                  <w:vAlign w:val="center"/>
                </w:tcPr>
                <w:p w14:paraId="1B8D8BB4">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17.016</w:t>
                  </w:r>
                </w:p>
              </w:tc>
            </w:tr>
          </w:tbl>
          <w:p w14:paraId="41FDCCCC">
            <w:pPr>
              <w:keepNext w:val="0"/>
              <w:keepLines w:val="0"/>
              <w:widowControl/>
              <w:suppressLineNumbers w:val="0"/>
              <w:spacing w:before="0" w:beforeAutospacing="0" w:after="0" w:afterAutospacing="0" w:line="360" w:lineRule="auto"/>
              <w:ind w:left="0" w:right="0" w:firstLine="480"/>
              <w:jc w:val="both"/>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排气筒设置合理性</w:t>
            </w:r>
          </w:p>
          <w:p w14:paraId="2EFE696D">
            <w:pPr>
              <w:keepNext w:val="0"/>
              <w:keepLines w:val="0"/>
              <w:widowControl/>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cs="Times New Roman"/>
                <w:color w:val="auto"/>
                <w:sz w:val="24"/>
                <w:lang w:val="en-US" w:eastAsia="zh-CN"/>
              </w:rPr>
              <w:t>DA 001、DA 002排气口</w:t>
            </w:r>
            <w:r>
              <w:rPr>
                <w:rFonts w:hint="default" w:ascii="Times New Roman" w:hAnsi="Times New Roman" w:eastAsia="宋体" w:cs="Times New Roman"/>
                <w:color w:val="auto"/>
                <w:sz w:val="24"/>
                <w:lang w:val="en-US" w:eastAsia="zh-CN"/>
              </w:rPr>
              <w:t>颗粒物执行</w:t>
            </w:r>
            <w:r>
              <w:rPr>
                <w:rFonts w:hint="default" w:ascii="Times New Roman" w:hAnsi="Times New Roman" w:eastAsia="宋体" w:cs="Times New Roman"/>
                <w:color w:val="auto"/>
                <w:sz w:val="24"/>
              </w:rPr>
              <w:t>《大气污染物综合排放标准》（GB</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16297</w:t>
            </w:r>
            <w:r>
              <w:rPr>
                <w:rFonts w:hint="default" w:ascii="Times New Roman" w:hAnsi="Times New Roman" w:eastAsia="宋体" w:cs="Times New Roman"/>
                <w:color w:val="auto"/>
                <w:sz w:val="24"/>
                <w:highlight w:val="none"/>
              </w:rPr>
              <w:t>-1996）</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根据</w:t>
            </w:r>
            <w:r>
              <w:rPr>
                <w:rFonts w:hint="default" w:ascii="Times New Roman" w:hAnsi="Times New Roman" w:eastAsia="宋体" w:cs="Times New Roman"/>
                <w:color w:val="auto"/>
                <w:sz w:val="24"/>
              </w:rPr>
              <w:t>《大气污染物综合排放标准》（GB</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16297-1996）</w:t>
            </w:r>
            <w:r>
              <w:rPr>
                <w:rFonts w:hint="default" w:ascii="Times New Roman" w:hAnsi="Times New Roman" w:eastAsia="宋体" w:cs="Times New Roman"/>
                <w:color w:val="auto"/>
                <w:sz w:val="24"/>
                <w:lang w:val="en-US" w:eastAsia="zh-CN"/>
              </w:rPr>
              <w:t>P 13要求，</w:t>
            </w:r>
            <w:r>
              <w:rPr>
                <w:rFonts w:hint="default" w:ascii="Times New Roman" w:hAnsi="Times New Roman" w:eastAsia="宋体" w:cs="Times New Roman"/>
                <w:color w:val="auto"/>
                <w:sz w:val="24"/>
              </w:rPr>
              <w:t>7.1排气筒高度除须遵守表列排放速率标准值外，还应高出周围200 m半径范围的建筑5 m以上。</w:t>
            </w:r>
          </w:p>
          <w:p w14:paraId="03C9A912">
            <w:pPr>
              <w:keepNext w:val="0"/>
              <w:keepLines w:val="0"/>
              <w:widowControl/>
              <w:suppressLineNumbers w:val="0"/>
              <w:spacing w:before="0" w:beforeAutospacing="0" w:after="0" w:afterAutospacing="0" w:line="360" w:lineRule="auto"/>
              <w:ind w:left="0" w:right="0" w:firstLine="48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DA 003排气口</w:t>
            </w:r>
            <w:r>
              <w:rPr>
                <w:rFonts w:hint="default" w:ascii="Times New Roman" w:hAnsi="Times New Roman" w:eastAsia="宋体" w:cs="Times New Roman"/>
                <w:color w:val="auto"/>
                <w:sz w:val="24"/>
                <w:lang w:val="en-US" w:eastAsia="zh-CN"/>
              </w:rPr>
              <w:t>颗粒物执行《水泥工业大气污染物排放标准》（GB 4915-2013）</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 xml:space="preserve">根据《水泥工业大气污染物排放标准》（GB 4915-2013）P </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要求，</w:t>
            </w:r>
            <w:r>
              <w:rPr>
                <w:rFonts w:hint="default" w:ascii="Times New Roman" w:hAnsi="Times New Roman" w:cs="Times New Roman"/>
                <w:color w:val="auto"/>
                <w:sz w:val="24"/>
                <w:lang w:val="en-US" w:eastAsia="zh-CN"/>
              </w:rPr>
              <w:t>4.3.3除储库底、地坑及物料转运点单机除尘设施外，其他排气筒高度应不低于15 m。排气筒高度应高出本体建（构）筑物3 m以上。</w:t>
            </w:r>
          </w:p>
          <w:p w14:paraId="40A67837">
            <w:pPr>
              <w:keepNext w:val="0"/>
              <w:keepLines w:val="0"/>
              <w:suppressLineNumbers w:val="0"/>
              <w:adjustRightInd w:val="0"/>
              <w:snapToGrid w:val="0"/>
              <w:spacing w:before="0" w:beforeAutospacing="0" w:after="0" w:afterAutospacing="0" w:line="360" w:lineRule="auto"/>
              <w:ind w:left="0" w:right="0" w:firstLine="440" w:firstLineChars="200"/>
              <w:jc w:val="both"/>
              <w:rPr>
                <w:rFonts w:hint="default" w:ascii="Times New Roman" w:hAnsi="Times New Roman" w:eastAsia="宋体" w:cs="Times New Roman"/>
                <w:bCs/>
                <w:color w:val="auto"/>
                <w:spacing w:val="-10"/>
                <w:sz w:val="24"/>
                <w:lang w:val="en-US" w:eastAsia="zh-CN"/>
              </w:rPr>
            </w:pPr>
            <w:r>
              <w:rPr>
                <w:rFonts w:hint="default" w:ascii="Times New Roman" w:hAnsi="Times New Roman" w:cs="Times New Roman"/>
                <w:bCs/>
                <w:color w:val="auto"/>
                <w:spacing w:val="-10"/>
                <w:sz w:val="24"/>
                <w:lang w:val="en-US" w:eastAsia="zh-CN"/>
              </w:rPr>
              <w:t>据调查，</w:t>
            </w:r>
            <w:r>
              <w:rPr>
                <w:rFonts w:hint="default" w:ascii="Times New Roman" w:hAnsi="Times New Roman" w:eastAsia="宋体" w:cs="Times New Roman"/>
                <w:bCs/>
                <w:color w:val="auto"/>
                <w:spacing w:val="-10"/>
                <w:sz w:val="24"/>
                <w:lang w:val="en-US" w:eastAsia="zh-CN"/>
              </w:rPr>
              <w:t>项目</w:t>
            </w:r>
            <w:r>
              <w:rPr>
                <w:rFonts w:hint="default" w:ascii="Times New Roman" w:hAnsi="Times New Roman" w:cs="Times New Roman"/>
                <w:bCs/>
                <w:color w:val="auto"/>
                <w:spacing w:val="-10"/>
                <w:sz w:val="24"/>
                <w:lang w:val="en-US" w:eastAsia="zh-CN"/>
              </w:rPr>
              <w:t>地</w:t>
            </w:r>
            <w:r>
              <w:rPr>
                <w:rFonts w:hint="default" w:ascii="Times New Roman" w:hAnsi="Times New Roman" w:eastAsia="宋体" w:cs="Times New Roman"/>
                <w:bCs/>
                <w:color w:val="auto"/>
                <w:spacing w:val="-10"/>
                <w:sz w:val="24"/>
                <w:lang w:val="en-US" w:eastAsia="zh-CN"/>
              </w:rPr>
              <w:t>及周边200m范围内最高建筑物</w:t>
            </w:r>
            <w:r>
              <w:rPr>
                <w:rFonts w:hint="default" w:ascii="Times New Roman" w:hAnsi="Times New Roman" w:cs="Times New Roman"/>
                <w:bCs/>
                <w:color w:val="auto"/>
                <w:spacing w:val="-10"/>
                <w:sz w:val="24"/>
                <w:lang w:val="en-US" w:eastAsia="zh-CN"/>
              </w:rPr>
              <w:t>为本项目厂房高度约12 m。</w:t>
            </w:r>
            <w:r>
              <w:rPr>
                <w:rFonts w:hint="default" w:ascii="Times New Roman" w:hAnsi="Times New Roman" w:eastAsia="宋体" w:cs="Times New Roman"/>
                <w:bCs/>
                <w:color w:val="auto"/>
                <w:spacing w:val="-10"/>
                <w:sz w:val="24"/>
                <w:lang w:val="en-US" w:eastAsia="zh-CN"/>
              </w:rPr>
              <w:t>因此，DA001</w:t>
            </w:r>
            <w:r>
              <w:rPr>
                <w:rFonts w:hint="default" w:ascii="Times New Roman" w:hAnsi="Times New Roman" w:cs="Times New Roman"/>
                <w:color w:val="auto"/>
                <w:sz w:val="24"/>
                <w:lang w:val="en-US" w:eastAsia="zh-CN"/>
              </w:rPr>
              <w:t>、DA 002</w:t>
            </w:r>
            <w:r>
              <w:rPr>
                <w:rFonts w:hint="default" w:ascii="Times New Roman" w:hAnsi="Times New Roman" w:eastAsia="宋体" w:cs="Times New Roman"/>
                <w:bCs/>
                <w:color w:val="auto"/>
                <w:spacing w:val="-10"/>
                <w:sz w:val="24"/>
                <w:lang w:val="en-US" w:eastAsia="zh-CN"/>
              </w:rPr>
              <w:t>排气筒高</w:t>
            </w:r>
            <w:r>
              <w:rPr>
                <w:rFonts w:hint="default" w:ascii="Times New Roman" w:hAnsi="Times New Roman" w:cs="Times New Roman"/>
                <w:bCs/>
                <w:color w:val="auto"/>
                <w:spacing w:val="-10"/>
                <w:sz w:val="24"/>
                <w:lang w:val="en-US" w:eastAsia="zh-CN"/>
              </w:rPr>
              <w:t>度</w:t>
            </w:r>
            <w:r>
              <w:rPr>
                <w:rFonts w:hint="default" w:ascii="Times New Roman" w:hAnsi="Times New Roman" w:eastAsia="宋体" w:cs="Times New Roman"/>
                <w:bCs/>
                <w:color w:val="auto"/>
                <w:spacing w:val="-10"/>
                <w:sz w:val="24"/>
                <w:lang w:val="en-US" w:eastAsia="zh-CN"/>
              </w:rPr>
              <w:t>设置为</w:t>
            </w:r>
            <w:r>
              <w:rPr>
                <w:rFonts w:hint="default" w:ascii="Times New Roman" w:hAnsi="Times New Roman" w:cs="Times New Roman"/>
                <w:bCs/>
                <w:color w:val="auto"/>
                <w:spacing w:val="-10"/>
                <w:sz w:val="24"/>
                <w:lang w:val="en-US" w:eastAsia="zh-CN"/>
              </w:rPr>
              <w:t xml:space="preserve">不低于17 </w:t>
            </w:r>
            <w:r>
              <w:rPr>
                <w:rFonts w:hint="default" w:ascii="Times New Roman" w:hAnsi="Times New Roman" w:eastAsia="宋体" w:cs="Times New Roman"/>
                <w:bCs/>
                <w:color w:val="auto"/>
                <w:spacing w:val="-10"/>
                <w:sz w:val="24"/>
                <w:lang w:val="en-US" w:eastAsia="zh-CN"/>
              </w:rPr>
              <w:t>m，</w:t>
            </w:r>
            <w:r>
              <w:rPr>
                <w:rFonts w:hint="default" w:ascii="Times New Roman" w:hAnsi="Times New Roman" w:cs="Times New Roman"/>
                <w:color w:val="auto"/>
                <w:sz w:val="24"/>
                <w:lang w:val="en-US" w:eastAsia="zh-CN"/>
              </w:rPr>
              <w:t>DA 003</w:t>
            </w:r>
            <w:r>
              <w:rPr>
                <w:rFonts w:hint="default" w:ascii="Times New Roman" w:hAnsi="Times New Roman" w:eastAsia="宋体" w:cs="Times New Roman"/>
                <w:bCs/>
                <w:color w:val="auto"/>
                <w:spacing w:val="-10"/>
                <w:sz w:val="24"/>
                <w:lang w:val="en-US" w:eastAsia="zh-CN"/>
              </w:rPr>
              <w:t>排气筒高</w:t>
            </w:r>
            <w:r>
              <w:rPr>
                <w:rFonts w:hint="default" w:ascii="Times New Roman" w:hAnsi="Times New Roman" w:cs="Times New Roman"/>
                <w:bCs/>
                <w:color w:val="auto"/>
                <w:spacing w:val="-10"/>
                <w:sz w:val="24"/>
                <w:lang w:val="en-US" w:eastAsia="zh-CN"/>
              </w:rPr>
              <w:t>度</w:t>
            </w:r>
            <w:r>
              <w:rPr>
                <w:rFonts w:hint="default" w:ascii="Times New Roman" w:hAnsi="Times New Roman" w:eastAsia="宋体" w:cs="Times New Roman"/>
                <w:bCs/>
                <w:color w:val="auto"/>
                <w:spacing w:val="-10"/>
                <w:sz w:val="24"/>
                <w:lang w:val="en-US" w:eastAsia="zh-CN"/>
              </w:rPr>
              <w:t>设置为</w:t>
            </w:r>
            <w:r>
              <w:rPr>
                <w:rFonts w:hint="default" w:ascii="Times New Roman" w:hAnsi="Times New Roman" w:cs="Times New Roman"/>
                <w:bCs/>
                <w:color w:val="auto"/>
                <w:spacing w:val="-10"/>
                <w:sz w:val="24"/>
                <w:lang w:val="en-US" w:eastAsia="zh-CN"/>
              </w:rPr>
              <w:t xml:space="preserve">不低于15 </w:t>
            </w:r>
            <w:r>
              <w:rPr>
                <w:rFonts w:hint="default" w:ascii="Times New Roman" w:hAnsi="Times New Roman" w:eastAsia="宋体" w:cs="Times New Roman"/>
                <w:bCs/>
                <w:color w:val="auto"/>
                <w:spacing w:val="-10"/>
                <w:sz w:val="24"/>
                <w:lang w:val="en-US" w:eastAsia="zh-CN"/>
              </w:rPr>
              <w:t>m，满足标准要求，因此本项目排气筒高度设置合理。</w:t>
            </w:r>
          </w:p>
          <w:p w14:paraId="4BB4F37B">
            <w:pPr>
              <w:pStyle w:val="41"/>
              <w:spacing w:line="360" w:lineRule="auto"/>
              <w:ind w:firstLine="482" w:firstLineChars="20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lang w:val="en-US" w:eastAsia="zh-CN"/>
              </w:rPr>
              <w:t>5.</w:t>
            </w:r>
            <w:r>
              <w:rPr>
                <w:rFonts w:hint="default" w:ascii="Times New Roman" w:hAnsi="Times New Roman" w:cs="Times New Roman"/>
                <w:b/>
                <w:bCs w:val="0"/>
                <w:color w:val="auto"/>
                <w:highlight w:val="none"/>
              </w:rPr>
              <w:t>达标性分析</w:t>
            </w:r>
          </w:p>
          <w:p w14:paraId="5EA7A645">
            <w:pPr>
              <w:pStyle w:val="41"/>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①有组织粉尘达标性分析：根据前文分析，</w:t>
            </w:r>
            <w:r>
              <w:rPr>
                <w:rFonts w:hint="default" w:ascii="Times New Roman" w:hAnsi="Times New Roman" w:cs="Times New Roman"/>
                <w:bCs/>
                <w:color w:val="auto"/>
                <w:highlight w:val="none"/>
                <w:lang w:val="en-US" w:eastAsia="zh-CN"/>
              </w:rPr>
              <w:t>砂石骨料、</w:t>
            </w:r>
            <w:r>
              <w:rPr>
                <w:rFonts w:hint="default" w:ascii="Times New Roman" w:hAnsi="Times New Roman" w:cs="Times New Roman"/>
                <w:bCs/>
                <w:color w:val="auto"/>
                <w:highlight w:val="none"/>
              </w:rPr>
              <w:t>彩砂生产线有组织粉尘</w:t>
            </w:r>
            <w:r>
              <w:rPr>
                <w:rFonts w:hint="default" w:ascii="Times New Roman" w:hAnsi="Times New Roman" w:cs="Times New Roman"/>
                <w:bCs/>
                <w:color w:val="auto"/>
                <w:highlight w:val="none"/>
                <w:lang w:val="en-US" w:eastAsia="zh-CN"/>
              </w:rPr>
              <w:t>排放浓度及速率</w:t>
            </w:r>
            <w:r>
              <w:rPr>
                <w:rFonts w:hint="default" w:ascii="Times New Roman" w:hAnsi="Times New Roman" w:cs="Times New Roman"/>
                <w:bCs/>
                <w:color w:val="auto"/>
                <w:highlight w:val="none"/>
              </w:rPr>
              <w:t>满足</w:t>
            </w:r>
            <w:r>
              <w:rPr>
                <w:rFonts w:hint="default" w:ascii="Times New Roman" w:hAnsi="Times New Roman" w:cs="Times New Roman"/>
                <w:color w:val="auto"/>
                <w:highlight w:val="none"/>
              </w:rPr>
              <w:t>《大气污染物综合排放标准》（GB16297-1996）表2中的排放限值要求；</w:t>
            </w:r>
            <w:r>
              <w:rPr>
                <w:rFonts w:hint="default" w:ascii="Times New Roman" w:hAnsi="Times New Roman" w:cs="Times New Roman"/>
                <w:color w:val="auto"/>
                <w:highlight w:val="none"/>
                <w:lang w:val="en-US" w:eastAsia="zh-CN"/>
              </w:rPr>
              <w:t>改性粉体</w:t>
            </w:r>
            <w:r>
              <w:rPr>
                <w:rFonts w:hint="default" w:ascii="Times New Roman" w:hAnsi="Times New Roman" w:cs="Times New Roman"/>
                <w:color w:val="auto"/>
                <w:highlight w:val="none"/>
              </w:rPr>
              <w:t>、砂浆生产线</w:t>
            </w:r>
            <w:r>
              <w:rPr>
                <w:rFonts w:hint="default" w:ascii="Times New Roman" w:hAnsi="Times New Roman" w:cs="Times New Roman"/>
                <w:bCs/>
                <w:color w:val="auto"/>
                <w:highlight w:val="none"/>
              </w:rPr>
              <w:t>有组织粉尘满足</w:t>
            </w:r>
            <w:r>
              <w:rPr>
                <w:rFonts w:hint="default" w:ascii="Times New Roman" w:hAnsi="Times New Roman" w:cs="Times New Roman"/>
                <w:color w:val="auto"/>
                <w:highlight w:val="none"/>
              </w:rPr>
              <w:t>《水泥工业大气污染物排放标准》（GB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4915-2013）表1中的标准限值。因此，</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全厂有组织粉尘可达标排放。</w:t>
            </w:r>
          </w:p>
          <w:p w14:paraId="57F19DB8">
            <w:pPr>
              <w:pStyle w:val="41"/>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②无组织粉尘达标性分析：</w:t>
            </w:r>
          </w:p>
          <w:p w14:paraId="779566B4">
            <w:pPr>
              <w:adjustRightInd w:val="0"/>
              <w:snapToGrid w:val="0"/>
              <w:spacing w:line="360" w:lineRule="auto"/>
              <w:ind w:firstLine="48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kern w:val="0"/>
                <w:sz w:val="24"/>
                <w:highlight w:val="none"/>
              </w:rPr>
              <w:t>按照《环境影响评价技术导则 大气环境》（HJ</w:t>
            </w:r>
            <w:r>
              <w:rPr>
                <w:rFonts w:hint="default" w:ascii="Times New Roman" w:hAnsi="Times New Roman" w:cs="Times New Roman"/>
                <w:color w:val="auto"/>
                <w:kern w:val="0"/>
                <w:sz w:val="24"/>
                <w:highlight w:val="none"/>
                <w:lang w:val="en-US" w:eastAsia="zh-CN"/>
              </w:rPr>
              <w:t xml:space="preserve"> </w:t>
            </w:r>
            <w:r>
              <w:rPr>
                <w:rFonts w:hint="default" w:ascii="Times New Roman" w:hAnsi="Times New Roman" w:cs="Times New Roman"/>
                <w:color w:val="auto"/>
                <w:kern w:val="0"/>
                <w:sz w:val="24"/>
                <w:highlight w:val="none"/>
              </w:rPr>
              <w:t>2.2-2018）要求，评价采用推荐的AERSCREEN估算模式对全厂无组织</w:t>
            </w:r>
            <w:r>
              <w:rPr>
                <w:rFonts w:hint="default" w:ascii="Times New Roman" w:hAnsi="Times New Roman" w:cs="Times New Roman"/>
                <w:color w:val="auto"/>
                <w:kern w:val="0"/>
                <w:sz w:val="24"/>
                <w:highlight w:val="none"/>
                <w:lang w:val="en-US" w:eastAsia="zh-CN"/>
              </w:rPr>
              <w:t>生产</w:t>
            </w:r>
            <w:r>
              <w:rPr>
                <w:rFonts w:hint="default" w:ascii="Times New Roman" w:hAnsi="Times New Roman" w:cs="Times New Roman"/>
                <w:color w:val="auto"/>
                <w:kern w:val="0"/>
                <w:sz w:val="24"/>
                <w:highlight w:val="none"/>
              </w:rPr>
              <w:t>废气排放进行估算，</w:t>
            </w:r>
            <w:r>
              <w:rPr>
                <w:rFonts w:hint="default" w:ascii="Times New Roman" w:hAnsi="Times New Roman" w:cs="Times New Roman"/>
                <w:color w:val="auto"/>
                <w:kern w:val="0"/>
                <w:sz w:val="24"/>
                <w:highlight w:val="none"/>
                <w:lang w:val="en-US" w:eastAsia="zh-CN"/>
              </w:rPr>
              <w:t>项目各个生产线位于相邻厂房，因此</w:t>
            </w:r>
            <w:r>
              <w:rPr>
                <w:rFonts w:hint="default" w:ascii="Times New Roman" w:hAnsi="Times New Roman" w:cs="Times New Roman"/>
                <w:color w:val="auto"/>
                <w:kern w:val="0"/>
                <w:sz w:val="24"/>
                <w:highlight w:val="none"/>
              </w:rPr>
              <w:t>估算结果如下：</w:t>
            </w:r>
          </w:p>
          <w:p w14:paraId="7EF2A669">
            <w:pPr>
              <w:snapToGrid w:val="0"/>
              <w:jc w:val="center"/>
              <w:rPr>
                <w:rFonts w:hint="default" w:ascii="Times New Roman" w:hAnsi="Times New Roman" w:cs="Times New Roman"/>
                <w:b/>
                <w:color w:val="auto"/>
                <w:szCs w:val="21"/>
                <w:highlight w:val="none"/>
              </w:rPr>
            </w:pPr>
          </w:p>
          <w:p w14:paraId="2251EA9B">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w:t>
            </w:r>
            <w:r>
              <w:rPr>
                <w:rFonts w:hint="default" w:ascii="Times New Roman" w:hAnsi="Times New Roman" w:cs="Times New Roman"/>
                <w:b/>
                <w:color w:val="auto"/>
                <w:szCs w:val="21"/>
                <w:highlight w:val="none"/>
                <w:lang w:val="en-US" w:eastAsia="zh-CN"/>
              </w:rPr>
              <w:t>6</w:t>
            </w:r>
            <w:r>
              <w:rPr>
                <w:rFonts w:hint="default" w:ascii="Times New Roman" w:hAnsi="Times New Roman" w:cs="Times New Roman"/>
                <w:b/>
                <w:color w:val="auto"/>
                <w:szCs w:val="21"/>
                <w:highlight w:val="none"/>
              </w:rPr>
              <w:t xml:space="preserve">  全厂无组织粉尘污染物排放参数</w:t>
            </w:r>
          </w:p>
          <w:tbl>
            <w:tblPr>
              <w:tblStyle w:val="32"/>
              <w:tblW w:w="849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34"/>
              <w:gridCol w:w="760"/>
              <w:gridCol w:w="832"/>
              <w:gridCol w:w="719"/>
              <w:gridCol w:w="672"/>
              <w:gridCol w:w="561"/>
              <w:gridCol w:w="744"/>
              <w:gridCol w:w="752"/>
              <w:gridCol w:w="723"/>
              <w:gridCol w:w="618"/>
              <w:gridCol w:w="1180"/>
            </w:tblGrid>
            <w:tr w14:paraId="2AC0D4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Merge w:val="restart"/>
                  <w:vAlign w:val="center"/>
                </w:tcPr>
                <w:p w14:paraId="12918767">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面源</w:t>
                  </w:r>
                </w:p>
              </w:tc>
              <w:tc>
                <w:tcPr>
                  <w:tcW w:w="1592" w:type="dxa"/>
                  <w:gridSpan w:val="2"/>
                  <w:vAlign w:val="center"/>
                </w:tcPr>
                <w:p w14:paraId="1122A16C">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面源起点坐标/m</w:t>
                  </w:r>
                </w:p>
              </w:tc>
              <w:tc>
                <w:tcPr>
                  <w:tcW w:w="719" w:type="dxa"/>
                  <w:vMerge w:val="restart"/>
                  <w:vAlign w:val="center"/>
                </w:tcPr>
                <w:p w14:paraId="082CA712">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面源海拔/m</w:t>
                  </w:r>
                </w:p>
              </w:tc>
              <w:tc>
                <w:tcPr>
                  <w:tcW w:w="672" w:type="dxa"/>
                  <w:vMerge w:val="restart"/>
                  <w:vAlign w:val="center"/>
                </w:tcPr>
                <w:p w14:paraId="54E65047">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与正北方向夹角</w:t>
                  </w:r>
                </w:p>
              </w:tc>
              <w:tc>
                <w:tcPr>
                  <w:tcW w:w="561" w:type="dxa"/>
                  <w:vMerge w:val="restart"/>
                  <w:vAlign w:val="center"/>
                </w:tcPr>
                <w:p w14:paraId="25C52362">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面源长度/m</w:t>
                  </w:r>
                </w:p>
              </w:tc>
              <w:tc>
                <w:tcPr>
                  <w:tcW w:w="744" w:type="dxa"/>
                  <w:vMerge w:val="restart"/>
                  <w:vAlign w:val="center"/>
                </w:tcPr>
                <w:p w14:paraId="26D69651">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面源宽度/m</w:t>
                  </w:r>
                </w:p>
              </w:tc>
              <w:tc>
                <w:tcPr>
                  <w:tcW w:w="752" w:type="dxa"/>
                  <w:vMerge w:val="restart"/>
                  <w:vAlign w:val="center"/>
                </w:tcPr>
                <w:p w14:paraId="56E6F315">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面源有效排放高度/m</w:t>
                  </w:r>
                </w:p>
              </w:tc>
              <w:tc>
                <w:tcPr>
                  <w:tcW w:w="723" w:type="dxa"/>
                  <w:vMerge w:val="restart"/>
                  <w:vAlign w:val="center"/>
                </w:tcPr>
                <w:p w14:paraId="5DAD72A1">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年排放小时数/h</w:t>
                  </w:r>
                </w:p>
              </w:tc>
              <w:tc>
                <w:tcPr>
                  <w:tcW w:w="618" w:type="dxa"/>
                  <w:vMerge w:val="restart"/>
                  <w:vAlign w:val="center"/>
                </w:tcPr>
                <w:p w14:paraId="6222745C">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w:t>
                  </w:r>
                </w:p>
                <w:p w14:paraId="55B5C9C6">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工况</w:t>
                  </w:r>
                </w:p>
              </w:tc>
              <w:tc>
                <w:tcPr>
                  <w:tcW w:w="1180" w:type="dxa"/>
                  <w:vAlign w:val="center"/>
                </w:tcPr>
                <w:p w14:paraId="0F011D80">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污染物排放速率/（kg/h</w:t>
                  </w:r>
                  <w:r>
                    <w:rPr>
                      <w:rFonts w:hint="eastAsia" w:cs="Times New Roman"/>
                      <w:color w:val="auto"/>
                      <w:kern w:val="0"/>
                      <w:szCs w:val="21"/>
                      <w:highlight w:val="none"/>
                      <w:lang w:eastAsia="zh-CN"/>
                    </w:rPr>
                    <w:t>）</w:t>
                  </w:r>
                </w:p>
              </w:tc>
            </w:tr>
            <w:tr w14:paraId="0EA1B3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Merge w:val="continue"/>
                  <w:vAlign w:val="center"/>
                </w:tcPr>
                <w:p w14:paraId="79866FCF">
                  <w:pPr>
                    <w:widowControl/>
                    <w:adjustRightInd w:val="0"/>
                    <w:snapToGrid w:val="0"/>
                    <w:spacing w:beforeLines="20" w:afterLines="20"/>
                    <w:jc w:val="center"/>
                    <w:rPr>
                      <w:rFonts w:hint="default" w:ascii="Times New Roman" w:hAnsi="Times New Roman" w:cs="Times New Roman"/>
                      <w:color w:val="auto"/>
                      <w:kern w:val="0"/>
                      <w:szCs w:val="21"/>
                      <w:highlight w:val="none"/>
                    </w:rPr>
                  </w:pPr>
                </w:p>
              </w:tc>
              <w:tc>
                <w:tcPr>
                  <w:tcW w:w="760" w:type="dxa"/>
                  <w:vAlign w:val="center"/>
                </w:tcPr>
                <w:p w14:paraId="18D35AC3">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X</w:t>
                  </w:r>
                </w:p>
              </w:tc>
              <w:tc>
                <w:tcPr>
                  <w:tcW w:w="832" w:type="dxa"/>
                  <w:vAlign w:val="center"/>
                </w:tcPr>
                <w:p w14:paraId="351CF760">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Y</w:t>
                  </w:r>
                </w:p>
              </w:tc>
              <w:tc>
                <w:tcPr>
                  <w:tcW w:w="719" w:type="dxa"/>
                  <w:vMerge w:val="continue"/>
                  <w:vAlign w:val="center"/>
                </w:tcPr>
                <w:p w14:paraId="711566F2">
                  <w:pPr>
                    <w:widowControl/>
                    <w:adjustRightInd w:val="0"/>
                    <w:snapToGrid w:val="0"/>
                    <w:spacing w:beforeLines="20" w:afterLines="20"/>
                    <w:jc w:val="left"/>
                    <w:rPr>
                      <w:rFonts w:hint="default" w:ascii="Times New Roman" w:hAnsi="Times New Roman" w:cs="Times New Roman"/>
                      <w:color w:val="auto"/>
                      <w:kern w:val="0"/>
                      <w:szCs w:val="21"/>
                      <w:highlight w:val="none"/>
                    </w:rPr>
                  </w:pPr>
                </w:p>
              </w:tc>
              <w:tc>
                <w:tcPr>
                  <w:tcW w:w="672" w:type="dxa"/>
                  <w:vMerge w:val="continue"/>
                  <w:vAlign w:val="center"/>
                </w:tcPr>
                <w:p w14:paraId="06AF4B2F">
                  <w:pPr>
                    <w:widowControl/>
                    <w:adjustRightInd w:val="0"/>
                    <w:snapToGrid w:val="0"/>
                    <w:spacing w:beforeLines="20" w:afterLines="20"/>
                    <w:jc w:val="left"/>
                    <w:rPr>
                      <w:rFonts w:hint="default" w:ascii="Times New Roman" w:hAnsi="Times New Roman" w:cs="Times New Roman"/>
                      <w:color w:val="auto"/>
                      <w:kern w:val="0"/>
                      <w:szCs w:val="21"/>
                      <w:highlight w:val="none"/>
                    </w:rPr>
                  </w:pPr>
                </w:p>
              </w:tc>
              <w:tc>
                <w:tcPr>
                  <w:tcW w:w="561" w:type="dxa"/>
                  <w:vMerge w:val="continue"/>
                  <w:vAlign w:val="center"/>
                </w:tcPr>
                <w:p w14:paraId="257E363D">
                  <w:pPr>
                    <w:widowControl/>
                    <w:adjustRightInd w:val="0"/>
                    <w:snapToGrid w:val="0"/>
                    <w:spacing w:beforeLines="20" w:afterLines="20"/>
                    <w:jc w:val="left"/>
                    <w:rPr>
                      <w:rFonts w:hint="default" w:ascii="Times New Roman" w:hAnsi="Times New Roman" w:cs="Times New Roman"/>
                      <w:color w:val="auto"/>
                      <w:kern w:val="0"/>
                      <w:szCs w:val="21"/>
                      <w:highlight w:val="none"/>
                    </w:rPr>
                  </w:pPr>
                </w:p>
              </w:tc>
              <w:tc>
                <w:tcPr>
                  <w:tcW w:w="744" w:type="dxa"/>
                  <w:vMerge w:val="continue"/>
                  <w:vAlign w:val="center"/>
                </w:tcPr>
                <w:p w14:paraId="34685427">
                  <w:pPr>
                    <w:widowControl/>
                    <w:adjustRightInd w:val="0"/>
                    <w:snapToGrid w:val="0"/>
                    <w:spacing w:beforeLines="20" w:afterLines="20"/>
                    <w:jc w:val="left"/>
                    <w:rPr>
                      <w:rFonts w:hint="default" w:ascii="Times New Roman" w:hAnsi="Times New Roman" w:cs="Times New Roman"/>
                      <w:color w:val="auto"/>
                      <w:kern w:val="0"/>
                      <w:szCs w:val="21"/>
                      <w:highlight w:val="none"/>
                    </w:rPr>
                  </w:pPr>
                </w:p>
              </w:tc>
              <w:tc>
                <w:tcPr>
                  <w:tcW w:w="752" w:type="dxa"/>
                  <w:vMerge w:val="continue"/>
                  <w:vAlign w:val="center"/>
                </w:tcPr>
                <w:p w14:paraId="62747136">
                  <w:pPr>
                    <w:widowControl/>
                    <w:adjustRightInd w:val="0"/>
                    <w:snapToGrid w:val="0"/>
                    <w:spacing w:beforeLines="20" w:afterLines="20"/>
                    <w:jc w:val="left"/>
                    <w:rPr>
                      <w:rFonts w:hint="default" w:ascii="Times New Roman" w:hAnsi="Times New Roman" w:cs="Times New Roman"/>
                      <w:color w:val="auto"/>
                      <w:kern w:val="0"/>
                      <w:szCs w:val="21"/>
                      <w:highlight w:val="none"/>
                    </w:rPr>
                  </w:pPr>
                </w:p>
              </w:tc>
              <w:tc>
                <w:tcPr>
                  <w:tcW w:w="723" w:type="dxa"/>
                  <w:vMerge w:val="continue"/>
                  <w:vAlign w:val="center"/>
                </w:tcPr>
                <w:p w14:paraId="2D5E1EFC">
                  <w:pPr>
                    <w:widowControl/>
                    <w:adjustRightInd w:val="0"/>
                    <w:snapToGrid w:val="0"/>
                    <w:spacing w:beforeLines="20" w:afterLines="20"/>
                    <w:jc w:val="left"/>
                    <w:rPr>
                      <w:rFonts w:hint="default" w:ascii="Times New Roman" w:hAnsi="Times New Roman" w:cs="Times New Roman"/>
                      <w:color w:val="auto"/>
                      <w:kern w:val="0"/>
                      <w:szCs w:val="21"/>
                      <w:highlight w:val="none"/>
                    </w:rPr>
                  </w:pPr>
                </w:p>
              </w:tc>
              <w:tc>
                <w:tcPr>
                  <w:tcW w:w="618" w:type="dxa"/>
                  <w:vMerge w:val="continue"/>
                  <w:vAlign w:val="center"/>
                </w:tcPr>
                <w:p w14:paraId="63680D39">
                  <w:pPr>
                    <w:widowControl/>
                    <w:adjustRightInd w:val="0"/>
                    <w:snapToGrid w:val="0"/>
                    <w:spacing w:beforeLines="20" w:afterLines="20"/>
                    <w:jc w:val="left"/>
                    <w:rPr>
                      <w:rFonts w:hint="default" w:ascii="Times New Roman" w:hAnsi="Times New Roman" w:cs="Times New Roman"/>
                      <w:color w:val="auto"/>
                      <w:kern w:val="0"/>
                      <w:szCs w:val="21"/>
                      <w:highlight w:val="none"/>
                    </w:rPr>
                  </w:pPr>
                </w:p>
              </w:tc>
              <w:tc>
                <w:tcPr>
                  <w:tcW w:w="1180" w:type="dxa"/>
                  <w:vAlign w:val="center"/>
                </w:tcPr>
                <w:p w14:paraId="7982B928">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TSP</w:t>
                  </w:r>
                </w:p>
              </w:tc>
            </w:tr>
            <w:tr w14:paraId="657D96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Align w:val="center"/>
                </w:tcPr>
                <w:p w14:paraId="0FD4FE55">
                  <w:pPr>
                    <w:pStyle w:val="46"/>
                    <w:snapToGrid w:val="0"/>
                    <w:spacing w:beforeLines="20" w:after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w:t>
                  </w:r>
                </w:p>
              </w:tc>
              <w:tc>
                <w:tcPr>
                  <w:tcW w:w="760" w:type="dxa"/>
                  <w:vAlign w:val="center"/>
                </w:tcPr>
                <w:p w14:paraId="1E374660">
                  <w:pPr>
                    <w:pStyle w:val="46"/>
                    <w:snapToGrid w:val="0"/>
                    <w:spacing w:beforeLines="20" w:after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73</w:t>
                  </w:r>
                  <w:r>
                    <w:rPr>
                      <w:rFonts w:hint="default" w:ascii="Times New Roman" w:hAnsi="Times New Roman" w:cs="Times New Roman"/>
                      <w:color w:val="auto"/>
                      <w:sz w:val="21"/>
                      <w:szCs w:val="21"/>
                      <w:highlight w:val="none"/>
                      <w:lang w:val="en-US" w:eastAsia="zh-CN"/>
                    </w:rPr>
                    <w:t>0729</w:t>
                  </w:r>
                </w:p>
              </w:tc>
              <w:tc>
                <w:tcPr>
                  <w:tcW w:w="832" w:type="dxa"/>
                  <w:vAlign w:val="center"/>
                </w:tcPr>
                <w:p w14:paraId="3A03C4D4">
                  <w:pPr>
                    <w:pStyle w:val="46"/>
                    <w:snapToGrid w:val="0"/>
                    <w:spacing w:beforeLines="20" w:after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367</w:t>
                  </w:r>
                  <w:r>
                    <w:rPr>
                      <w:rFonts w:hint="default" w:ascii="Times New Roman" w:hAnsi="Times New Roman" w:cs="Times New Roman"/>
                      <w:color w:val="auto"/>
                      <w:sz w:val="21"/>
                      <w:szCs w:val="21"/>
                      <w:highlight w:val="none"/>
                      <w:lang w:val="en-US" w:eastAsia="zh-CN"/>
                    </w:rPr>
                    <w:t>8121</w:t>
                  </w:r>
                </w:p>
              </w:tc>
              <w:tc>
                <w:tcPr>
                  <w:tcW w:w="719" w:type="dxa"/>
                  <w:vAlign w:val="center"/>
                </w:tcPr>
                <w:p w14:paraId="2F6D3661">
                  <w:pPr>
                    <w:widowControl/>
                    <w:adjustRightInd w:val="0"/>
                    <w:snapToGrid w:val="0"/>
                    <w:spacing w:beforeLines="20" w:afterLines="2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lang w:val="en-US" w:eastAsia="zh-CN"/>
                    </w:rPr>
                    <w:t>72</w:t>
                  </w:r>
                </w:p>
              </w:tc>
              <w:tc>
                <w:tcPr>
                  <w:tcW w:w="672" w:type="dxa"/>
                  <w:vAlign w:val="center"/>
                </w:tcPr>
                <w:p w14:paraId="044048A1">
                  <w:pPr>
                    <w:widowControl/>
                    <w:adjustRightInd w:val="0"/>
                    <w:snapToGrid w:val="0"/>
                    <w:spacing w:beforeLines="20" w:afterLines="2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10</w:t>
                  </w:r>
                </w:p>
              </w:tc>
              <w:tc>
                <w:tcPr>
                  <w:tcW w:w="561" w:type="dxa"/>
                  <w:vAlign w:val="center"/>
                </w:tcPr>
                <w:p w14:paraId="1E02C0A3">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26</w:t>
                  </w:r>
                  <w:r>
                    <w:rPr>
                      <w:rFonts w:hint="default" w:ascii="Times New Roman" w:hAnsi="Times New Roman" w:cs="Times New Roman"/>
                      <w:color w:val="auto"/>
                      <w:kern w:val="0"/>
                      <w:szCs w:val="21"/>
                      <w:highlight w:val="none"/>
                    </w:rPr>
                    <w:t>0</w:t>
                  </w:r>
                </w:p>
              </w:tc>
              <w:tc>
                <w:tcPr>
                  <w:tcW w:w="744" w:type="dxa"/>
                  <w:vAlign w:val="center"/>
                </w:tcPr>
                <w:p w14:paraId="6D9B6334">
                  <w:pPr>
                    <w:widowControl/>
                    <w:adjustRightInd w:val="0"/>
                    <w:snapToGrid w:val="0"/>
                    <w:spacing w:beforeLines="20" w:afterLines="2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140</w:t>
                  </w:r>
                </w:p>
              </w:tc>
              <w:tc>
                <w:tcPr>
                  <w:tcW w:w="752" w:type="dxa"/>
                  <w:vAlign w:val="center"/>
                </w:tcPr>
                <w:p w14:paraId="66212409">
                  <w:pPr>
                    <w:widowControl/>
                    <w:adjustRightInd w:val="0"/>
                    <w:snapToGrid w:val="0"/>
                    <w:spacing w:beforeLines="20" w:afterLines="20"/>
                    <w:jc w:val="center"/>
                    <w:rPr>
                      <w:rFonts w:hint="default" w:ascii="Times New Roman" w:hAnsi="Times New Roman" w:eastAsia="宋体" w:cs="Times New Roman"/>
                      <w:color w:val="auto"/>
                      <w:kern w:val="0"/>
                      <w:szCs w:val="21"/>
                      <w:highlight w:val="red"/>
                      <w:lang w:val="en-US" w:eastAsia="zh-CN"/>
                    </w:rPr>
                  </w:pPr>
                  <w:r>
                    <w:rPr>
                      <w:rFonts w:hint="default" w:ascii="Times New Roman" w:hAnsi="Times New Roman" w:cs="Times New Roman"/>
                      <w:color w:val="auto"/>
                      <w:kern w:val="0"/>
                      <w:szCs w:val="21"/>
                      <w:highlight w:val="none"/>
                      <w:lang w:val="en-US" w:eastAsia="zh-CN"/>
                    </w:rPr>
                    <w:t>12</w:t>
                  </w:r>
                </w:p>
              </w:tc>
              <w:tc>
                <w:tcPr>
                  <w:tcW w:w="723" w:type="dxa"/>
                  <w:vAlign w:val="center"/>
                </w:tcPr>
                <w:p w14:paraId="6F9CF6EA">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48</w:t>
                  </w:r>
                  <w:r>
                    <w:rPr>
                      <w:rFonts w:hint="default" w:ascii="Times New Roman" w:hAnsi="Times New Roman" w:cs="Times New Roman"/>
                      <w:color w:val="auto"/>
                      <w:kern w:val="0"/>
                      <w:szCs w:val="21"/>
                      <w:highlight w:val="none"/>
                    </w:rPr>
                    <w:t>00</w:t>
                  </w:r>
                </w:p>
              </w:tc>
              <w:tc>
                <w:tcPr>
                  <w:tcW w:w="618" w:type="dxa"/>
                  <w:vAlign w:val="center"/>
                </w:tcPr>
                <w:p w14:paraId="5AD9A29C">
                  <w:pPr>
                    <w:widowControl/>
                    <w:adjustRightInd w:val="0"/>
                    <w:snapToGrid w:val="0"/>
                    <w:spacing w:beforeLines="20" w:afterLines="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正常</w:t>
                  </w:r>
                </w:p>
              </w:tc>
              <w:tc>
                <w:tcPr>
                  <w:tcW w:w="1180" w:type="dxa"/>
                  <w:vAlign w:val="center"/>
                </w:tcPr>
                <w:p w14:paraId="032204B0">
                  <w:pPr>
                    <w:widowControl/>
                    <w:adjustRightInd w:val="0"/>
                    <w:snapToGrid w:val="0"/>
                    <w:spacing w:beforeLines="20" w:afterLines="2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3.5</w:t>
                  </w:r>
                </w:p>
              </w:tc>
            </w:tr>
          </w:tbl>
          <w:p w14:paraId="0C1961EC">
            <w:pPr>
              <w:snapToGrid w:val="0"/>
              <w:spacing w:line="360" w:lineRule="auto"/>
              <w:ind w:firstLine="480" w:firstLineChars="200"/>
              <w:rPr>
                <w:rFonts w:hint="default" w:ascii="Times New Roman" w:hAnsi="Times New Roman" w:cs="Times New Roman"/>
                <w:b/>
                <w:color w:val="auto"/>
                <w:szCs w:val="21"/>
                <w:highlight w:val="none"/>
              </w:rPr>
            </w:pPr>
            <w:r>
              <w:rPr>
                <w:rFonts w:hint="default" w:ascii="Times New Roman" w:hAnsi="Times New Roman" w:cs="Times New Roman"/>
                <w:bCs/>
                <w:color w:val="auto"/>
                <w:sz w:val="24"/>
                <w:highlight w:val="none"/>
              </w:rPr>
              <w:t>估算结果如下表所示：</w:t>
            </w:r>
          </w:p>
          <w:p w14:paraId="79208769">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w:t>
            </w:r>
            <w:r>
              <w:rPr>
                <w:rFonts w:hint="default" w:ascii="Times New Roman" w:hAnsi="Times New Roman" w:cs="Times New Roman"/>
                <w:b/>
                <w:color w:val="auto"/>
                <w:szCs w:val="21"/>
                <w:highlight w:val="none"/>
                <w:lang w:val="en-US" w:eastAsia="zh-CN"/>
              </w:rPr>
              <w:t>7</w:t>
            </w:r>
            <w:r>
              <w:rPr>
                <w:rFonts w:hint="default" w:ascii="Times New Roman" w:hAnsi="Times New Roman" w:cs="Times New Roman"/>
                <w:b/>
                <w:color w:val="auto"/>
                <w:szCs w:val="21"/>
                <w:highlight w:val="none"/>
              </w:rPr>
              <w:t xml:space="preserve">  全厂无组织粉尘排放源估算模型计算结果表</w:t>
            </w:r>
          </w:p>
          <w:tbl>
            <w:tblPr>
              <w:tblStyle w:val="32"/>
              <w:tblW w:w="83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388"/>
              <w:gridCol w:w="3017"/>
              <w:gridCol w:w="2897"/>
            </w:tblGrid>
            <w:tr w14:paraId="24C56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2388" w:type="dxa"/>
                  <w:vAlign w:val="center"/>
                </w:tcPr>
                <w:p w14:paraId="16061746">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3017" w:type="dxa"/>
                  <w:vAlign w:val="center"/>
                </w:tcPr>
                <w:p w14:paraId="069F1AE0">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最大落地浓度距离（m）</w:t>
                  </w:r>
                </w:p>
              </w:tc>
              <w:tc>
                <w:tcPr>
                  <w:tcW w:w="2897" w:type="dxa"/>
                  <w:vAlign w:val="center"/>
                </w:tcPr>
                <w:p w14:paraId="3B378A76">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最大落地浓度（μg/m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r>
            <w:tr w14:paraId="060CE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2388" w:type="dxa"/>
                  <w:vAlign w:val="center"/>
                </w:tcPr>
                <w:p w14:paraId="0B92D28A">
                  <w:pPr>
                    <w:snapToGrid w:val="0"/>
                    <w:spacing w:beforeLines="20"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TSP</w:t>
                  </w:r>
                </w:p>
              </w:tc>
              <w:tc>
                <w:tcPr>
                  <w:tcW w:w="3017" w:type="dxa"/>
                  <w:vAlign w:val="center"/>
                </w:tcPr>
                <w:p w14:paraId="64CC7BAC">
                  <w:pPr>
                    <w:widowControl/>
                    <w:spacing w:beforeLines="20" w:afterLine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190</w:t>
                  </w:r>
                </w:p>
              </w:tc>
              <w:tc>
                <w:tcPr>
                  <w:tcW w:w="2897" w:type="dxa"/>
                  <w:vAlign w:val="center"/>
                </w:tcPr>
                <w:p w14:paraId="00B96B9D">
                  <w:pPr>
                    <w:adjustRightInd w:val="0"/>
                    <w:snapToGrid w:val="0"/>
                    <w:spacing w:beforeLines="20" w:afterLines="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487</w:t>
                  </w:r>
                </w:p>
              </w:tc>
            </w:tr>
          </w:tbl>
          <w:p w14:paraId="1F6E92F4">
            <w:pPr>
              <w:pStyle w:val="40"/>
              <w:rPr>
                <w:rFonts w:hint="default" w:ascii="Times New Roman" w:hAnsi="Times New Roman" w:cs="Times New Roman"/>
                <w:color w:val="auto"/>
                <w:szCs w:val="24"/>
                <w:highlight w:val="none"/>
              </w:rPr>
            </w:pPr>
            <w:r>
              <w:rPr>
                <w:rFonts w:hint="default" w:ascii="Times New Roman" w:hAnsi="Times New Roman" w:cs="Times New Roman"/>
                <w:color w:val="auto"/>
                <w:kern w:val="0"/>
                <w:highlight w:val="none"/>
              </w:rPr>
              <w:t>考虑到</w:t>
            </w:r>
            <w:r>
              <w:rPr>
                <w:rFonts w:hint="default" w:ascii="Times New Roman" w:hAnsi="Times New Roman" w:cs="Times New Roman"/>
                <w:color w:val="auto"/>
                <w:kern w:val="0"/>
                <w:highlight w:val="none"/>
                <w:lang w:val="en-US" w:eastAsia="zh-CN"/>
              </w:rPr>
              <w:t>砂石、</w:t>
            </w:r>
            <w:r>
              <w:rPr>
                <w:rFonts w:hint="default" w:ascii="Times New Roman" w:hAnsi="Times New Roman" w:cs="Times New Roman"/>
                <w:color w:val="auto"/>
                <w:kern w:val="0"/>
                <w:highlight w:val="none"/>
              </w:rPr>
              <w:t>彩砂生产线无组织废气均执行《大气污染物综合排放标准》（GB</w:t>
            </w:r>
            <w:r>
              <w:rPr>
                <w:rFonts w:hint="default" w:ascii="Times New Roman" w:hAnsi="Times New Roman" w:cs="Times New Roman"/>
                <w:color w:val="auto"/>
                <w:kern w:val="0"/>
                <w:highlight w:val="none"/>
                <w:lang w:val="en-US" w:eastAsia="zh-CN"/>
              </w:rPr>
              <w:t xml:space="preserve"> </w:t>
            </w:r>
            <w:r>
              <w:rPr>
                <w:rFonts w:hint="default" w:ascii="Times New Roman" w:hAnsi="Times New Roman" w:cs="Times New Roman"/>
                <w:color w:val="auto"/>
                <w:kern w:val="0"/>
                <w:highlight w:val="none"/>
              </w:rPr>
              <w:t>16297-1996）标准（1.0mg/m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改性粉体</w:t>
            </w:r>
            <w:r>
              <w:rPr>
                <w:rFonts w:hint="default" w:ascii="Times New Roman" w:hAnsi="Times New Roman" w:cs="Times New Roman"/>
                <w:color w:val="auto"/>
                <w:kern w:val="0"/>
                <w:highlight w:val="none"/>
              </w:rPr>
              <w:t>、砂浆</w:t>
            </w:r>
            <w:r>
              <w:rPr>
                <w:rFonts w:hint="default" w:ascii="Times New Roman" w:hAnsi="Times New Roman" w:cs="Times New Roman"/>
                <w:color w:val="auto"/>
                <w:szCs w:val="24"/>
                <w:highlight w:val="none"/>
              </w:rPr>
              <w:t>生产线</w:t>
            </w:r>
            <w:r>
              <w:rPr>
                <w:rFonts w:hint="default" w:ascii="Times New Roman" w:hAnsi="Times New Roman" w:cs="Times New Roman"/>
                <w:color w:val="auto"/>
                <w:kern w:val="0"/>
                <w:highlight w:val="none"/>
              </w:rPr>
              <w:t>无组织废气执行</w:t>
            </w:r>
            <w:r>
              <w:rPr>
                <w:rFonts w:hint="default" w:ascii="Times New Roman" w:hAnsi="Times New Roman" w:cs="Times New Roman"/>
                <w:color w:val="auto"/>
                <w:szCs w:val="24"/>
                <w:highlight w:val="none"/>
              </w:rPr>
              <w:t>《水泥工业大气污染物排放标准》（GB4915-2013）标准（</w:t>
            </w:r>
            <w:r>
              <w:rPr>
                <w:rFonts w:hint="default" w:ascii="Times New Roman" w:hAnsi="Times New Roman" w:cs="Times New Roman"/>
                <w:color w:val="auto"/>
                <w:kern w:val="0"/>
                <w:highlight w:val="none"/>
              </w:rPr>
              <w:t>0.5mg/m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szCs w:val="24"/>
                <w:highlight w:val="none"/>
              </w:rPr>
              <w:t>）。综合判定后，全厂运营期间无组织粉尘从严执行《水泥工业大气污染物排放标准》（GB</w:t>
            </w:r>
            <w:r>
              <w:rPr>
                <w:rFonts w:hint="default" w:ascii="Times New Roman" w:hAnsi="Times New Roman" w:cs="Times New Roman"/>
                <w:color w:val="auto"/>
                <w:szCs w:val="24"/>
                <w:highlight w:val="none"/>
                <w:lang w:val="en-US" w:eastAsia="zh-CN"/>
              </w:rPr>
              <w:t xml:space="preserve"> </w:t>
            </w:r>
            <w:r>
              <w:rPr>
                <w:rFonts w:hint="default" w:ascii="Times New Roman" w:hAnsi="Times New Roman" w:cs="Times New Roman"/>
                <w:color w:val="auto"/>
                <w:szCs w:val="24"/>
                <w:highlight w:val="none"/>
              </w:rPr>
              <w:t>4915-2013）标准（</w:t>
            </w:r>
            <w:r>
              <w:rPr>
                <w:rFonts w:hint="default" w:ascii="Times New Roman" w:hAnsi="Times New Roman" w:cs="Times New Roman"/>
                <w:color w:val="auto"/>
                <w:kern w:val="0"/>
                <w:highlight w:val="none"/>
              </w:rPr>
              <w:t>0.5</w:t>
            </w:r>
            <w:r>
              <w:rPr>
                <w:rFonts w:hint="default" w:ascii="Times New Roman" w:hAnsi="Times New Roman" w:cs="Times New Roman"/>
                <w:color w:val="auto"/>
                <w:kern w:val="0"/>
                <w:highlight w:val="none"/>
                <w:lang w:val="en-US" w:eastAsia="zh-CN"/>
              </w:rPr>
              <w:t xml:space="preserve"> </w:t>
            </w:r>
            <w:r>
              <w:rPr>
                <w:rFonts w:hint="default" w:ascii="Times New Roman" w:hAnsi="Times New Roman" w:cs="Times New Roman"/>
                <w:color w:val="auto"/>
                <w:kern w:val="0"/>
                <w:highlight w:val="none"/>
              </w:rPr>
              <w:t>mg/m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由上表可知，项目</w:t>
            </w:r>
            <w:r>
              <w:rPr>
                <w:rFonts w:hint="default" w:ascii="Times New Roman" w:hAnsi="Times New Roman" w:cs="Times New Roman"/>
                <w:color w:val="auto"/>
                <w:szCs w:val="24"/>
                <w:highlight w:val="none"/>
              </w:rPr>
              <w:t>全厂无组织粉尘最大落地浓度</w:t>
            </w:r>
            <w:r>
              <w:rPr>
                <w:rFonts w:hint="default" w:ascii="Times New Roman" w:hAnsi="Times New Roman" w:cs="Times New Roman"/>
                <w:color w:val="auto"/>
                <w:szCs w:val="24"/>
                <w:highlight w:val="none"/>
                <w:lang w:val="en-US" w:eastAsia="zh-CN"/>
              </w:rPr>
              <w:t xml:space="preserve">为0.487 </w:t>
            </w:r>
            <w:r>
              <w:rPr>
                <w:rFonts w:hint="default" w:ascii="Times New Roman" w:hAnsi="Times New Roman" w:cs="Times New Roman"/>
                <w:color w:val="auto"/>
                <w:kern w:val="0"/>
                <w:highlight w:val="none"/>
              </w:rPr>
              <w:t>mg/m</w:t>
            </w:r>
            <w:r>
              <w:rPr>
                <w:rFonts w:hint="default" w:ascii="Times New Roman" w:hAnsi="Times New Roman" w:cs="Times New Roman"/>
                <w:color w:val="auto"/>
                <w:kern w:val="0"/>
                <w:highlight w:val="none"/>
                <w:vertAlign w:val="superscript"/>
              </w:rPr>
              <w:t>3</w:t>
            </w:r>
            <w:r>
              <w:rPr>
                <w:rFonts w:hint="default" w:ascii="Times New Roman" w:hAnsi="Times New Roman" w:eastAsia="宋体" w:cs="Times New Roman"/>
                <w:color w:val="auto"/>
                <w:szCs w:val="24"/>
                <w:highlight w:val="none"/>
                <w:lang w:eastAsia="zh-CN"/>
              </w:rPr>
              <w:t>，</w:t>
            </w:r>
            <w:r>
              <w:rPr>
                <w:rFonts w:hint="default" w:ascii="Times New Roman" w:hAnsi="Times New Roman" w:cs="Times New Roman"/>
                <w:color w:val="auto"/>
                <w:szCs w:val="24"/>
                <w:highlight w:val="none"/>
              </w:rPr>
              <w:t>满足《水泥工业大气污染物排放标准》（GB4915-2013）标准（颗粒物0.5</w:t>
            </w:r>
            <w:r>
              <w:rPr>
                <w:rFonts w:hint="default" w:ascii="Times New Roman" w:hAnsi="Times New Roman" w:cs="Times New Roman"/>
                <w:color w:val="auto"/>
                <w:kern w:val="0"/>
                <w:highlight w:val="none"/>
              </w:rPr>
              <w:t>mg/m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szCs w:val="24"/>
                <w:highlight w:val="none"/>
              </w:rPr>
              <w:t>），故全厂无组织粉尘运营期可做到达标排放。</w:t>
            </w:r>
          </w:p>
          <w:p w14:paraId="17D77BEA">
            <w:pPr>
              <w:pStyle w:val="41"/>
              <w:spacing w:line="360" w:lineRule="auto"/>
              <w:ind w:firstLine="482" w:firstLineChars="200"/>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lang w:val="en-US" w:eastAsia="zh-CN"/>
              </w:rPr>
              <w:t>6.</w:t>
            </w:r>
            <w:r>
              <w:rPr>
                <w:rFonts w:hint="default" w:ascii="Times New Roman" w:hAnsi="Times New Roman" w:cs="Times New Roman"/>
                <w:b/>
                <w:bCs/>
                <w:color w:val="auto"/>
                <w:kern w:val="0"/>
                <w:highlight w:val="none"/>
              </w:rPr>
              <w:t>环境影响分析</w:t>
            </w:r>
          </w:p>
          <w:p w14:paraId="0F4C3E40">
            <w:pPr>
              <w:pStyle w:val="43"/>
              <w:spacing w:line="360" w:lineRule="auto"/>
              <w:ind w:left="0" w:firstLine="480" w:firstLineChars="200"/>
              <w:rPr>
                <w:rFonts w:hint="default" w:ascii="Times New Roman" w:hAnsi="Times New Roman" w:cs="Times New Roman"/>
                <w:b w:val="0"/>
                <w:color w:val="auto"/>
                <w:highlight w:val="none"/>
              </w:rPr>
            </w:pPr>
            <w:r>
              <w:rPr>
                <w:rFonts w:hint="default" w:ascii="Times New Roman" w:hAnsi="Times New Roman" w:cs="Times New Roman"/>
                <w:b w:val="0"/>
                <w:bCs w:val="0"/>
                <w:color w:val="auto"/>
                <w:sz w:val="24"/>
                <w:szCs w:val="24"/>
                <w:highlight w:val="none"/>
              </w:rPr>
              <w:t>通过前文分析，本项目运营期废气主要为装卸及运输粉尘、加工粉尘、运输扬尘和汽车尾气，排放形式有有组织和无组织两种。建设单位采取的环保措施有：合理控制装卸料高度、生产车间</w:t>
            </w:r>
            <w:r>
              <w:rPr>
                <w:rFonts w:hint="default" w:ascii="Times New Roman" w:hAnsi="Times New Roman" w:cs="Times New Roman"/>
                <w:b w:val="0"/>
                <w:bCs w:val="0"/>
                <w:color w:val="auto"/>
                <w:sz w:val="24"/>
                <w:szCs w:val="24"/>
                <w:highlight w:val="none"/>
                <w:lang w:val="en-US" w:eastAsia="zh-CN"/>
              </w:rPr>
              <w:t>半</w:t>
            </w:r>
            <w:r>
              <w:rPr>
                <w:rFonts w:hint="default" w:ascii="Times New Roman" w:hAnsi="Times New Roman" w:cs="Times New Roman"/>
                <w:b w:val="0"/>
                <w:bCs w:val="0"/>
                <w:color w:val="auto"/>
                <w:sz w:val="24"/>
                <w:szCs w:val="24"/>
                <w:highlight w:val="none"/>
              </w:rPr>
              <w:t>封闭</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保留出入口</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highlight w:val="none"/>
              </w:rPr>
              <w:t>原料区</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成品区</w:t>
            </w:r>
            <w:r>
              <w:rPr>
                <w:rFonts w:hint="default" w:ascii="Times New Roman" w:hAnsi="Times New Roman" w:cs="Times New Roman"/>
                <w:b w:val="0"/>
                <w:bCs w:val="0"/>
                <w:color w:val="auto"/>
                <w:sz w:val="24"/>
                <w:highlight w:val="none"/>
              </w:rPr>
              <w:t>三面封闭+顶棚处置</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装卸过程中对砂石料进行喷洒降尘，</w:t>
            </w:r>
            <w:r>
              <w:rPr>
                <w:rFonts w:hint="default" w:ascii="Times New Roman" w:hAnsi="Times New Roman" w:cs="Times New Roman"/>
                <w:b w:val="0"/>
                <w:bCs w:val="0"/>
                <w:color w:val="auto"/>
                <w:sz w:val="24"/>
                <w:highlight w:val="none"/>
              </w:rPr>
              <w:t>集气设施+布袋除尘器</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水</w:t>
            </w:r>
            <w:r>
              <w:rPr>
                <w:rFonts w:hint="default" w:ascii="Times New Roman" w:hAnsi="Times New Roman" w:cs="Times New Roman"/>
                <w:b w:val="0"/>
                <w:bCs w:val="0"/>
                <w:color w:val="auto"/>
                <w:sz w:val="24"/>
                <w:highlight w:val="none"/>
                <w:lang w:eastAsia="zh-CN"/>
              </w:rPr>
              <w:t>泥仓顶布袋除尘器</w:t>
            </w:r>
            <w:r>
              <w:rPr>
                <w:rFonts w:hint="default" w:ascii="Times New Roman" w:hAnsi="Times New Roman" w:cs="Times New Roman"/>
                <w:b w:val="0"/>
                <w:bCs w:val="0"/>
                <w:color w:val="auto"/>
                <w:sz w:val="24"/>
                <w:highlight w:val="none"/>
              </w:rPr>
              <w:t>等</w:t>
            </w:r>
            <w:r>
              <w:rPr>
                <w:rFonts w:hint="default" w:ascii="Times New Roman" w:hAnsi="Times New Roman" w:cs="Times New Roman"/>
                <w:b w:val="0"/>
                <w:bCs w:val="0"/>
                <w:color w:val="auto"/>
                <w:sz w:val="24"/>
                <w:szCs w:val="24"/>
                <w:highlight w:val="none"/>
              </w:rPr>
              <w:t>。通过采取上述措施可有效降低运营期粉尘，确保废气可达标排放，对周边环境产生的影响较小。</w:t>
            </w:r>
          </w:p>
          <w:p w14:paraId="3942667E">
            <w:pPr>
              <w:snapToGrid w:val="0"/>
              <w:spacing w:line="360" w:lineRule="auto"/>
              <w:ind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lang w:val="en-US" w:eastAsia="zh-CN"/>
              </w:rPr>
              <w:t>7.</w:t>
            </w:r>
            <w:r>
              <w:rPr>
                <w:rFonts w:hint="default" w:ascii="Times New Roman" w:hAnsi="Times New Roman" w:cs="Times New Roman"/>
                <w:b/>
                <w:bCs/>
                <w:color w:val="auto"/>
                <w:sz w:val="24"/>
                <w:szCs w:val="32"/>
                <w:highlight w:val="none"/>
              </w:rPr>
              <w:t>监测要求</w:t>
            </w:r>
          </w:p>
          <w:p w14:paraId="6AEF3B44">
            <w:pPr>
              <w:snapToGrid w:val="0"/>
              <w:spacing w:line="360" w:lineRule="auto"/>
              <w:ind w:firstLine="468" w:firstLineChars="195"/>
              <w:rPr>
                <w:rFonts w:hint="default" w:ascii="Times New Roman" w:hAnsi="Times New Roman" w:eastAsia="宋体" w:cs="Times New Roman"/>
                <w:b/>
                <w:bCs/>
                <w:color w:val="auto"/>
                <w:highlight w:val="none"/>
                <w:lang w:eastAsia="zh-CN"/>
              </w:rPr>
            </w:pPr>
            <w:r>
              <w:rPr>
                <w:rFonts w:hint="default" w:ascii="Times New Roman" w:hAnsi="Times New Roman" w:cs="Times New Roman"/>
                <w:color w:val="auto"/>
                <w:sz w:val="24"/>
                <w:highlight w:val="none"/>
              </w:rPr>
              <w:t>根据《排污单位自行监测技术指南 总则》（HJ819-2017）规定，建设单位应定期开展污染源及环境监测，及时掌握产排污规律，加强污染治理。参照《排污单位自行监测技术指南  水泥工业》（HJ</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848-2017），</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全厂运营期污染源与环境监测计划见下表</w:t>
            </w:r>
            <w:r>
              <w:rPr>
                <w:rFonts w:hint="default" w:ascii="Times New Roman" w:hAnsi="Times New Roman" w:cs="Times New Roman"/>
                <w:color w:val="auto"/>
                <w:sz w:val="24"/>
                <w:highlight w:val="none"/>
                <w:lang w:eastAsia="zh-CN"/>
              </w:rPr>
              <w:t>。</w:t>
            </w:r>
          </w:p>
          <w:p w14:paraId="0A1DB88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default" w:ascii="Times New Roman" w:hAnsi="Times New Roman" w:cs="Times New Roman"/>
                <w:b/>
                <w:bCs/>
                <w:color w:val="auto"/>
                <w:szCs w:val="21"/>
                <w:highlight w:val="none"/>
                <w:lang w:val="en-US" w:eastAsia="zh-CN"/>
              </w:rPr>
              <w:t>8</w:t>
            </w:r>
            <w:r>
              <w:rPr>
                <w:rFonts w:hint="default" w:ascii="Times New Roman" w:hAnsi="Times New Roman" w:cs="Times New Roman"/>
                <w:b/>
                <w:bCs/>
                <w:color w:val="auto"/>
                <w:szCs w:val="21"/>
                <w:highlight w:val="none"/>
              </w:rPr>
              <w:t xml:space="preserve">  大气排放口基本信息表</w:t>
            </w:r>
          </w:p>
          <w:tbl>
            <w:tblPr>
              <w:tblStyle w:val="32"/>
              <w:tblW w:w="84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250"/>
              <w:gridCol w:w="1100"/>
              <w:gridCol w:w="1199"/>
              <w:gridCol w:w="929"/>
              <w:gridCol w:w="850"/>
              <w:gridCol w:w="834"/>
              <w:gridCol w:w="1155"/>
            </w:tblGrid>
            <w:tr w14:paraId="15629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9" w:type="dxa"/>
                  <w:vMerge w:val="restart"/>
                  <w:vAlign w:val="center"/>
                </w:tcPr>
                <w:p w14:paraId="49427EAC">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排放口</w:t>
                  </w:r>
                </w:p>
                <w:p w14:paraId="633C6FAD">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名称</w:t>
                  </w:r>
                </w:p>
              </w:tc>
              <w:tc>
                <w:tcPr>
                  <w:tcW w:w="1250" w:type="dxa"/>
                  <w:vMerge w:val="restart"/>
                  <w:vAlign w:val="center"/>
                </w:tcPr>
                <w:p w14:paraId="40D70626">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污染物</w:t>
                  </w:r>
                </w:p>
                <w:p w14:paraId="41C08F25">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种类</w:t>
                  </w:r>
                </w:p>
              </w:tc>
              <w:tc>
                <w:tcPr>
                  <w:tcW w:w="2299" w:type="dxa"/>
                  <w:gridSpan w:val="2"/>
                  <w:vAlign w:val="center"/>
                </w:tcPr>
                <w:p w14:paraId="02256D3E">
                  <w:pPr>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rPr>
                    <w:t>排放口地理坐标</w:t>
                  </w:r>
                  <w:r>
                    <w:rPr>
                      <w:rFonts w:hint="default" w:ascii="Times New Roman" w:hAnsi="Times New Roman" w:cs="Times New Roman"/>
                      <w:b w:val="0"/>
                      <w:bCs w:val="0"/>
                      <w:color w:val="auto"/>
                      <w:szCs w:val="21"/>
                      <w:highlight w:val="none"/>
                      <w:lang w:val="en-US" w:eastAsia="zh-CN"/>
                    </w:rPr>
                    <w:t>/m</w:t>
                  </w:r>
                </w:p>
              </w:tc>
              <w:tc>
                <w:tcPr>
                  <w:tcW w:w="929" w:type="dxa"/>
                  <w:vMerge w:val="restart"/>
                  <w:vAlign w:val="center"/>
                </w:tcPr>
                <w:p w14:paraId="11BEC8A9">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排气筒高度/m</w:t>
                  </w:r>
                </w:p>
              </w:tc>
              <w:tc>
                <w:tcPr>
                  <w:tcW w:w="850" w:type="dxa"/>
                  <w:vMerge w:val="restart"/>
                  <w:vAlign w:val="center"/>
                </w:tcPr>
                <w:p w14:paraId="5B1D4F3D">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排气筒出口内径/m</w:t>
                  </w:r>
                </w:p>
              </w:tc>
              <w:tc>
                <w:tcPr>
                  <w:tcW w:w="834" w:type="dxa"/>
                  <w:vMerge w:val="restart"/>
                  <w:vAlign w:val="center"/>
                </w:tcPr>
                <w:p w14:paraId="7A4498CC">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排气温度/℃</w:t>
                  </w:r>
                </w:p>
              </w:tc>
              <w:tc>
                <w:tcPr>
                  <w:tcW w:w="1155" w:type="dxa"/>
                  <w:vMerge w:val="restart"/>
                  <w:vAlign w:val="center"/>
                </w:tcPr>
                <w:p w14:paraId="1947860B">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排放口</w:t>
                  </w:r>
                </w:p>
                <w:p w14:paraId="4500B1F9">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类型</w:t>
                  </w:r>
                </w:p>
              </w:tc>
            </w:tr>
            <w:tr w14:paraId="367A3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1149" w:type="dxa"/>
                  <w:vMerge w:val="continue"/>
                  <w:vAlign w:val="center"/>
                </w:tcPr>
                <w:p w14:paraId="05A1B8D6">
                  <w:pPr>
                    <w:snapToGrid w:val="0"/>
                    <w:jc w:val="center"/>
                    <w:rPr>
                      <w:rFonts w:hint="default" w:ascii="Times New Roman" w:hAnsi="Times New Roman" w:cs="Times New Roman"/>
                      <w:color w:val="auto"/>
                      <w:sz w:val="20"/>
                      <w:szCs w:val="20"/>
                      <w:highlight w:val="none"/>
                    </w:rPr>
                  </w:pPr>
                </w:p>
              </w:tc>
              <w:tc>
                <w:tcPr>
                  <w:tcW w:w="1250" w:type="dxa"/>
                  <w:vMerge w:val="continue"/>
                  <w:vAlign w:val="center"/>
                </w:tcPr>
                <w:p w14:paraId="3BE53E5D">
                  <w:pPr>
                    <w:snapToGrid w:val="0"/>
                    <w:jc w:val="center"/>
                    <w:rPr>
                      <w:rFonts w:hint="default" w:ascii="Times New Roman" w:hAnsi="Times New Roman" w:cs="Times New Roman"/>
                      <w:color w:val="auto"/>
                      <w:sz w:val="20"/>
                      <w:szCs w:val="20"/>
                      <w:highlight w:val="none"/>
                    </w:rPr>
                  </w:pPr>
                </w:p>
              </w:tc>
              <w:tc>
                <w:tcPr>
                  <w:tcW w:w="1100" w:type="dxa"/>
                  <w:vAlign w:val="center"/>
                </w:tcPr>
                <w:p w14:paraId="3B891460">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X</w:t>
                  </w:r>
                </w:p>
              </w:tc>
              <w:tc>
                <w:tcPr>
                  <w:tcW w:w="1199" w:type="dxa"/>
                  <w:vAlign w:val="center"/>
                </w:tcPr>
                <w:p w14:paraId="08E238DF">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Y</w:t>
                  </w:r>
                </w:p>
              </w:tc>
              <w:tc>
                <w:tcPr>
                  <w:tcW w:w="929" w:type="dxa"/>
                  <w:vMerge w:val="continue"/>
                  <w:vAlign w:val="center"/>
                </w:tcPr>
                <w:p w14:paraId="4E9E8047">
                  <w:pPr>
                    <w:snapToGrid w:val="0"/>
                    <w:jc w:val="center"/>
                    <w:rPr>
                      <w:rFonts w:hint="default" w:ascii="Times New Roman" w:hAnsi="Times New Roman" w:cs="Times New Roman"/>
                      <w:color w:val="auto"/>
                      <w:sz w:val="20"/>
                      <w:szCs w:val="20"/>
                      <w:highlight w:val="none"/>
                    </w:rPr>
                  </w:pPr>
                </w:p>
              </w:tc>
              <w:tc>
                <w:tcPr>
                  <w:tcW w:w="850" w:type="dxa"/>
                  <w:vMerge w:val="continue"/>
                </w:tcPr>
                <w:p w14:paraId="3CD7FABD">
                  <w:pPr>
                    <w:snapToGrid w:val="0"/>
                    <w:jc w:val="center"/>
                    <w:rPr>
                      <w:rFonts w:hint="default" w:ascii="Times New Roman" w:hAnsi="Times New Roman" w:cs="Times New Roman"/>
                      <w:color w:val="auto"/>
                      <w:sz w:val="20"/>
                      <w:szCs w:val="20"/>
                      <w:highlight w:val="none"/>
                    </w:rPr>
                  </w:pPr>
                </w:p>
              </w:tc>
              <w:tc>
                <w:tcPr>
                  <w:tcW w:w="834" w:type="dxa"/>
                  <w:vMerge w:val="continue"/>
                </w:tcPr>
                <w:p w14:paraId="6BC82A89">
                  <w:pPr>
                    <w:snapToGrid w:val="0"/>
                    <w:jc w:val="center"/>
                    <w:rPr>
                      <w:rFonts w:hint="default" w:ascii="Times New Roman" w:hAnsi="Times New Roman" w:cs="Times New Roman"/>
                      <w:color w:val="auto"/>
                      <w:sz w:val="20"/>
                      <w:szCs w:val="20"/>
                      <w:highlight w:val="none"/>
                    </w:rPr>
                  </w:pPr>
                </w:p>
              </w:tc>
              <w:tc>
                <w:tcPr>
                  <w:tcW w:w="1155" w:type="dxa"/>
                  <w:vMerge w:val="continue"/>
                </w:tcPr>
                <w:p w14:paraId="10BC2CCD">
                  <w:pPr>
                    <w:snapToGrid w:val="0"/>
                    <w:jc w:val="center"/>
                    <w:rPr>
                      <w:rFonts w:hint="default" w:ascii="Times New Roman" w:hAnsi="Times New Roman" w:cs="Times New Roman"/>
                      <w:color w:val="auto"/>
                      <w:sz w:val="20"/>
                      <w:szCs w:val="20"/>
                      <w:highlight w:val="none"/>
                    </w:rPr>
                  </w:pPr>
                </w:p>
              </w:tc>
            </w:tr>
            <w:tr w14:paraId="4F319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389E4BFB">
                  <w:pPr>
                    <w:widowControl/>
                    <w:ind w:left="-105" w:leftChars="-50" w:right="-105" w:right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DA001</w:t>
                  </w:r>
                </w:p>
              </w:tc>
              <w:tc>
                <w:tcPr>
                  <w:tcW w:w="1250" w:type="dxa"/>
                  <w:vAlign w:val="center"/>
                </w:tcPr>
                <w:p w14:paraId="3A4709CC">
                  <w:pPr>
                    <w:widowControl/>
                    <w:ind w:left="-105" w:leftChars="-50" w:right="-105" w:right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1100" w:type="dxa"/>
                  <w:vAlign w:val="center"/>
                </w:tcPr>
                <w:p w14:paraId="6E42D0E5">
                  <w:pPr>
                    <w:widowControl/>
                    <w:ind w:left="-63" w:leftChars="-30" w:right="-63" w:rightChars="-3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730724</w:t>
                  </w:r>
                </w:p>
              </w:tc>
              <w:tc>
                <w:tcPr>
                  <w:tcW w:w="1199" w:type="dxa"/>
                  <w:vAlign w:val="center"/>
                </w:tcPr>
                <w:p w14:paraId="10A9EFBC">
                  <w:pPr>
                    <w:widowControl/>
                    <w:ind w:left="-63" w:leftChars="-30" w:right="-63" w:rightChars="-3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367</w:t>
                  </w:r>
                  <w:r>
                    <w:rPr>
                      <w:rFonts w:hint="default" w:ascii="Times New Roman" w:hAnsi="Times New Roman" w:cs="Times New Roman"/>
                      <w:color w:val="auto"/>
                      <w:szCs w:val="21"/>
                      <w:highlight w:val="none"/>
                      <w:lang w:val="en-US" w:eastAsia="zh-CN"/>
                    </w:rPr>
                    <w:t>8079</w:t>
                  </w:r>
                </w:p>
              </w:tc>
              <w:tc>
                <w:tcPr>
                  <w:tcW w:w="929" w:type="dxa"/>
                  <w:vAlign w:val="center"/>
                </w:tcPr>
                <w:p w14:paraId="27860CCB">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w:t>
                  </w:r>
                </w:p>
              </w:tc>
              <w:tc>
                <w:tcPr>
                  <w:tcW w:w="850" w:type="dxa"/>
                  <w:vAlign w:val="center"/>
                </w:tcPr>
                <w:p w14:paraId="36898D25">
                  <w:pPr>
                    <w:widowControl/>
                    <w:ind w:left="-105" w:lef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c>
                <w:tcPr>
                  <w:tcW w:w="834" w:type="dxa"/>
                  <w:vAlign w:val="center"/>
                </w:tcPr>
                <w:p w14:paraId="5B71EDB2">
                  <w:pPr>
                    <w:widowControl/>
                    <w:ind w:left="-105" w:lef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常温</w:t>
                  </w:r>
                </w:p>
              </w:tc>
              <w:tc>
                <w:tcPr>
                  <w:tcW w:w="1155" w:type="dxa"/>
                  <w:vAlign w:val="center"/>
                </w:tcPr>
                <w:p w14:paraId="7B197A2D">
                  <w:pPr>
                    <w:snapToGrid w:val="0"/>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一般排放口</w:t>
                  </w:r>
                </w:p>
              </w:tc>
            </w:tr>
            <w:tr w14:paraId="1D43D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454B733D">
                  <w:pPr>
                    <w:widowControl/>
                    <w:ind w:left="-105" w:leftChars="-50" w:right="-105" w:right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DA002</w:t>
                  </w:r>
                </w:p>
              </w:tc>
              <w:tc>
                <w:tcPr>
                  <w:tcW w:w="1250" w:type="dxa"/>
                  <w:vAlign w:val="center"/>
                </w:tcPr>
                <w:p w14:paraId="522B1424">
                  <w:pPr>
                    <w:widowControl/>
                    <w:ind w:left="-105" w:leftChars="-50" w:right="-105" w:right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1100" w:type="dxa"/>
                  <w:vAlign w:val="center"/>
                </w:tcPr>
                <w:p w14:paraId="6286B8D1">
                  <w:pPr>
                    <w:widowControl/>
                    <w:ind w:left="-63" w:leftChars="-30" w:right="-63" w:rightChars="-3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730816</w:t>
                  </w:r>
                </w:p>
              </w:tc>
              <w:tc>
                <w:tcPr>
                  <w:tcW w:w="1199" w:type="dxa"/>
                  <w:vAlign w:val="center"/>
                </w:tcPr>
                <w:p w14:paraId="2A44730D">
                  <w:pPr>
                    <w:widowControl/>
                    <w:ind w:left="-63" w:leftChars="-30" w:right="-63" w:rightChars="-3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3678128</w:t>
                  </w:r>
                </w:p>
              </w:tc>
              <w:tc>
                <w:tcPr>
                  <w:tcW w:w="929" w:type="dxa"/>
                  <w:vAlign w:val="center"/>
                </w:tcPr>
                <w:p w14:paraId="4AB80F18">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w:t>
                  </w:r>
                </w:p>
              </w:tc>
              <w:tc>
                <w:tcPr>
                  <w:tcW w:w="850" w:type="dxa"/>
                  <w:vAlign w:val="center"/>
                </w:tcPr>
                <w:p w14:paraId="6C3BAD62">
                  <w:pPr>
                    <w:widowControl/>
                    <w:ind w:left="-105" w:lef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c>
                <w:tcPr>
                  <w:tcW w:w="834" w:type="dxa"/>
                  <w:vAlign w:val="center"/>
                </w:tcPr>
                <w:p w14:paraId="4D4BC139">
                  <w:pPr>
                    <w:widowControl/>
                    <w:ind w:left="-105" w:lef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常温</w:t>
                  </w:r>
                </w:p>
              </w:tc>
              <w:tc>
                <w:tcPr>
                  <w:tcW w:w="1155" w:type="dxa"/>
                  <w:vAlign w:val="center"/>
                </w:tcPr>
                <w:p w14:paraId="1B63ACAF">
                  <w:pPr>
                    <w:snapToGrid w:val="0"/>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一般排放口</w:t>
                  </w:r>
                </w:p>
              </w:tc>
            </w:tr>
            <w:tr w14:paraId="6ED7F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3DE48DE9">
                  <w:pPr>
                    <w:widowControl/>
                    <w:ind w:left="-105" w:leftChars="-50" w:right="-105" w:rightChars="-5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DA00</w:t>
                  </w:r>
                  <w:r>
                    <w:rPr>
                      <w:rFonts w:hint="default" w:ascii="Times New Roman" w:hAnsi="Times New Roman" w:cs="Times New Roman"/>
                      <w:color w:val="auto"/>
                      <w:szCs w:val="21"/>
                      <w:highlight w:val="none"/>
                      <w:lang w:val="en-US" w:eastAsia="zh-CN"/>
                    </w:rPr>
                    <w:t>3</w:t>
                  </w:r>
                </w:p>
              </w:tc>
              <w:tc>
                <w:tcPr>
                  <w:tcW w:w="1250" w:type="dxa"/>
                  <w:vAlign w:val="center"/>
                </w:tcPr>
                <w:p w14:paraId="3FCF32B3">
                  <w:pPr>
                    <w:widowControl/>
                    <w:ind w:left="-105" w:leftChars="-50" w:right="-105" w:right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1100" w:type="dxa"/>
                  <w:vAlign w:val="center"/>
                </w:tcPr>
                <w:p w14:paraId="2445C0B4">
                  <w:pPr>
                    <w:widowControl/>
                    <w:ind w:left="-63" w:leftChars="-30" w:right="-63" w:rightChars="-3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730860</w:t>
                  </w:r>
                </w:p>
              </w:tc>
              <w:tc>
                <w:tcPr>
                  <w:tcW w:w="1199" w:type="dxa"/>
                  <w:vAlign w:val="center"/>
                </w:tcPr>
                <w:p w14:paraId="7878FBF8">
                  <w:pPr>
                    <w:widowControl/>
                    <w:ind w:left="-63" w:leftChars="-30" w:right="-63" w:rightChars="-3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3678144</w:t>
                  </w:r>
                </w:p>
              </w:tc>
              <w:tc>
                <w:tcPr>
                  <w:tcW w:w="929" w:type="dxa"/>
                  <w:vAlign w:val="center"/>
                </w:tcPr>
                <w:p w14:paraId="60CC8D4C">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850" w:type="dxa"/>
                  <w:vAlign w:val="center"/>
                </w:tcPr>
                <w:p w14:paraId="659933EE">
                  <w:pPr>
                    <w:widowControl/>
                    <w:ind w:left="-105" w:lef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c>
                <w:tcPr>
                  <w:tcW w:w="834" w:type="dxa"/>
                  <w:vAlign w:val="center"/>
                </w:tcPr>
                <w:p w14:paraId="16482920">
                  <w:pPr>
                    <w:widowControl/>
                    <w:ind w:left="-105" w:lef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常温</w:t>
                  </w:r>
                </w:p>
              </w:tc>
              <w:tc>
                <w:tcPr>
                  <w:tcW w:w="1155" w:type="dxa"/>
                  <w:vAlign w:val="center"/>
                </w:tcPr>
                <w:p w14:paraId="60F71714">
                  <w:pPr>
                    <w:snapToGrid w:val="0"/>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一般排放口</w:t>
                  </w:r>
                </w:p>
              </w:tc>
            </w:tr>
          </w:tbl>
          <w:p w14:paraId="0389FAC1">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w:t>
            </w:r>
            <w:r>
              <w:rPr>
                <w:rFonts w:hint="default" w:ascii="Times New Roman" w:hAnsi="Times New Roman" w:cs="Times New Roman"/>
                <w:b/>
                <w:bCs/>
                <w:color w:val="auto"/>
                <w:highlight w:val="none"/>
                <w:lang w:val="en-US" w:eastAsia="zh-CN"/>
              </w:rPr>
              <w:t>9</w:t>
            </w:r>
            <w:r>
              <w:rPr>
                <w:rFonts w:hint="default" w:ascii="Times New Roman" w:hAnsi="Times New Roman" w:cs="Times New Roman"/>
                <w:b/>
                <w:bCs/>
                <w:color w:val="auto"/>
                <w:highlight w:val="none"/>
              </w:rPr>
              <w:t xml:space="preserve">  项目废气监测计划一览表</w:t>
            </w:r>
          </w:p>
          <w:tbl>
            <w:tblPr>
              <w:tblStyle w:val="32"/>
              <w:tblW w:w="50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6"/>
              <w:gridCol w:w="1732"/>
              <w:gridCol w:w="1232"/>
              <w:gridCol w:w="1299"/>
              <w:gridCol w:w="3098"/>
            </w:tblGrid>
            <w:tr w14:paraId="37B60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98" w:type="pct"/>
                  <w:vAlign w:val="center"/>
                </w:tcPr>
                <w:p w14:paraId="16151FC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废气形式</w:t>
                  </w:r>
                </w:p>
              </w:tc>
              <w:tc>
                <w:tcPr>
                  <w:tcW w:w="1011" w:type="pct"/>
                  <w:vAlign w:val="center"/>
                </w:tcPr>
                <w:p w14:paraId="5AE1710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720" w:type="pct"/>
                  <w:vAlign w:val="center"/>
                </w:tcPr>
                <w:p w14:paraId="34AFE2A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监测指标</w:t>
                  </w:r>
                </w:p>
              </w:tc>
              <w:tc>
                <w:tcPr>
                  <w:tcW w:w="759" w:type="pct"/>
                  <w:vAlign w:val="center"/>
                </w:tcPr>
                <w:p w14:paraId="286ECD1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监测频率</w:t>
                  </w:r>
                </w:p>
              </w:tc>
              <w:tc>
                <w:tcPr>
                  <w:tcW w:w="1809" w:type="pct"/>
                  <w:vAlign w:val="center"/>
                </w:tcPr>
                <w:p w14:paraId="15300AE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14:paraId="3A93A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98" w:type="pct"/>
                  <w:vMerge w:val="restart"/>
                  <w:vAlign w:val="center"/>
                </w:tcPr>
                <w:p w14:paraId="7CCC820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有组织</w:t>
                  </w:r>
                </w:p>
              </w:tc>
              <w:tc>
                <w:tcPr>
                  <w:tcW w:w="1011" w:type="pct"/>
                  <w:vAlign w:val="center"/>
                </w:tcPr>
                <w:p w14:paraId="10E6F93E">
                  <w:pPr>
                    <w:widowControl/>
                    <w:ind w:left="-105" w:leftChars="-50" w:right="-105" w:rightChars="-5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DA001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DA</w:t>
                  </w:r>
                  <w:r>
                    <w:rPr>
                      <w:rFonts w:hint="default" w:ascii="Times New Roman" w:hAnsi="Times New Roman" w:cs="Times New Roman"/>
                      <w:color w:val="auto"/>
                      <w:szCs w:val="21"/>
                      <w:highlight w:val="none"/>
                      <w:lang w:val="en-US" w:eastAsia="zh-CN"/>
                    </w:rPr>
                    <w:t>002</w:t>
                  </w:r>
                </w:p>
              </w:tc>
              <w:tc>
                <w:tcPr>
                  <w:tcW w:w="720" w:type="pct"/>
                  <w:vAlign w:val="center"/>
                </w:tcPr>
                <w:p w14:paraId="41A177B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759" w:type="pct"/>
                  <w:vAlign w:val="center"/>
                </w:tcPr>
                <w:p w14:paraId="0FCAF8B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1次/年</w:t>
                  </w:r>
                </w:p>
              </w:tc>
              <w:tc>
                <w:tcPr>
                  <w:tcW w:w="1809" w:type="pct"/>
                  <w:vAlign w:val="center"/>
                </w:tcPr>
                <w:p w14:paraId="0314C34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《大气污染物综合排放标准》（GB</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16297-1996）</w:t>
                  </w:r>
                </w:p>
              </w:tc>
            </w:tr>
            <w:tr w14:paraId="74ED3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698" w:type="pct"/>
                  <w:vMerge w:val="continue"/>
                  <w:vAlign w:val="center"/>
                </w:tcPr>
                <w:p w14:paraId="305D3E0D">
                  <w:pPr>
                    <w:adjustRightInd w:val="0"/>
                    <w:snapToGrid w:val="0"/>
                    <w:jc w:val="center"/>
                    <w:rPr>
                      <w:rFonts w:hint="default" w:ascii="Times New Roman" w:hAnsi="Times New Roman" w:cs="Times New Roman"/>
                      <w:color w:val="auto"/>
                      <w:szCs w:val="21"/>
                      <w:highlight w:val="none"/>
                    </w:rPr>
                  </w:pPr>
                </w:p>
              </w:tc>
              <w:tc>
                <w:tcPr>
                  <w:tcW w:w="1011" w:type="pct"/>
                  <w:vAlign w:val="center"/>
                </w:tcPr>
                <w:p w14:paraId="60A68D36">
                  <w:pPr>
                    <w:widowControl/>
                    <w:ind w:left="-105" w:leftChars="-50" w:right="-105" w:rightChars="-5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DA00</w:t>
                  </w:r>
                  <w:r>
                    <w:rPr>
                      <w:rFonts w:hint="default" w:ascii="Times New Roman" w:hAnsi="Times New Roman" w:cs="Times New Roman"/>
                      <w:color w:val="auto"/>
                      <w:szCs w:val="21"/>
                      <w:highlight w:val="none"/>
                      <w:lang w:val="en-US" w:eastAsia="zh-CN"/>
                    </w:rPr>
                    <w:t>3</w:t>
                  </w:r>
                </w:p>
              </w:tc>
              <w:tc>
                <w:tcPr>
                  <w:tcW w:w="720" w:type="pct"/>
                  <w:vAlign w:val="center"/>
                </w:tcPr>
                <w:p w14:paraId="31785DC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759" w:type="pct"/>
                  <w:vAlign w:val="center"/>
                </w:tcPr>
                <w:p w14:paraId="3D2DBD3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1次/半年</w:t>
                  </w:r>
                </w:p>
              </w:tc>
              <w:tc>
                <w:tcPr>
                  <w:tcW w:w="1809" w:type="pct"/>
                  <w:vAlign w:val="center"/>
                </w:tcPr>
                <w:p w14:paraId="503EFE8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水泥工业大气污染物排放标准》（GB4915-2013）</w:t>
                  </w:r>
                </w:p>
              </w:tc>
            </w:tr>
            <w:tr w14:paraId="47C0C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698" w:type="pct"/>
                  <w:vAlign w:val="center"/>
                </w:tcPr>
                <w:p w14:paraId="7DE88E0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w:t>
                  </w:r>
                </w:p>
              </w:tc>
              <w:tc>
                <w:tcPr>
                  <w:tcW w:w="1011" w:type="pct"/>
                  <w:vAlign w:val="center"/>
                </w:tcPr>
                <w:p w14:paraId="4CCDD48D">
                  <w:pPr>
                    <w:widowControl/>
                    <w:ind w:left="-105" w:leftChars="-50" w:right="-105" w:right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厂界上风向1个</w:t>
                  </w:r>
                </w:p>
                <w:p w14:paraId="387F6CBF">
                  <w:pPr>
                    <w:widowControl/>
                    <w:ind w:left="-105" w:leftChars="-50" w:right="-105" w:right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下风向3个</w:t>
                  </w:r>
                </w:p>
              </w:tc>
              <w:tc>
                <w:tcPr>
                  <w:tcW w:w="720" w:type="pct"/>
                  <w:vAlign w:val="center"/>
                </w:tcPr>
                <w:p w14:paraId="7617C48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759" w:type="pct"/>
                  <w:vAlign w:val="center"/>
                </w:tcPr>
                <w:p w14:paraId="26A5CE6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1次/季度</w:t>
                  </w:r>
                </w:p>
              </w:tc>
              <w:tc>
                <w:tcPr>
                  <w:tcW w:w="1809" w:type="pct"/>
                  <w:vAlign w:val="center"/>
                </w:tcPr>
                <w:p w14:paraId="330A292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《水泥工业大气污染物排放标准》（GB4915-2013）</w:t>
                  </w:r>
                </w:p>
              </w:tc>
            </w:tr>
          </w:tbl>
          <w:p w14:paraId="3941790C">
            <w:pPr>
              <w:pStyle w:val="46"/>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非正常工况下废气排放情况及处理措施</w:t>
            </w:r>
          </w:p>
          <w:p w14:paraId="1B28642A">
            <w:pPr>
              <w:pStyle w:val="46"/>
              <w:spacing w:line="360" w:lineRule="auto"/>
              <w:ind w:firstLine="480" w:firstLineChars="200"/>
              <w:rPr>
                <w:rFonts w:hint="default" w:ascii="Times New Roman" w:hAnsi="Times New Roman" w:cs="Times New Roman"/>
                <w:b/>
                <w:bCs/>
                <w:color w:val="auto"/>
                <w:szCs w:val="21"/>
                <w:highlight w:val="none"/>
              </w:rPr>
            </w:pPr>
            <w:r>
              <w:rPr>
                <w:rFonts w:hint="default" w:ascii="Times New Roman" w:hAnsi="Times New Roman" w:cs="Times New Roman"/>
                <w:bCs/>
                <w:color w:val="auto"/>
                <w:highlight w:val="none"/>
              </w:rPr>
              <w:t>本项目</w:t>
            </w:r>
            <w:r>
              <w:rPr>
                <w:rFonts w:hint="default" w:ascii="Times New Roman" w:hAnsi="Times New Roman" w:cs="Times New Roman"/>
                <w:color w:val="auto"/>
                <w:highlight w:val="none"/>
              </w:rPr>
              <w:t>后期运营过程中会不可避免地出现生产设备故障等非正常工况，根据企业介绍，非正常工况发生的频次约为1</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2次/a。废气排放情况见下表：</w:t>
            </w:r>
          </w:p>
          <w:p w14:paraId="4D4346D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default" w:ascii="Times New Roman" w:hAnsi="Times New Roman" w:cs="Times New Roman"/>
                <w:b/>
                <w:bCs/>
                <w:color w:val="auto"/>
                <w:szCs w:val="21"/>
                <w:highlight w:val="none"/>
                <w:lang w:val="en-US" w:eastAsia="zh-CN"/>
              </w:rPr>
              <w:t>10</w:t>
            </w:r>
            <w:r>
              <w:rPr>
                <w:rFonts w:hint="default" w:ascii="Times New Roman" w:hAnsi="Times New Roman" w:cs="Times New Roman"/>
                <w:b/>
                <w:bCs/>
                <w:color w:val="auto"/>
                <w:szCs w:val="21"/>
                <w:highlight w:val="none"/>
              </w:rPr>
              <w:t xml:space="preserve">  项目非正常工况大气污染物排放量核算表</w:t>
            </w:r>
          </w:p>
          <w:tbl>
            <w:tblPr>
              <w:tblStyle w:val="32"/>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92"/>
              <w:gridCol w:w="750"/>
              <w:gridCol w:w="1115"/>
              <w:gridCol w:w="1183"/>
              <w:gridCol w:w="1017"/>
              <w:gridCol w:w="1900"/>
              <w:gridCol w:w="807"/>
              <w:gridCol w:w="831"/>
            </w:tblGrid>
            <w:tr w14:paraId="516BF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5415E597">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生产线</w:t>
                  </w:r>
                </w:p>
              </w:tc>
              <w:tc>
                <w:tcPr>
                  <w:tcW w:w="750" w:type="dxa"/>
                  <w:vAlign w:val="center"/>
                </w:tcPr>
                <w:p w14:paraId="017DD702">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1115" w:type="dxa"/>
                  <w:vAlign w:val="center"/>
                </w:tcPr>
                <w:p w14:paraId="3EEE30A8">
                  <w:pPr>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排放量</w:t>
                  </w:r>
                  <w:r>
                    <w:rPr>
                      <w:rFonts w:hint="default" w:ascii="Times New Roman" w:hAnsi="Times New Roman" w:cs="Times New Roman"/>
                      <w:color w:val="auto"/>
                      <w:kern w:val="0"/>
                      <w:szCs w:val="21"/>
                      <w:highlight w:val="none"/>
                    </w:rPr>
                    <w:t>kg</w:t>
                  </w:r>
                </w:p>
              </w:tc>
              <w:tc>
                <w:tcPr>
                  <w:tcW w:w="1183" w:type="dxa"/>
                  <w:vAlign w:val="center"/>
                </w:tcPr>
                <w:p w14:paraId="7AAFD0E8">
                  <w:pPr>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排放浓度</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1017" w:type="dxa"/>
                  <w:vAlign w:val="center"/>
                </w:tcPr>
                <w:p w14:paraId="7010B11E">
                  <w:pPr>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排放速率</w:t>
                  </w:r>
                  <w:r>
                    <w:rPr>
                      <w:rFonts w:hint="default" w:ascii="Times New Roman" w:hAnsi="Times New Roman" w:cs="Times New Roman"/>
                      <w:color w:val="auto"/>
                      <w:szCs w:val="21"/>
                      <w:highlight w:val="none"/>
                    </w:rPr>
                    <w:t>kg/h</w:t>
                  </w:r>
                </w:p>
              </w:tc>
              <w:tc>
                <w:tcPr>
                  <w:tcW w:w="1900" w:type="dxa"/>
                  <w:vAlign w:val="center"/>
                </w:tcPr>
                <w:p w14:paraId="4839124D">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非正常排放原因</w:t>
                  </w:r>
                </w:p>
              </w:tc>
              <w:tc>
                <w:tcPr>
                  <w:tcW w:w="807" w:type="dxa"/>
                  <w:vAlign w:val="center"/>
                </w:tcPr>
                <w:p w14:paraId="5B0E11A5">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单次持续时间</w:t>
                  </w:r>
                </w:p>
              </w:tc>
              <w:tc>
                <w:tcPr>
                  <w:tcW w:w="831" w:type="dxa"/>
                  <w:vAlign w:val="center"/>
                </w:tcPr>
                <w:p w14:paraId="1A1B7EF4">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年发生</w:t>
                  </w:r>
                </w:p>
                <w:p w14:paraId="477F8FA0">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频次</w:t>
                  </w:r>
                </w:p>
              </w:tc>
            </w:tr>
            <w:tr w14:paraId="3CB50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1C1A3937">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砂石生产线</w:t>
                  </w:r>
                </w:p>
              </w:tc>
              <w:tc>
                <w:tcPr>
                  <w:tcW w:w="750" w:type="dxa"/>
                  <w:vAlign w:val="center"/>
                </w:tcPr>
                <w:p w14:paraId="684DF533">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颗粒物</w:t>
                  </w:r>
                </w:p>
              </w:tc>
              <w:tc>
                <w:tcPr>
                  <w:tcW w:w="1115" w:type="dxa"/>
                  <w:shd w:val="clear" w:color="auto" w:fill="auto"/>
                  <w:vAlign w:val="center"/>
                </w:tcPr>
                <w:p w14:paraId="01066DDE">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196.875</w:t>
                  </w:r>
                </w:p>
              </w:tc>
              <w:tc>
                <w:tcPr>
                  <w:tcW w:w="1183" w:type="dxa"/>
                  <w:shd w:val="clear" w:color="auto" w:fill="auto"/>
                  <w:vAlign w:val="center"/>
                </w:tcPr>
                <w:p w14:paraId="64108310">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1555.56</w:t>
                  </w:r>
                </w:p>
              </w:tc>
              <w:tc>
                <w:tcPr>
                  <w:tcW w:w="1017" w:type="dxa"/>
                  <w:shd w:val="clear" w:color="auto" w:fill="auto"/>
                  <w:vAlign w:val="center"/>
                </w:tcPr>
                <w:p w14:paraId="42BB8BB1">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393.75</w:t>
                  </w:r>
                </w:p>
              </w:tc>
              <w:tc>
                <w:tcPr>
                  <w:tcW w:w="1900" w:type="dxa"/>
                  <w:vAlign w:val="center"/>
                </w:tcPr>
                <w:p w14:paraId="05359DF9">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集气或布袋除尘设施失效，</w:t>
                  </w:r>
                  <w:r>
                    <w:rPr>
                      <w:rFonts w:hint="default" w:ascii="Times New Roman" w:hAnsi="Times New Roman" w:cs="Times New Roman"/>
                      <w:color w:val="auto"/>
                      <w:szCs w:val="21"/>
                      <w:highlight w:val="none"/>
                      <w:lang w:val="en-US" w:eastAsia="zh-CN"/>
                    </w:rPr>
                    <w:t>去除</w:t>
                  </w:r>
                  <w:r>
                    <w:rPr>
                      <w:rFonts w:hint="default" w:ascii="Times New Roman" w:hAnsi="Times New Roman" w:cs="Times New Roman"/>
                      <w:color w:val="auto"/>
                      <w:szCs w:val="21"/>
                      <w:highlight w:val="none"/>
                    </w:rPr>
                    <w:t>效率为0</w:t>
                  </w:r>
                </w:p>
              </w:tc>
              <w:tc>
                <w:tcPr>
                  <w:tcW w:w="807" w:type="dxa"/>
                  <w:vAlign w:val="center"/>
                </w:tcPr>
                <w:p w14:paraId="411D5276">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0.5h</w:t>
                  </w:r>
                </w:p>
              </w:tc>
              <w:tc>
                <w:tcPr>
                  <w:tcW w:w="831" w:type="dxa"/>
                  <w:vAlign w:val="center"/>
                </w:tcPr>
                <w:p w14:paraId="3C06AD9C">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1次</w:t>
                  </w:r>
                </w:p>
              </w:tc>
            </w:tr>
            <w:tr w14:paraId="20135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452405F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彩砂生产线</w:t>
                  </w:r>
                </w:p>
              </w:tc>
              <w:tc>
                <w:tcPr>
                  <w:tcW w:w="750" w:type="dxa"/>
                  <w:vAlign w:val="center"/>
                </w:tcPr>
                <w:p w14:paraId="472476D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颗粒物</w:t>
                  </w:r>
                </w:p>
              </w:tc>
              <w:tc>
                <w:tcPr>
                  <w:tcW w:w="1115" w:type="dxa"/>
                  <w:vAlign w:val="center"/>
                </w:tcPr>
                <w:p w14:paraId="6A9700AC">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196.875</w:t>
                  </w:r>
                </w:p>
              </w:tc>
              <w:tc>
                <w:tcPr>
                  <w:tcW w:w="1183" w:type="dxa"/>
                  <w:vAlign w:val="center"/>
                </w:tcPr>
                <w:p w14:paraId="01EEF3AA">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1555.56</w:t>
                  </w:r>
                </w:p>
              </w:tc>
              <w:tc>
                <w:tcPr>
                  <w:tcW w:w="1017" w:type="dxa"/>
                  <w:shd w:val="clear" w:color="auto" w:fill="auto"/>
                  <w:vAlign w:val="center"/>
                </w:tcPr>
                <w:p w14:paraId="1E07802C">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196.875</w:t>
                  </w:r>
                </w:p>
              </w:tc>
              <w:tc>
                <w:tcPr>
                  <w:tcW w:w="1900" w:type="dxa"/>
                  <w:vAlign w:val="center"/>
                </w:tcPr>
                <w:p w14:paraId="7DBA5EB8">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集气或布袋除尘设施失效，</w:t>
                  </w:r>
                  <w:r>
                    <w:rPr>
                      <w:rFonts w:hint="default" w:ascii="Times New Roman" w:hAnsi="Times New Roman" w:cs="Times New Roman"/>
                      <w:color w:val="auto"/>
                      <w:szCs w:val="21"/>
                      <w:highlight w:val="none"/>
                      <w:lang w:val="en-US" w:eastAsia="zh-CN"/>
                    </w:rPr>
                    <w:t>去除</w:t>
                  </w:r>
                  <w:r>
                    <w:rPr>
                      <w:rFonts w:hint="default" w:ascii="Times New Roman" w:hAnsi="Times New Roman" w:cs="Times New Roman"/>
                      <w:color w:val="auto"/>
                      <w:szCs w:val="21"/>
                      <w:highlight w:val="none"/>
                    </w:rPr>
                    <w:t>效率为0</w:t>
                  </w:r>
                </w:p>
              </w:tc>
              <w:tc>
                <w:tcPr>
                  <w:tcW w:w="807" w:type="dxa"/>
                  <w:vAlign w:val="center"/>
                </w:tcPr>
                <w:p w14:paraId="4AA770C6">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1h</w:t>
                  </w:r>
                </w:p>
              </w:tc>
              <w:tc>
                <w:tcPr>
                  <w:tcW w:w="831" w:type="dxa"/>
                  <w:vAlign w:val="center"/>
                </w:tcPr>
                <w:p w14:paraId="08936028">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2次</w:t>
                  </w:r>
                </w:p>
              </w:tc>
            </w:tr>
            <w:tr w14:paraId="52125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92" w:type="dxa"/>
                  <w:vAlign w:val="center"/>
                </w:tcPr>
                <w:p w14:paraId="71B0410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改性粉体</w:t>
                  </w:r>
                  <w:r>
                    <w:rPr>
                      <w:rFonts w:hint="default" w:ascii="Times New Roman" w:hAnsi="Times New Roman" w:cs="Times New Roman"/>
                      <w:color w:val="auto"/>
                      <w:kern w:val="0"/>
                      <w:szCs w:val="21"/>
                      <w:highlight w:val="none"/>
                    </w:rPr>
                    <w:t>、砂浆生产线</w:t>
                  </w:r>
                </w:p>
              </w:tc>
              <w:tc>
                <w:tcPr>
                  <w:tcW w:w="750" w:type="dxa"/>
                  <w:vAlign w:val="center"/>
                </w:tcPr>
                <w:p w14:paraId="170C942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颗粒物</w:t>
                  </w:r>
                </w:p>
              </w:tc>
              <w:tc>
                <w:tcPr>
                  <w:tcW w:w="1115" w:type="dxa"/>
                  <w:vAlign w:val="center"/>
                </w:tcPr>
                <w:p w14:paraId="3041AB3F">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19.688</w:t>
                  </w:r>
                </w:p>
              </w:tc>
              <w:tc>
                <w:tcPr>
                  <w:tcW w:w="1183" w:type="dxa"/>
                  <w:shd w:val="clear" w:color="auto" w:fill="auto"/>
                  <w:vAlign w:val="center"/>
                </w:tcPr>
                <w:p w14:paraId="2EC80C34">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1968.75</w:t>
                  </w:r>
                </w:p>
              </w:tc>
              <w:tc>
                <w:tcPr>
                  <w:tcW w:w="1017" w:type="dxa"/>
                  <w:shd w:val="clear" w:color="auto" w:fill="auto"/>
                  <w:vAlign w:val="center"/>
                </w:tcPr>
                <w:p w14:paraId="19C90476">
                  <w:pPr>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19.688</w:t>
                  </w:r>
                </w:p>
              </w:tc>
              <w:tc>
                <w:tcPr>
                  <w:tcW w:w="1900" w:type="dxa"/>
                  <w:vAlign w:val="center"/>
                </w:tcPr>
                <w:p w14:paraId="0B10C84E">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集气或布袋除尘设施失效，</w:t>
                  </w:r>
                  <w:r>
                    <w:rPr>
                      <w:rFonts w:hint="default" w:ascii="Times New Roman" w:hAnsi="Times New Roman" w:cs="Times New Roman"/>
                      <w:color w:val="auto"/>
                      <w:szCs w:val="21"/>
                      <w:highlight w:val="none"/>
                      <w:lang w:val="en-US" w:eastAsia="zh-CN"/>
                    </w:rPr>
                    <w:t>去除</w:t>
                  </w:r>
                  <w:r>
                    <w:rPr>
                      <w:rFonts w:hint="default" w:ascii="Times New Roman" w:hAnsi="Times New Roman" w:cs="Times New Roman"/>
                      <w:color w:val="auto"/>
                      <w:szCs w:val="21"/>
                      <w:highlight w:val="none"/>
                    </w:rPr>
                    <w:t>效率为0</w:t>
                  </w:r>
                </w:p>
              </w:tc>
              <w:tc>
                <w:tcPr>
                  <w:tcW w:w="807" w:type="dxa"/>
                  <w:vAlign w:val="center"/>
                </w:tcPr>
                <w:p w14:paraId="306C75B5">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1h</w:t>
                  </w:r>
                </w:p>
              </w:tc>
              <w:tc>
                <w:tcPr>
                  <w:tcW w:w="831" w:type="dxa"/>
                  <w:vAlign w:val="center"/>
                </w:tcPr>
                <w:p w14:paraId="034DE67E">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2次</w:t>
                  </w:r>
                </w:p>
              </w:tc>
            </w:tr>
          </w:tbl>
          <w:p w14:paraId="369FE7EA">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遇此情况，环评建议企业应立即停止生产并采取如下措施：</w:t>
            </w:r>
          </w:p>
          <w:p w14:paraId="37330A54">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①发生废气非正常排放后立即停止生产，确保将废气污染控制在最小范围；</w:t>
            </w:r>
          </w:p>
          <w:p w14:paraId="345D6901">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②企业应按照环评要求定期检查集气设施和布袋除尘器，</w:t>
            </w:r>
            <w:r>
              <w:rPr>
                <w:rFonts w:hint="default" w:ascii="Times New Roman" w:hAnsi="Times New Roman" w:eastAsia="宋体" w:cs="Times New Roman"/>
                <w:color w:val="auto"/>
                <w:sz w:val="24"/>
                <w:highlight w:val="none"/>
                <w:lang w:eastAsia="zh-CN"/>
              </w:rPr>
              <w:t>为保证布袋除尘器效率，要求定期更换布袋，</w:t>
            </w:r>
            <w:r>
              <w:rPr>
                <w:rFonts w:hint="default" w:ascii="Times New Roman" w:hAnsi="Times New Roman" w:eastAsia="宋体" w:cs="Times New Roman"/>
                <w:color w:val="auto"/>
                <w:sz w:val="24"/>
                <w:highlight w:val="none"/>
              </w:rPr>
              <w:t>确保其正常运行；</w:t>
            </w:r>
          </w:p>
          <w:p w14:paraId="34C0F838">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③按照监测要求对项目废气定期进行检测，防止废气超标排放。</w:t>
            </w:r>
          </w:p>
          <w:p w14:paraId="7AC627B3">
            <w:pPr>
              <w:adjustRightInd w:val="0"/>
              <w:snapToGrid w:val="0"/>
              <w:spacing w:line="360" w:lineRule="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（二）地表水环境影响分析</w:t>
            </w:r>
          </w:p>
          <w:p w14:paraId="2A88B960">
            <w:pPr>
              <w:spacing w:line="360" w:lineRule="auto"/>
              <w:ind w:firstLine="482"/>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由于厂区道路抑尘用水最终会蒸发，因此该过程无废水产生，故项目运营期废水主要包括车辆冲洗废水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洗砂废水、彩砂清洗废水</w:t>
            </w:r>
            <w:r>
              <w:rPr>
                <w:rFonts w:hint="default" w:ascii="Times New Roman" w:hAnsi="Times New Roman" w:cs="Times New Roman"/>
                <w:color w:val="auto"/>
                <w:sz w:val="24"/>
                <w:highlight w:val="none"/>
              </w:rPr>
              <w:t>和生活污水。具体分析如下</w:t>
            </w:r>
            <w:r>
              <w:rPr>
                <w:rFonts w:hint="default" w:ascii="Times New Roman" w:hAnsi="Times New Roman" w:cs="Times New Roman"/>
                <w:color w:val="auto"/>
                <w:sz w:val="24"/>
                <w:highlight w:val="none"/>
                <w:lang w:eastAsia="zh-CN"/>
              </w:rPr>
              <w:t>。</w:t>
            </w:r>
          </w:p>
          <w:p w14:paraId="3C315FEC">
            <w:pPr>
              <w:widowControl/>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车辆冲洗</w:t>
            </w:r>
            <w:r>
              <w:rPr>
                <w:rFonts w:hint="default" w:ascii="Times New Roman" w:hAnsi="Times New Roman" w:cs="Times New Roman"/>
                <w:b/>
                <w:bCs/>
                <w:color w:val="auto"/>
                <w:sz w:val="24"/>
                <w:highlight w:val="none"/>
                <w:lang w:val="en-US" w:eastAsia="zh-CN"/>
              </w:rPr>
              <w:t>废</w:t>
            </w:r>
            <w:r>
              <w:rPr>
                <w:rFonts w:hint="default" w:ascii="Times New Roman" w:hAnsi="Times New Roman" w:cs="Times New Roman"/>
                <w:b/>
                <w:bCs/>
                <w:color w:val="auto"/>
                <w:sz w:val="24"/>
                <w:highlight w:val="none"/>
              </w:rPr>
              <w:t>水</w:t>
            </w:r>
          </w:p>
          <w:p w14:paraId="64084643">
            <w:pPr>
              <w:spacing w:line="360" w:lineRule="auto"/>
              <w:ind w:firstLine="472" w:firstLineChars="196"/>
              <w:rPr>
                <w:rFonts w:hint="default" w:ascii="Times New Roman" w:hAnsi="Times New Roman" w:cs="Times New Roman"/>
                <w:color w:val="auto"/>
                <w:sz w:val="24"/>
                <w:highlight w:val="none"/>
              </w:rPr>
            </w:pPr>
            <w:r>
              <w:rPr>
                <w:rFonts w:hint="default" w:ascii="Times New Roman" w:hAnsi="Times New Roman" w:eastAsia="宋体" w:cs="Times New Roman"/>
                <w:b/>
                <w:sz w:val="24"/>
                <w:highlight w:val="none"/>
                <w:u w:val="none"/>
                <w:lang w:val="en-US" w:eastAsia="zh-CN"/>
              </w:rPr>
              <w:t>源强核算</w:t>
            </w:r>
            <w:r>
              <w:rPr>
                <w:rFonts w:hint="default" w:ascii="Times New Roman" w:hAnsi="Times New Roman" w:cs="Times New Roman"/>
                <w:b/>
                <w:sz w:val="24"/>
                <w:highlight w:val="none"/>
                <w:u w:val="none"/>
                <w:lang w:val="en-US" w:eastAsia="zh-CN"/>
              </w:rPr>
              <w:t>：</w:t>
            </w:r>
            <w:r>
              <w:rPr>
                <w:rFonts w:hint="default" w:ascii="Times New Roman" w:hAnsi="Times New Roman" w:cs="Times New Roman"/>
                <w:color w:val="auto"/>
                <w:sz w:val="24"/>
                <w:highlight w:val="none"/>
              </w:rPr>
              <w:t>结合前文</w:t>
            </w:r>
            <w:r>
              <w:rPr>
                <w:rFonts w:hint="default" w:ascii="Times New Roman" w:hAnsi="Times New Roman" w:cs="Times New Roman"/>
                <w:color w:val="auto"/>
                <w:sz w:val="24"/>
                <w:highlight w:val="none"/>
                <w:lang w:val="en-US" w:eastAsia="zh-CN"/>
              </w:rPr>
              <w:t>水平衡</w:t>
            </w:r>
            <w:r>
              <w:rPr>
                <w:rFonts w:hint="default" w:ascii="Times New Roman" w:hAnsi="Times New Roman" w:cs="Times New Roman"/>
                <w:color w:val="auto"/>
                <w:sz w:val="24"/>
                <w:highlight w:val="none"/>
              </w:rPr>
              <w:t>分析可知，</w:t>
            </w:r>
            <w:r>
              <w:rPr>
                <w:rFonts w:hint="default" w:ascii="Times New Roman" w:hAnsi="Times New Roman" w:cs="Times New Roman"/>
                <w:color w:val="auto"/>
                <w:sz w:val="24"/>
                <w:highlight w:val="none"/>
                <w:lang w:val="en-US" w:eastAsia="zh-CN"/>
              </w:rPr>
              <w:t>本项目运营期车辆冲洗</w:t>
            </w:r>
            <w:r>
              <w:rPr>
                <w:rFonts w:hint="default" w:ascii="Times New Roman" w:hAnsi="Times New Roman" w:cs="Times New Roman"/>
                <w:color w:val="auto"/>
                <w:sz w:val="24"/>
                <w:highlight w:val="none"/>
              </w:rPr>
              <w:t>用水量约为</w:t>
            </w:r>
            <w:r>
              <w:rPr>
                <w:rFonts w:hint="default" w:ascii="Times New Roman" w:hAnsi="Times New Roman" w:cs="Times New Roman"/>
                <w:color w:val="auto"/>
                <w:sz w:val="24"/>
                <w:highlight w:val="none"/>
                <w:lang w:val="en-US" w:eastAsia="zh-CN"/>
              </w:rPr>
              <w:t xml:space="preserve">31.7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/d。污水产生系数按0.</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计，则车辆冲洗废水产生量约</w:t>
            </w:r>
            <w:r>
              <w:rPr>
                <w:rFonts w:hint="default" w:ascii="Times New Roman" w:hAnsi="Times New Roman" w:cs="Times New Roman"/>
                <w:color w:val="auto"/>
                <w:sz w:val="24"/>
                <w:highlight w:val="none"/>
                <w:lang w:val="en-US" w:eastAsia="zh-CN"/>
              </w:rPr>
              <w:t xml:space="preserve">25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315FC58A">
            <w:pPr>
              <w:spacing w:line="360" w:lineRule="auto"/>
              <w:ind w:firstLine="482"/>
              <w:rPr>
                <w:rFonts w:hint="default" w:ascii="Times New Roman" w:hAnsi="Times New Roman" w:eastAsia="新宋体" w:cs="Times New Roman"/>
                <w:b/>
                <w:bCs/>
                <w:color w:val="auto"/>
                <w:sz w:val="24"/>
                <w:szCs w:val="20"/>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cs="Times New Roman"/>
                <w:color w:val="auto"/>
                <w:kern w:val="0"/>
                <w:sz w:val="24"/>
                <w:highlight w:val="none"/>
              </w:rPr>
              <w:t>厂区</w:t>
            </w:r>
            <w:r>
              <w:rPr>
                <w:rFonts w:hint="default" w:ascii="Times New Roman" w:hAnsi="Times New Roman" w:cs="Times New Roman"/>
                <w:color w:val="auto"/>
                <w:kern w:val="0"/>
                <w:sz w:val="24"/>
                <w:highlight w:val="none"/>
                <w:lang w:val="en-US" w:eastAsia="zh-CN"/>
              </w:rPr>
              <w:t>设置</w:t>
            </w:r>
            <w:r>
              <w:rPr>
                <w:rFonts w:hint="default" w:ascii="Times New Roman" w:hAnsi="Times New Roman" w:cs="Times New Roman"/>
                <w:color w:val="auto"/>
                <w:kern w:val="0"/>
                <w:sz w:val="24"/>
                <w:highlight w:val="none"/>
              </w:rPr>
              <w:t>一个</w:t>
            </w:r>
            <w:r>
              <w:rPr>
                <w:rFonts w:hint="default" w:ascii="Times New Roman" w:hAnsi="Times New Roman" w:cs="Times New Roman"/>
                <w:color w:val="auto"/>
                <w:kern w:val="0"/>
                <w:sz w:val="24"/>
                <w:highlight w:val="none"/>
                <w:lang w:val="en-US" w:eastAsia="zh-CN"/>
              </w:rPr>
              <w:t>车辆冲洗</w:t>
            </w:r>
            <w:r>
              <w:rPr>
                <w:rFonts w:hint="default" w:ascii="Times New Roman" w:hAnsi="Times New Roman" w:cs="Times New Roman"/>
                <w:color w:val="auto"/>
                <w:kern w:val="0"/>
                <w:sz w:val="24"/>
                <w:highlight w:val="none"/>
              </w:rPr>
              <w:t>沉淀池（</w:t>
            </w:r>
            <w:r>
              <w:rPr>
                <w:rFonts w:hint="default" w:ascii="Times New Roman" w:hAnsi="Times New Roman" w:cs="Times New Roman"/>
                <w:color w:val="auto"/>
                <w:kern w:val="0"/>
                <w:sz w:val="24"/>
                <w:highlight w:val="none"/>
                <w:lang w:val="en-US" w:eastAsia="zh-CN"/>
              </w:rPr>
              <w:t xml:space="preserve">25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，车辆冲洗废水经</w:t>
            </w:r>
            <w:r>
              <w:rPr>
                <w:rFonts w:hint="default" w:ascii="Times New Roman" w:hAnsi="Times New Roman" w:cs="Times New Roman"/>
                <w:color w:val="auto"/>
                <w:sz w:val="24"/>
                <w:highlight w:val="none"/>
                <w:lang w:eastAsia="zh-CN"/>
              </w:rPr>
              <w:t>洗车台</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沉淀池处理后回用。</w:t>
            </w:r>
          </w:p>
          <w:p w14:paraId="36A8AE87">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可行性分析：</w:t>
            </w:r>
            <w:r>
              <w:rPr>
                <w:rFonts w:hint="default" w:ascii="Times New Roman" w:hAnsi="Times New Roman" w:cs="Times New Roman"/>
                <w:color w:val="auto"/>
                <w:sz w:val="24"/>
                <w:highlight w:val="none"/>
                <w:lang w:val="en-US" w:eastAsia="zh-CN"/>
              </w:rPr>
              <w:t>车辆</w:t>
            </w:r>
            <w:r>
              <w:rPr>
                <w:rFonts w:hint="default" w:ascii="Times New Roman" w:hAnsi="Times New Roman" w:cs="Times New Roman"/>
                <w:color w:val="auto"/>
                <w:sz w:val="24"/>
                <w:highlight w:val="none"/>
              </w:rPr>
              <w:t>冲洗水</w:t>
            </w:r>
            <w:r>
              <w:rPr>
                <w:rFonts w:hint="default" w:ascii="Times New Roman" w:hAnsi="Times New Roman" w:cs="Times New Roman"/>
                <w:color w:val="auto"/>
                <w:sz w:val="24"/>
                <w:highlight w:val="none"/>
                <w:lang w:val="en-US" w:eastAsia="zh-CN"/>
              </w:rPr>
              <w:t>污染物主要为悬浮物，</w:t>
            </w:r>
            <w:r>
              <w:rPr>
                <w:rFonts w:hint="default" w:ascii="Times New Roman" w:hAnsi="Times New Roman" w:cs="Times New Roman"/>
                <w:color w:val="auto"/>
                <w:sz w:val="24"/>
                <w:highlight w:val="none"/>
              </w:rPr>
              <w:t>简单沉淀后及时回用，车辆冲洗用水对水质要求不高，因此</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车辆冲洗废水可被妥善处置并回用，处理</w:t>
            </w:r>
            <w:r>
              <w:rPr>
                <w:rFonts w:hint="default" w:ascii="Times New Roman" w:hAnsi="Times New Roman" w:cs="Times New Roman"/>
                <w:color w:val="auto"/>
                <w:sz w:val="24"/>
                <w:highlight w:val="none"/>
                <w:lang w:val="en-US" w:eastAsia="zh-CN"/>
              </w:rPr>
              <w:t>措施</w:t>
            </w:r>
            <w:r>
              <w:rPr>
                <w:rFonts w:hint="default" w:ascii="Times New Roman" w:hAnsi="Times New Roman" w:cs="Times New Roman"/>
                <w:color w:val="auto"/>
                <w:sz w:val="24"/>
                <w:highlight w:val="none"/>
              </w:rPr>
              <w:t>可行。</w:t>
            </w:r>
          </w:p>
          <w:p w14:paraId="1517772B">
            <w:pPr>
              <w:widowControl/>
              <w:adjustRightInd w:val="0"/>
              <w:snapToGrid w:val="0"/>
              <w:spacing w:line="360" w:lineRule="auto"/>
              <w:ind w:firstLine="482" w:firstLineChars="200"/>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lang w:eastAsia="zh-CN"/>
              </w:rPr>
              <w:t>）洗砂废水、</w:t>
            </w:r>
            <w:r>
              <w:rPr>
                <w:rFonts w:hint="default" w:ascii="Times New Roman" w:hAnsi="Times New Roman" w:eastAsia="宋体" w:cs="Times New Roman"/>
                <w:b/>
                <w:bCs/>
                <w:color w:val="auto"/>
                <w:sz w:val="24"/>
                <w:highlight w:val="none"/>
                <w:lang w:val="en-US" w:eastAsia="zh-CN"/>
              </w:rPr>
              <w:t>彩砂清洗废水</w:t>
            </w:r>
          </w:p>
          <w:p w14:paraId="5BC73EEB">
            <w:pPr>
              <w:widowControl/>
              <w:adjustRightInd w:val="0"/>
              <w:snapToGrid w:val="0"/>
              <w:spacing w:line="360" w:lineRule="auto"/>
              <w:ind w:firstLine="482" w:firstLineChars="200"/>
              <w:rPr>
                <w:rFonts w:hint="default" w:ascii="Times New Roman" w:hAnsi="Times New Roman" w:cs="Times New Roman"/>
                <w:sz w:val="24"/>
                <w:highlight w:val="none"/>
                <w:lang w:bidi="ar"/>
              </w:rPr>
            </w:pPr>
            <w:r>
              <w:rPr>
                <w:rFonts w:hint="default" w:ascii="Times New Roman" w:hAnsi="Times New Roman" w:eastAsia="宋体" w:cs="Times New Roman"/>
                <w:b/>
                <w:sz w:val="24"/>
                <w:highlight w:val="none"/>
                <w:u w:val="none"/>
                <w:lang w:val="en-US" w:eastAsia="zh-CN"/>
              </w:rPr>
              <w:t>源强核算</w:t>
            </w:r>
            <w:r>
              <w:rPr>
                <w:rFonts w:hint="default" w:ascii="Times New Roman" w:hAnsi="Times New Roman" w:cs="Times New Roman"/>
                <w:b/>
                <w:sz w:val="24"/>
                <w:highlight w:val="none"/>
                <w:u w:val="none"/>
                <w:lang w:val="en-US" w:eastAsia="zh-CN"/>
              </w:rPr>
              <w:t>：</w:t>
            </w:r>
            <w:r>
              <w:rPr>
                <w:rFonts w:hint="default" w:ascii="Times New Roman" w:hAnsi="Times New Roman" w:cs="Times New Roman"/>
                <w:sz w:val="24"/>
                <w:highlight w:val="none"/>
              </w:rPr>
              <w:t>经</w:t>
            </w:r>
            <w:r>
              <w:rPr>
                <w:rFonts w:hint="default" w:ascii="Times New Roman" w:hAnsi="Times New Roman" w:cs="Times New Roman"/>
                <w:sz w:val="24"/>
                <w:highlight w:val="none"/>
                <w:lang w:val="en-US" w:eastAsia="zh-CN"/>
              </w:rPr>
              <w:t>前文水平衡</w:t>
            </w:r>
            <w:r>
              <w:rPr>
                <w:rFonts w:hint="default" w:ascii="Times New Roman" w:hAnsi="Times New Roman" w:cs="Times New Roman"/>
                <w:sz w:val="24"/>
                <w:highlight w:val="none"/>
              </w:rPr>
              <w:t>计算，</w:t>
            </w:r>
            <w:r>
              <w:rPr>
                <w:rFonts w:hint="default" w:ascii="Times New Roman" w:hAnsi="Times New Roman" w:cs="Times New Roman"/>
                <w:sz w:val="24"/>
                <w:highlight w:val="none"/>
                <w:lang w:bidi="ar"/>
              </w:rPr>
              <w:t>项目</w:t>
            </w:r>
            <w:r>
              <w:rPr>
                <w:rFonts w:hint="default" w:ascii="Times New Roman" w:hAnsi="Times New Roman" w:cs="Times New Roman"/>
                <w:sz w:val="24"/>
                <w:lang w:bidi="ar"/>
              </w:rPr>
              <w:t>洗砂废水为</w:t>
            </w:r>
            <w:r>
              <w:rPr>
                <w:rFonts w:hint="default" w:ascii="Times New Roman" w:hAnsi="Times New Roman" w:cs="Times New Roman"/>
                <w:sz w:val="24"/>
                <w:highlight w:val="none"/>
                <w:lang w:val="en-US" w:eastAsia="zh-CN" w:bidi="ar"/>
              </w:rPr>
              <w:t xml:space="preserve">891.7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w:t>
            </w:r>
            <w:r>
              <w:rPr>
                <w:rFonts w:hint="default" w:ascii="Times New Roman" w:hAnsi="Times New Roman" w:cs="Times New Roman"/>
                <w:sz w:val="24"/>
                <w:highlight w:val="none"/>
                <w:lang w:val="en-US" w:eastAsia="zh-CN" w:bidi="ar"/>
              </w:rPr>
              <w:t>267510</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/a）</w:t>
            </w:r>
            <w:r>
              <w:rPr>
                <w:rFonts w:hint="default" w:ascii="Times New Roman" w:hAnsi="Times New Roman" w:cs="Times New Roman"/>
                <w:sz w:val="24"/>
                <w:lang w:eastAsia="zh-CN" w:bidi="ar"/>
              </w:rPr>
              <w:t>；</w:t>
            </w:r>
            <w:r>
              <w:rPr>
                <w:rFonts w:hint="default" w:ascii="Times New Roman" w:hAnsi="Times New Roman" w:cs="Times New Roman"/>
                <w:color w:val="auto"/>
                <w:sz w:val="24"/>
                <w:highlight w:val="none"/>
                <w:lang w:val="en-US" w:eastAsia="zh-CN"/>
              </w:rPr>
              <w:t>彩砂清洗</w:t>
            </w:r>
            <w:r>
              <w:rPr>
                <w:rFonts w:hint="default" w:ascii="Times New Roman" w:hAnsi="Times New Roman" w:cs="Times New Roman"/>
                <w:sz w:val="24"/>
                <w:lang w:bidi="ar"/>
              </w:rPr>
              <w:t>废水为</w:t>
            </w:r>
            <w:r>
              <w:rPr>
                <w:rFonts w:hint="default" w:ascii="Times New Roman" w:hAnsi="Times New Roman" w:cs="Times New Roman"/>
                <w:sz w:val="24"/>
                <w:highlight w:val="none"/>
                <w:lang w:val="en-US" w:eastAsia="zh-CN" w:bidi="ar"/>
              </w:rPr>
              <w:t xml:space="preserve">1337.5 </w:t>
            </w:r>
            <w:r>
              <w:rPr>
                <w:rFonts w:hint="default" w:ascii="Times New Roman" w:hAnsi="Times New Roman" w:cs="Times New Roman"/>
                <w:sz w:val="24"/>
                <w:lang w:bidi="ar"/>
              </w:rPr>
              <w:t>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/d（</w:t>
            </w:r>
            <w:r>
              <w:rPr>
                <w:rFonts w:hint="default" w:ascii="Times New Roman" w:hAnsi="Times New Roman" w:cs="Times New Roman"/>
                <w:sz w:val="24"/>
                <w:lang w:val="en-US" w:eastAsia="zh-CN" w:bidi="ar"/>
              </w:rPr>
              <w:t>401250</w:t>
            </w:r>
            <w:r>
              <w:rPr>
                <w:rFonts w:hint="default" w:ascii="Times New Roman" w:hAnsi="Times New Roman" w:cs="Times New Roman"/>
                <w:sz w:val="24"/>
                <w:lang w:bidi="ar"/>
              </w:rPr>
              <w:t xml:space="preserve"> m</w:t>
            </w:r>
            <w:r>
              <w:rPr>
                <w:rFonts w:hint="default" w:ascii="Times New Roman" w:hAnsi="Times New Roman" w:cs="Times New Roman"/>
                <w:sz w:val="24"/>
                <w:vertAlign w:val="superscript"/>
                <w:lang w:bidi="ar"/>
              </w:rPr>
              <w:t>3</w:t>
            </w:r>
            <w:r>
              <w:rPr>
                <w:rFonts w:hint="default" w:ascii="Times New Roman" w:hAnsi="Times New Roman" w:cs="Times New Roman"/>
                <w:sz w:val="24"/>
                <w:lang w:bidi="ar"/>
              </w:rPr>
              <w:t>/a）。</w:t>
            </w:r>
            <w:r>
              <w:rPr>
                <w:rFonts w:hint="default" w:ascii="Times New Roman" w:hAnsi="Times New Roman" w:cs="Times New Roman"/>
                <w:sz w:val="24"/>
                <w:highlight w:val="none"/>
                <w:lang w:bidi="ar"/>
              </w:rPr>
              <w:t>洗砂废水</w:t>
            </w:r>
            <w:r>
              <w:rPr>
                <w:rFonts w:hint="default" w:ascii="Times New Roman" w:hAnsi="Times New Roman" w:cs="Times New Roman"/>
                <w:sz w:val="24"/>
                <w:highlight w:val="none"/>
                <w:lang w:eastAsia="zh-CN" w:bidi="ar"/>
              </w:rPr>
              <w:t>、</w:t>
            </w:r>
            <w:r>
              <w:rPr>
                <w:rFonts w:hint="default" w:ascii="Times New Roman" w:hAnsi="Times New Roman" w:eastAsia="宋体" w:cs="Times New Roman"/>
                <w:b w:val="0"/>
                <w:bCs w:val="0"/>
                <w:color w:val="auto"/>
                <w:sz w:val="24"/>
                <w:highlight w:val="none"/>
                <w:lang w:val="en-US" w:eastAsia="zh-CN"/>
              </w:rPr>
              <w:t>彩砂清洗废水</w:t>
            </w:r>
            <w:r>
              <w:rPr>
                <w:rFonts w:hint="default" w:ascii="Times New Roman" w:hAnsi="Times New Roman" w:cs="Times New Roman"/>
                <w:sz w:val="24"/>
                <w:highlight w:val="none"/>
                <w:lang w:bidi="ar"/>
              </w:rPr>
              <w:t>经混凝沉淀处理后回用至</w:t>
            </w:r>
            <w:r>
              <w:rPr>
                <w:rFonts w:hint="default" w:ascii="Times New Roman" w:hAnsi="Times New Roman" w:cs="Times New Roman"/>
                <w:sz w:val="24"/>
                <w:highlight w:val="none"/>
                <w:lang w:val="en-US" w:eastAsia="zh-CN" w:bidi="ar"/>
              </w:rPr>
              <w:t>清洗</w:t>
            </w:r>
            <w:r>
              <w:rPr>
                <w:rFonts w:hint="default" w:ascii="Times New Roman" w:hAnsi="Times New Roman" w:cs="Times New Roman"/>
                <w:sz w:val="24"/>
                <w:highlight w:val="none"/>
                <w:lang w:bidi="ar"/>
              </w:rPr>
              <w:t>工序。</w:t>
            </w:r>
          </w:p>
          <w:p w14:paraId="1A2673CF">
            <w:pPr>
              <w:spacing w:line="360" w:lineRule="auto"/>
              <w:ind w:firstLine="472" w:firstLineChars="196"/>
              <w:rPr>
                <w:rFonts w:hint="default" w:ascii="Times New Roman" w:hAnsi="Times New Roman" w:cs="Times New Roman"/>
                <w:color w:val="FF0000"/>
                <w:sz w:val="24"/>
                <w:highlight w:val="none"/>
              </w:rPr>
            </w:pPr>
            <w:r>
              <w:rPr>
                <w:rFonts w:hint="default" w:ascii="Times New Roman" w:hAnsi="Times New Roman" w:eastAsia="宋体" w:cs="Times New Roman"/>
                <w:b/>
                <w:sz w:val="24"/>
                <w:highlight w:val="none"/>
                <w:u w:val="none"/>
                <w:lang w:val="en-US" w:eastAsia="zh-CN"/>
              </w:rPr>
              <w:t>治理措施及排放情况：</w:t>
            </w:r>
            <w:r>
              <w:rPr>
                <w:rFonts w:hint="default" w:ascii="Times New Roman" w:hAnsi="Times New Roman" w:cs="Times New Roman"/>
                <w:sz w:val="24"/>
                <w:highlight w:val="none"/>
              </w:rPr>
              <w:t>洗砂废水进入</w:t>
            </w:r>
            <w:r>
              <w:rPr>
                <w:rFonts w:hint="default" w:ascii="Times New Roman" w:hAnsi="Times New Roman" w:cs="Times New Roman"/>
                <w:color w:val="auto"/>
                <w:sz w:val="24"/>
                <w:highlight w:val="none"/>
                <w:lang w:val="en-US" w:eastAsia="zh-CN"/>
              </w:rPr>
              <w:t>沉淀池</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 xml:space="preserve">0 </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highlight w:val="none"/>
                <w:lang w:val="en-US" w:eastAsia="zh-CN"/>
              </w:rPr>
              <w:t>+混凝罐</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highlight w:val="none"/>
                <w:lang w:val="en-US" w:eastAsia="zh-CN"/>
              </w:rPr>
              <w:t xml:space="preserve">100 </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sz w:val="24"/>
                <w:highlight w:val="none"/>
              </w:rPr>
              <w:t>进行混凝沉淀处理，处理后废水回用至洗砂等工序。</w:t>
            </w:r>
            <w:r>
              <w:rPr>
                <w:rFonts w:hint="default" w:ascii="Times New Roman" w:hAnsi="Times New Roman" w:eastAsia="宋体" w:cs="Times New Roman"/>
                <w:b w:val="0"/>
                <w:bCs w:val="0"/>
                <w:color w:val="auto"/>
                <w:sz w:val="24"/>
                <w:highlight w:val="none"/>
                <w:lang w:val="en-US" w:eastAsia="zh-CN"/>
              </w:rPr>
              <w:t>彩砂清洗废水</w:t>
            </w:r>
            <w:r>
              <w:rPr>
                <w:rFonts w:hint="default" w:ascii="Times New Roman" w:hAnsi="Times New Roman" w:cs="Times New Roman"/>
                <w:sz w:val="24"/>
                <w:highlight w:val="none"/>
              </w:rPr>
              <w:t>进入</w:t>
            </w:r>
            <w:r>
              <w:rPr>
                <w:rFonts w:hint="default" w:ascii="Times New Roman" w:hAnsi="Times New Roman" w:cs="Times New Roman"/>
                <w:color w:val="auto"/>
                <w:sz w:val="24"/>
                <w:highlight w:val="none"/>
                <w:lang w:val="en-US" w:eastAsia="zh-CN"/>
              </w:rPr>
              <w:t>沉淀池</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eastAsia="zh-CN"/>
              </w:rPr>
              <w:t xml:space="preserve">0 </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highlight w:val="none"/>
                <w:lang w:val="en-US" w:eastAsia="zh-CN"/>
              </w:rPr>
              <w:t>+混凝罐</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highlight w:val="none"/>
                <w:lang w:val="en-US" w:eastAsia="zh-CN"/>
              </w:rPr>
              <w:t xml:space="preserve">100 </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sz w:val="24"/>
                <w:highlight w:val="none"/>
              </w:rPr>
              <w:t>进行混凝沉淀处理，处理后废水回用至</w:t>
            </w:r>
            <w:r>
              <w:rPr>
                <w:rFonts w:hint="default" w:ascii="Times New Roman" w:hAnsi="Times New Roman" w:cs="Times New Roman"/>
                <w:sz w:val="24"/>
                <w:highlight w:val="none"/>
                <w:lang w:val="en-US" w:eastAsia="zh-CN"/>
              </w:rPr>
              <w:t>彩砂清洗</w:t>
            </w:r>
            <w:r>
              <w:rPr>
                <w:rFonts w:hint="default" w:ascii="Times New Roman" w:hAnsi="Times New Roman" w:cs="Times New Roman"/>
                <w:sz w:val="24"/>
                <w:highlight w:val="none"/>
              </w:rPr>
              <w:t>等工序。</w:t>
            </w:r>
            <w:r>
              <w:rPr>
                <w:rFonts w:hint="default" w:ascii="Times New Roman" w:hAnsi="Times New Roman" w:cs="Times New Roman"/>
                <w:sz w:val="24"/>
                <w:highlight w:val="none"/>
                <w:lang w:val="en-US" w:eastAsia="zh-CN"/>
              </w:rPr>
              <w:t>沉淀池</w:t>
            </w:r>
            <w:r>
              <w:rPr>
                <w:rFonts w:hint="default" w:ascii="Times New Roman" w:hAnsi="Times New Roman" w:cs="Times New Roman"/>
                <w:sz w:val="24"/>
                <w:highlight w:val="none"/>
              </w:rPr>
              <w:t>底泥经压滤机压滤</w:t>
            </w:r>
            <w:r>
              <w:rPr>
                <w:rFonts w:hint="default" w:ascii="Times New Roman" w:hAnsi="Times New Roman" w:cs="Times New Roman"/>
                <w:sz w:val="24"/>
                <w:highlight w:val="none"/>
                <w:lang w:val="en-US" w:eastAsia="zh-CN"/>
              </w:rPr>
              <w:t>为泥饼后在厂区暂存外运处置</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压滤</w:t>
            </w:r>
            <w:r>
              <w:rPr>
                <w:rFonts w:hint="default" w:ascii="Times New Roman" w:hAnsi="Times New Roman" w:cs="Times New Roman"/>
                <w:sz w:val="24"/>
                <w:highlight w:val="none"/>
              </w:rPr>
              <w:t>过程中沥出的水经导流渠回流至沉淀池内循环利用。</w:t>
            </w:r>
          </w:p>
          <w:p w14:paraId="4D8EAAEF">
            <w:pPr>
              <w:pStyle w:val="46"/>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sz w:val="24"/>
                <w:highlight w:val="none"/>
                <w:u w:val="none"/>
                <w:lang w:val="en-US" w:eastAsia="zh-CN"/>
              </w:rPr>
              <w:t>可行性分析：</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混凝罐</w:t>
            </w:r>
            <w:r>
              <w:rPr>
                <w:rFonts w:hint="default" w:ascii="Times New Roman" w:hAnsi="Times New Roman" w:eastAsia="宋体" w:cs="Times New Roman"/>
                <w:color w:val="auto"/>
                <w:sz w:val="24"/>
                <w:szCs w:val="24"/>
                <w:highlight w:val="none"/>
              </w:rPr>
              <w:t>顶部为圆形结构，下部为</w:t>
            </w:r>
            <w:r>
              <w:rPr>
                <w:rFonts w:hint="default" w:ascii="Times New Roman" w:hAnsi="Times New Roman" w:eastAsia="宋体" w:cs="Times New Roman"/>
                <w:color w:val="auto"/>
                <w:sz w:val="24"/>
                <w:szCs w:val="24"/>
                <w:highlight w:val="none"/>
                <w:lang w:val="en-US" w:eastAsia="zh-CN"/>
              </w:rPr>
              <w:t>锥</w:t>
            </w:r>
            <w:r>
              <w:rPr>
                <w:rFonts w:hint="default" w:ascii="Times New Roman" w:hAnsi="Times New Roman" w:eastAsia="宋体" w:cs="Times New Roman"/>
                <w:color w:val="auto"/>
                <w:sz w:val="24"/>
                <w:szCs w:val="24"/>
                <w:highlight w:val="none"/>
              </w:rPr>
              <w:t>体。利用上部安装的中心管把物料送至底部，使物料增稠，底泥由罐底部的底流口卸出，上部产生的澄清液由顶部的环形溢流堰溜槽排</w:t>
            </w:r>
            <w:r>
              <w:rPr>
                <w:rFonts w:hint="default" w:ascii="Times New Roman" w:hAnsi="Times New Roman" w:eastAsia="宋体" w:cs="Times New Roman"/>
                <w:color w:val="auto"/>
                <w:sz w:val="24"/>
                <w:szCs w:val="24"/>
                <w:highlight w:val="none"/>
                <w:lang w:eastAsia="zh-CN"/>
              </w:rPr>
              <w:t>入</w:t>
            </w:r>
            <w:r>
              <w:rPr>
                <w:rFonts w:hint="default" w:ascii="Times New Roman" w:hAnsi="Times New Roman" w:cs="Times New Roman"/>
                <w:color w:val="auto"/>
                <w:sz w:val="24"/>
                <w:highlight w:val="none"/>
                <w:lang w:val="en-US" w:eastAsia="zh-CN"/>
              </w:rPr>
              <w:t>沉淀</w:t>
            </w:r>
            <w:r>
              <w:rPr>
                <w:rFonts w:hint="default" w:ascii="Times New Roman" w:hAnsi="Times New Roman" w:cs="Times New Roman"/>
                <w:color w:val="auto"/>
                <w:sz w:val="24"/>
                <w:highlight w:val="none"/>
                <w:lang w:eastAsia="zh-CN"/>
              </w:rPr>
              <w:t>池</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同时，</w:t>
            </w:r>
            <w:r>
              <w:rPr>
                <w:rFonts w:hint="default" w:ascii="Times New Roman" w:hAnsi="Times New Roman" w:cs="Times New Roman"/>
                <w:color w:val="auto"/>
                <w:sz w:val="24"/>
                <w:highlight w:val="none"/>
                <w:lang w:eastAsia="zh-CN"/>
              </w:rPr>
              <w:t>混凝罐加入</w:t>
            </w:r>
            <w:r>
              <w:rPr>
                <w:rFonts w:hint="default" w:ascii="Times New Roman" w:hAnsi="Times New Roman" w:cs="Times New Roman"/>
                <w:color w:val="auto"/>
                <w:sz w:val="24"/>
                <w:highlight w:val="none"/>
                <w:lang w:val="en-US" w:eastAsia="zh-CN"/>
              </w:rPr>
              <w:t>混凝剂</w:t>
            </w:r>
            <w:r>
              <w:rPr>
                <w:rFonts w:hint="default" w:ascii="Times New Roman" w:hAnsi="Times New Roman" w:cs="Times New Roman"/>
                <w:color w:val="auto"/>
                <w:sz w:val="24"/>
                <w:highlight w:val="none"/>
                <w:lang w:eastAsia="zh-CN"/>
              </w:rPr>
              <w:t>加速</w:t>
            </w:r>
            <w:r>
              <w:rPr>
                <w:rFonts w:hint="default" w:ascii="Times New Roman" w:hAnsi="Times New Roman" w:cs="Times New Roman"/>
                <w:color w:val="auto"/>
                <w:sz w:val="24"/>
                <w:highlight w:val="none"/>
              </w:rPr>
              <w:t>混凝沉淀</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bidi="ar"/>
              </w:rPr>
              <w:t>出水悬浮物约为50</w:t>
            </w:r>
            <w:r>
              <w:rPr>
                <w:rFonts w:hint="default" w:ascii="Times New Roman" w:hAnsi="Times New Roman" w:cs="Times New Roman"/>
                <w:color w:val="auto"/>
                <w:sz w:val="24"/>
                <w:highlight w:val="none"/>
                <w:lang w:val="en-US" w:eastAsia="zh-CN" w:bidi="ar"/>
              </w:rPr>
              <w:t xml:space="preserve"> </w:t>
            </w:r>
            <w:r>
              <w:rPr>
                <w:rFonts w:hint="default" w:ascii="Times New Roman" w:hAnsi="Times New Roman" w:cs="Times New Roman"/>
                <w:color w:val="auto"/>
                <w:sz w:val="24"/>
                <w:highlight w:val="none"/>
                <w:lang w:bidi="ar"/>
              </w:rPr>
              <w:t>mg/L。</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建设方提供的</w:t>
            </w:r>
            <w:r>
              <w:rPr>
                <w:rFonts w:hint="default" w:ascii="Times New Roman" w:hAnsi="Times New Roman" w:eastAsia="宋体" w:cs="Times New Roman"/>
                <w:color w:val="auto"/>
                <w:sz w:val="24"/>
                <w:szCs w:val="24"/>
                <w:highlight w:val="none"/>
              </w:rPr>
              <w:t>设备说明</w:t>
            </w:r>
            <w:r>
              <w:rPr>
                <w:rFonts w:hint="default"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rPr>
              <w:t>知，本项目</w:t>
            </w:r>
            <w:r>
              <w:rPr>
                <w:rFonts w:hint="default"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lang w:eastAsia="zh-CN"/>
              </w:rPr>
              <w:t>混凝罐</w:t>
            </w:r>
            <w:r>
              <w:rPr>
                <w:rFonts w:hint="default" w:ascii="Times New Roman" w:hAnsi="Times New Roman" w:eastAsia="宋体" w:cs="Times New Roman"/>
                <w:color w:val="auto"/>
                <w:sz w:val="24"/>
                <w:szCs w:val="24"/>
                <w:highlight w:val="none"/>
              </w:rPr>
              <w:t>废水处理能力约</w:t>
            </w:r>
            <w:r>
              <w:rPr>
                <w:rFonts w:hint="default" w:ascii="Times New Roman" w:hAnsi="Times New Roman" w:cs="Times New Roman"/>
                <w:color w:val="auto"/>
                <w:sz w:val="24"/>
                <w:highlight w:val="none"/>
                <w:lang w:val="en-US" w:eastAsia="zh-CN" w:bidi="ar"/>
              </w:rPr>
              <w:t xml:space="preserve">100 </w:t>
            </w:r>
            <w:r>
              <w:rPr>
                <w:rFonts w:hint="default" w:ascii="Times New Roman" w:hAnsi="Times New Roman" w:cs="Times New Roman"/>
                <w:color w:val="auto"/>
                <w:sz w:val="24"/>
                <w:highlight w:val="none"/>
                <w:lang w:bidi="ar"/>
              </w:rPr>
              <w:t>m</w:t>
            </w:r>
            <w:r>
              <w:rPr>
                <w:rFonts w:hint="default" w:ascii="Times New Roman" w:hAnsi="Times New Roman" w:cs="Times New Roman"/>
                <w:color w:val="auto"/>
                <w:sz w:val="24"/>
                <w:highlight w:val="none"/>
                <w:vertAlign w:val="superscript"/>
                <w:lang w:bidi="ar"/>
              </w:rPr>
              <w:t>3</w:t>
            </w:r>
            <w:r>
              <w:rPr>
                <w:rFonts w:hint="default" w:ascii="Times New Roman" w:hAnsi="Times New Roman" w:cs="Times New Roman"/>
                <w:color w:val="auto"/>
                <w:sz w:val="24"/>
                <w:highlight w:val="none"/>
                <w:lang w:bidi="ar"/>
              </w:rPr>
              <w:t>/h</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每天2班制工作约</w:t>
            </w:r>
            <w:r>
              <w:rPr>
                <w:rFonts w:hint="default"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 xml:space="preserve"> h，通过添加混凝剂可有效加快絮凝的速度，</w:t>
            </w:r>
            <w:r>
              <w:rPr>
                <w:rFonts w:hint="default" w:ascii="Times New Roman" w:hAnsi="Times New Roman" w:eastAsia="宋体" w:cs="Times New Roman"/>
                <w:color w:val="auto"/>
                <w:sz w:val="24"/>
                <w:szCs w:val="24"/>
                <w:highlight w:val="none"/>
              </w:rPr>
              <w:t>本项目洗砂废水</w:t>
            </w:r>
            <w:r>
              <w:rPr>
                <w:rFonts w:hint="default" w:ascii="Times New Roman" w:hAnsi="Times New Roman" w:cs="Times New Roman"/>
                <w:color w:val="auto"/>
                <w:sz w:val="24"/>
                <w:szCs w:val="24"/>
                <w:highlight w:val="none"/>
                <w:lang w:val="en-US" w:eastAsia="zh-CN"/>
              </w:rPr>
              <w:t>及彩砂清洗废水</w:t>
            </w:r>
            <w:r>
              <w:rPr>
                <w:rFonts w:hint="default" w:ascii="Times New Roman" w:hAnsi="Times New Roman" w:eastAsia="宋体" w:cs="Times New Roman"/>
                <w:color w:val="auto"/>
                <w:sz w:val="24"/>
                <w:szCs w:val="24"/>
                <w:highlight w:val="none"/>
              </w:rPr>
              <w:t>小于</w:t>
            </w:r>
            <w:r>
              <w:rPr>
                <w:rFonts w:hint="default" w:ascii="Times New Roman" w:hAnsi="Times New Roman" w:eastAsia="宋体" w:cs="Times New Roman"/>
                <w:color w:val="auto"/>
                <w:sz w:val="24"/>
                <w:szCs w:val="24"/>
                <w:highlight w:val="none"/>
                <w:lang w:eastAsia="zh-CN"/>
              </w:rPr>
              <w:t>混凝罐</w:t>
            </w:r>
            <w:r>
              <w:rPr>
                <w:rFonts w:hint="default" w:ascii="Times New Roman" w:hAnsi="Times New Roman" w:eastAsia="宋体" w:cs="Times New Roman"/>
                <w:color w:val="auto"/>
                <w:sz w:val="24"/>
                <w:szCs w:val="24"/>
                <w:highlight w:val="none"/>
              </w:rPr>
              <w:t>废水处理能力，则本项目</w:t>
            </w:r>
            <w:r>
              <w:rPr>
                <w:rFonts w:hint="default" w:ascii="Times New Roman" w:hAnsi="Times New Roman" w:eastAsia="宋体" w:cs="Times New Roman"/>
                <w:color w:val="auto"/>
                <w:sz w:val="24"/>
                <w:szCs w:val="24"/>
                <w:highlight w:val="none"/>
                <w:lang w:eastAsia="zh-CN"/>
              </w:rPr>
              <w:t>混凝罐</w:t>
            </w:r>
            <w:r>
              <w:rPr>
                <w:rFonts w:hint="default" w:ascii="Times New Roman" w:hAnsi="Times New Roman" w:eastAsia="宋体" w:cs="Times New Roman"/>
                <w:color w:val="auto"/>
                <w:sz w:val="24"/>
                <w:szCs w:val="24"/>
                <w:highlight w:val="none"/>
              </w:rPr>
              <w:t>满足废水处理要求。</w:t>
            </w:r>
            <w:r>
              <w:rPr>
                <w:rFonts w:hint="default" w:ascii="Times New Roman" w:hAnsi="Times New Roman" w:cs="Times New Roman"/>
                <w:color w:val="auto"/>
                <w:sz w:val="24"/>
                <w:szCs w:val="24"/>
                <w:highlight w:val="none"/>
                <w:lang w:val="en-US" w:eastAsia="zh-CN"/>
              </w:rPr>
              <w:t>洗砂</w:t>
            </w:r>
            <w:r>
              <w:rPr>
                <w:rFonts w:hint="default" w:ascii="Times New Roman" w:hAnsi="Times New Roman" w:cs="Times New Roman"/>
                <w:color w:val="auto"/>
                <w:sz w:val="24"/>
                <w:highlight w:val="none"/>
              </w:rPr>
              <w:t>废水经处理后回用至砂料清洗工序，因此生产废水经混凝沉淀</w:t>
            </w:r>
            <w:r>
              <w:rPr>
                <w:rFonts w:hint="default" w:ascii="Times New Roman" w:hAnsi="Times New Roman" w:cs="Times New Roman"/>
                <w:color w:val="auto"/>
                <w:sz w:val="24"/>
                <w:highlight w:val="none"/>
                <w:lang w:eastAsia="zh-CN"/>
              </w:rPr>
              <w:t>、压滤</w:t>
            </w:r>
            <w:r>
              <w:rPr>
                <w:rFonts w:hint="default" w:ascii="Times New Roman" w:hAnsi="Times New Roman" w:cs="Times New Roman"/>
                <w:color w:val="auto"/>
                <w:sz w:val="24"/>
                <w:highlight w:val="none"/>
              </w:rPr>
              <w:t>处理后回用可行。</w:t>
            </w:r>
            <w:r>
              <w:rPr>
                <w:rFonts w:hint="default" w:ascii="Times New Roman" w:hAnsi="Times New Roman" w:eastAsia="宋体" w:cs="Times New Roman"/>
                <w:color w:val="auto"/>
                <w:sz w:val="24"/>
                <w:szCs w:val="24"/>
                <w:highlight w:val="none"/>
              </w:rPr>
              <w:t>底泥</w:t>
            </w:r>
            <w:r>
              <w:rPr>
                <w:rFonts w:hint="default" w:ascii="Times New Roman" w:hAnsi="Times New Roman" w:cs="Times New Roman"/>
                <w:color w:val="auto"/>
                <w:sz w:val="24"/>
                <w:highlight w:val="none"/>
                <w:lang w:val="en-US" w:eastAsia="zh-CN"/>
              </w:rPr>
              <w:t>经压滤机压滤后清水</w:t>
            </w:r>
            <w:r>
              <w:rPr>
                <w:rFonts w:hint="default" w:ascii="Times New Roman" w:hAnsi="Times New Roman" w:cs="Times New Roman"/>
                <w:color w:val="auto"/>
                <w:sz w:val="24"/>
                <w:highlight w:val="none"/>
                <w:lang w:eastAsia="zh-CN"/>
              </w:rPr>
              <w:t>返回生产工序，</w:t>
            </w:r>
            <w:r>
              <w:rPr>
                <w:rFonts w:hint="default" w:ascii="Times New Roman" w:hAnsi="Times New Roman" w:cs="Times New Roman"/>
                <w:color w:val="auto"/>
                <w:sz w:val="24"/>
                <w:highlight w:val="none"/>
                <w:lang w:val="en-US" w:eastAsia="zh-CN"/>
              </w:rPr>
              <w:t>压滤后的泥饼</w:t>
            </w:r>
            <w:r>
              <w:rPr>
                <w:rFonts w:hint="default" w:ascii="Times New Roman" w:hAnsi="Times New Roman" w:cs="Times New Roman"/>
                <w:color w:val="auto"/>
                <w:sz w:val="24"/>
                <w:highlight w:val="none"/>
              </w:rPr>
              <w:t>外</w:t>
            </w:r>
            <w:r>
              <w:rPr>
                <w:rFonts w:hint="default" w:ascii="Times New Roman" w:hAnsi="Times New Roman" w:cs="Times New Roman"/>
                <w:color w:val="auto"/>
                <w:sz w:val="24"/>
                <w:highlight w:val="none"/>
                <w:lang w:val="en-US" w:eastAsia="zh-CN"/>
              </w:rPr>
              <w:t>运综合利用</w:t>
            </w:r>
            <w:r>
              <w:rPr>
                <w:rFonts w:hint="default" w:ascii="Times New Roman" w:hAnsi="Times New Roman" w:cs="Times New Roman"/>
                <w:color w:val="auto"/>
                <w:sz w:val="24"/>
                <w:highlight w:val="none"/>
              </w:rPr>
              <w:t>。</w:t>
            </w:r>
          </w:p>
          <w:p w14:paraId="53C3279F">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color w:val="auto"/>
                <w:sz w:val="24"/>
                <w:szCs w:val="24"/>
                <w:highlight w:val="none"/>
                <w:lang w:val="en-US" w:eastAsia="zh-CN"/>
              </w:rPr>
              <w:t>同时参照</w:t>
            </w:r>
            <w:r>
              <w:rPr>
                <w:rFonts w:hint="default" w:ascii="Times New Roman" w:hAnsi="Times New Roman" w:cs="Times New Roman"/>
                <w:color w:val="auto"/>
                <w:sz w:val="24"/>
                <w:szCs w:val="24"/>
                <w:highlight w:val="none"/>
              </w:rPr>
              <w:t>《排污许可证申请与合法技术规范 石墨及其他非金属矿物制品制造》（HJ</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1119-2020），排污单位厂内综合污水可采用物化法处置，废水排放去向为回用、排入公共污水处理设施、入江河等。本项目</w:t>
            </w:r>
            <w:r>
              <w:rPr>
                <w:rFonts w:hint="default" w:ascii="Times New Roman" w:hAnsi="Times New Roman" w:cs="Times New Roman"/>
                <w:color w:val="auto"/>
                <w:sz w:val="24"/>
                <w:highlight w:val="none"/>
                <w:lang w:val="en-US" w:eastAsia="zh-CN"/>
              </w:rPr>
              <w:t>洗砂及彩砂清洗</w:t>
            </w:r>
            <w:r>
              <w:rPr>
                <w:rFonts w:hint="default" w:ascii="Times New Roman" w:hAnsi="Times New Roman" w:cs="Times New Roman"/>
                <w:color w:val="auto"/>
                <w:sz w:val="24"/>
                <w:szCs w:val="24"/>
                <w:highlight w:val="none"/>
                <w:lang w:eastAsia="zh-CN"/>
              </w:rPr>
              <w:t>废水主要为悬浮物，</w:t>
            </w:r>
            <w:r>
              <w:rPr>
                <w:rFonts w:hint="default" w:ascii="Times New Roman" w:hAnsi="Times New Roman" w:cs="Times New Roman"/>
                <w:color w:val="auto"/>
                <w:sz w:val="24"/>
                <w:szCs w:val="24"/>
                <w:highlight w:val="none"/>
              </w:rPr>
              <w:t>废水</w:t>
            </w:r>
            <w:r>
              <w:rPr>
                <w:rFonts w:hint="default" w:ascii="Times New Roman" w:hAnsi="Times New Roman" w:cs="Times New Roman"/>
                <w:color w:val="auto"/>
                <w:sz w:val="24"/>
                <w:szCs w:val="24"/>
                <w:highlight w:val="none"/>
                <w:lang w:val="en-US" w:eastAsia="zh-CN"/>
              </w:rPr>
              <w:t>经混</w:t>
            </w:r>
            <w:r>
              <w:rPr>
                <w:rFonts w:hint="default" w:ascii="Times New Roman" w:hAnsi="Times New Roman" w:cs="Times New Roman"/>
                <w:color w:val="auto"/>
                <w:sz w:val="24"/>
                <w:szCs w:val="24"/>
                <w:highlight w:val="none"/>
              </w:rPr>
              <w:t>凝沉淀后回用，</w:t>
            </w:r>
            <w:r>
              <w:rPr>
                <w:rFonts w:hint="default" w:ascii="Times New Roman" w:hAnsi="Times New Roman" w:cs="Times New Roman"/>
                <w:color w:val="auto"/>
                <w:sz w:val="24"/>
                <w:szCs w:val="24"/>
                <w:highlight w:val="none"/>
                <w:lang w:val="en-US" w:eastAsia="zh-CN"/>
              </w:rPr>
              <w:t>处置方法</w:t>
            </w:r>
            <w:r>
              <w:rPr>
                <w:rFonts w:hint="default" w:ascii="Times New Roman" w:hAnsi="Times New Roman" w:cs="Times New Roman"/>
                <w:color w:val="auto"/>
                <w:sz w:val="24"/>
                <w:szCs w:val="24"/>
                <w:highlight w:val="none"/>
              </w:rPr>
              <w:t>属于物理法，</w:t>
            </w:r>
            <w:r>
              <w:rPr>
                <w:rFonts w:hint="default" w:ascii="Times New Roman" w:hAnsi="Times New Roman" w:cs="Times New Roman"/>
                <w:color w:val="auto"/>
                <w:sz w:val="24"/>
                <w:szCs w:val="24"/>
                <w:highlight w:val="none"/>
                <w:lang w:val="en-US" w:eastAsia="zh-CN"/>
              </w:rPr>
              <w:t>污水</w:t>
            </w:r>
            <w:r>
              <w:rPr>
                <w:rFonts w:hint="default" w:ascii="Times New Roman" w:hAnsi="Times New Roman" w:cs="Times New Roman"/>
                <w:color w:val="auto"/>
                <w:sz w:val="24"/>
                <w:szCs w:val="24"/>
                <w:highlight w:val="none"/>
              </w:rPr>
              <w:t>去向为回用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因此属于规范中的可行技术。</w:t>
            </w:r>
          </w:p>
          <w:p w14:paraId="5BB26E93">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eastAsia="新宋体" w:cs="Times New Roman"/>
                <w:color w:val="auto"/>
                <w:sz w:val="24"/>
                <w:szCs w:val="20"/>
                <w:highlight w:val="none"/>
                <w:lang w:val="en-US" w:eastAsia="zh-CN"/>
              </w:rPr>
              <w:t>3、</w:t>
            </w:r>
            <w:r>
              <w:rPr>
                <w:rFonts w:hint="default" w:ascii="Times New Roman" w:hAnsi="Times New Roman" w:eastAsia="新宋体" w:cs="Times New Roman"/>
                <w:color w:val="auto"/>
                <w:sz w:val="24"/>
                <w:szCs w:val="20"/>
                <w:highlight w:val="none"/>
              </w:rPr>
              <w:t>生活污水</w:t>
            </w:r>
          </w:p>
          <w:p w14:paraId="6E802B75">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根据前文水平衡可知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全厂</w:t>
            </w:r>
            <w:r>
              <w:rPr>
                <w:rFonts w:hint="default" w:ascii="Times New Roman" w:hAnsi="Times New Roman" w:cs="Times New Roman"/>
                <w:color w:val="auto"/>
                <w:kern w:val="0"/>
                <w:sz w:val="24"/>
                <w:highlight w:val="none"/>
              </w:rPr>
              <w:t>生活污水产生量为</w:t>
            </w:r>
            <w:r>
              <w:rPr>
                <w:rFonts w:hint="default" w:ascii="Times New Roman" w:hAnsi="Times New Roman" w:cs="Times New Roman"/>
                <w:color w:val="auto"/>
                <w:sz w:val="24"/>
                <w:highlight w:val="none"/>
              </w:rPr>
              <w:t>0.</w:t>
            </w:r>
            <w:r>
              <w:rPr>
                <w:rFonts w:hint="default" w:ascii="Times New Roman" w:hAnsi="Times New Roman" w:cs="Times New Roman"/>
                <w:color w:val="auto"/>
                <w:sz w:val="24"/>
                <w:highlight w:val="none"/>
                <w:lang w:val="en-US" w:eastAsia="zh-CN"/>
              </w:rPr>
              <w:t xml:space="preserve">8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kern w:val="0"/>
                <w:sz w:val="24"/>
                <w:highlight w:val="none"/>
              </w:rPr>
              <w:t>，其</w:t>
            </w:r>
            <w:r>
              <w:rPr>
                <w:rFonts w:hint="default" w:ascii="Times New Roman" w:hAnsi="Times New Roman" w:cs="Times New Roman"/>
                <w:color w:val="auto"/>
                <w:sz w:val="24"/>
                <w:highlight w:val="none"/>
              </w:rPr>
              <w:t>主要污染物为COD、氨氮等。</w:t>
            </w:r>
          </w:p>
          <w:p w14:paraId="0A8E3F67">
            <w:pPr>
              <w:spacing w:line="360" w:lineRule="auto"/>
              <w:ind w:firstLine="482"/>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cs="Times New Roman"/>
                <w:color w:val="auto"/>
                <w:kern w:val="0"/>
                <w:sz w:val="24"/>
                <w:highlight w:val="none"/>
              </w:rPr>
              <w:t>根据现场调查，厂区现有化粪池</w:t>
            </w:r>
            <w:r>
              <w:rPr>
                <w:rFonts w:hint="default" w:ascii="Times New Roman" w:hAnsi="Times New Roman" w:cs="Times New Roman"/>
                <w:color w:val="auto"/>
                <w:sz w:val="24"/>
                <w:highlight w:val="none"/>
              </w:rPr>
              <w:t>约</w:t>
            </w:r>
            <w:r>
              <w:rPr>
                <w:rFonts w:hint="default" w:ascii="Times New Roman" w:hAnsi="Times New Roman" w:cs="Times New Roman"/>
                <w:color w:val="auto"/>
                <w:sz w:val="24"/>
                <w:highlight w:val="none"/>
                <w:lang w:val="en-US" w:eastAsia="zh-CN"/>
              </w:rPr>
              <w:t xml:space="preserve">20 </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生活污水经化粪池处理后用于周边农田施肥。</w:t>
            </w:r>
          </w:p>
          <w:p w14:paraId="0D073F48">
            <w:pPr>
              <w:adjustRightInd w:val="0"/>
              <w:snapToGrid w:val="0"/>
              <w:spacing w:line="360" w:lineRule="auto"/>
              <w:ind w:firstLine="482" w:firstLineChars="200"/>
              <w:rPr>
                <w:rFonts w:hint="default" w:ascii="Times New Roman" w:hAnsi="Times New Roman" w:cs="Times New Roman"/>
                <w:bCs/>
                <w:color w:val="auto"/>
                <w:sz w:val="24"/>
                <w:highlight w:val="none"/>
              </w:rPr>
            </w:pPr>
            <w:r>
              <w:rPr>
                <w:rFonts w:hint="default" w:ascii="Times New Roman" w:hAnsi="Times New Roman" w:cs="Times New Roman"/>
                <w:b/>
                <w:bCs/>
                <w:color w:val="auto"/>
                <w:sz w:val="24"/>
                <w:highlight w:val="none"/>
              </w:rPr>
              <w:t>可行性分析：</w:t>
            </w:r>
            <w:r>
              <w:rPr>
                <w:rFonts w:hint="default" w:ascii="Times New Roman" w:hAnsi="Times New Roman" w:cs="Times New Roman"/>
                <w:b w:val="0"/>
                <w:bCs w:val="0"/>
                <w:color w:val="auto"/>
                <w:sz w:val="24"/>
                <w:highlight w:val="none"/>
                <w:lang w:val="en-US" w:eastAsia="zh-CN"/>
              </w:rPr>
              <w:t>厂区</w:t>
            </w:r>
            <w:r>
              <w:rPr>
                <w:rFonts w:hint="default" w:ascii="Times New Roman" w:hAnsi="Times New Roman" w:cs="Times New Roman"/>
                <w:color w:val="auto"/>
                <w:sz w:val="24"/>
                <w:highlight w:val="none"/>
              </w:rPr>
              <w:t>现有化粪池容积足以满足运营期生活污水的暂存及处理。化粪池是一</w:t>
            </w:r>
            <w:r>
              <w:rPr>
                <w:rFonts w:hint="default" w:ascii="Times New Roman" w:hAnsi="Times New Roman" w:cs="Times New Roman"/>
                <w:bCs/>
                <w:color w:val="auto"/>
                <w:sz w:val="24"/>
                <w:highlight w:val="none"/>
              </w:rPr>
              <w:t>种利用沉淀和厌氧发酵的原理，去除生活污水中悬浮性有机物的处理设施，属于初级的</w:t>
            </w:r>
            <w:r>
              <w:rPr>
                <w:rFonts w:hint="eastAsia" w:cs="Times New Roman"/>
                <w:bCs/>
                <w:color w:val="auto"/>
                <w:sz w:val="24"/>
                <w:highlight w:val="none"/>
                <w:lang w:eastAsia="zh-CN"/>
              </w:rPr>
              <w:t>过渡型</w:t>
            </w:r>
            <w:r>
              <w:rPr>
                <w:rFonts w:hint="default" w:ascii="Times New Roman" w:hAnsi="Times New Roman" w:cs="Times New Roman"/>
                <w:bCs/>
                <w:color w:val="auto"/>
                <w:sz w:val="24"/>
                <w:highlight w:val="none"/>
              </w:rPr>
              <w:t>生活处理构筑物。根据调查项目东北侧和南侧500m范围内有大量农地，足以接纳项目所产生的生活污水。</w:t>
            </w:r>
          </w:p>
          <w:p w14:paraId="7A0D1B22">
            <w:pPr>
              <w:pStyle w:val="31"/>
              <w:spacing w:line="360" w:lineRule="auto"/>
              <w:ind w:left="0" w:leftChars="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综上，本项目生活污水处理措施可行。</w:t>
            </w:r>
          </w:p>
          <w:p w14:paraId="0B2936C0">
            <w:pPr>
              <w:adjustRightInd w:val="0"/>
              <w:snapToGrid w:val="0"/>
              <w:spacing w:line="360" w:lineRule="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（三）噪声环境影响分析</w:t>
            </w:r>
          </w:p>
          <w:p w14:paraId="13D93AB1">
            <w:pPr>
              <w:widowControl/>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1、噪声源强</w:t>
            </w:r>
          </w:p>
          <w:p w14:paraId="1F9B9095">
            <w:pPr>
              <w:widowControl/>
              <w:spacing w:line="360" w:lineRule="auto"/>
              <w:ind w:firstLine="48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 w:val="24"/>
                <w:highlight w:val="none"/>
              </w:rPr>
              <w:t>本</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运营期噪声为</w:t>
            </w:r>
            <w:r>
              <w:rPr>
                <w:rFonts w:hint="default" w:ascii="Times New Roman" w:hAnsi="Times New Roman" w:cs="Times New Roman"/>
                <w:color w:val="auto"/>
                <w:sz w:val="24"/>
                <w:highlight w:val="none"/>
                <w:lang w:val="en-US" w:eastAsia="zh-CN"/>
              </w:rPr>
              <w:t>破碎机、筛分机、制砂机</w:t>
            </w:r>
            <w:r>
              <w:rPr>
                <w:rFonts w:hint="default" w:ascii="Times New Roman" w:hAnsi="Times New Roman" w:cs="Times New Roman"/>
                <w:color w:val="auto"/>
                <w:sz w:val="24"/>
                <w:highlight w:val="none"/>
              </w:rPr>
              <w:t>等设备及装卸运输过</w:t>
            </w:r>
            <w:r>
              <w:rPr>
                <w:rFonts w:hint="eastAsia" w:cs="Times New Roman"/>
                <w:color w:val="auto"/>
                <w:sz w:val="24"/>
                <w:highlight w:val="none"/>
                <w:lang w:eastAsia="zh-CN"/>
              </w:rPr>
              <w:t>程中</w:t>
            </w:r>
            <w:r>
              <w:rPr>
                <w:rFonts w:hint="default" w:ascii="Times New Roman" w:hAnsi="Times New Roman" w:cs="Times New Roman"/>
                <w:color w:val="auto"/>
                <w:sz w:val="24"/>
                <w:highlight w:val="none"/>
              </w:rPr>
              <w:t>产生的噪声，噪声源强维持在80～85dB(A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之间。各主要噪声源、声压级及治理措施具体见表4-</w:t>
            </w:r>
            <w:r>
              <w:rPr>
                <w:rFonts w:hint="default" w:ascii="Times New Roman" w:hAnsi="Times New Roman" w:cs="Times New Roman"/>
                <w:color w:val="auto"/>
                <w:sz w:val="24"/>
                <w:highlight w:val="none"/>
                <w:lang w:val="en-US" w:eastAsia="zh-CN"/>
              </w:rPr>
              <w:t>11</w:t>
            </w:r>
            <w:r>
              <w:rPr>
                <w:rFonts w:hint="default" w:ascii="Times New Roman" w:hAnsi="Times New Roman" w:cs="Times New Roman"/>
                <w:color w:val="auto"/>
                <w:sz w:val="24"/>
                <w:highlight w:val="none"/>
              </w:rPr>
              <w:t>。</w:t>
            </w:r>
          </w:p>
          <w:p w14:paraId="047EC20D">
            <w:pPr>
              <w:widowControl/>
              <w:ind w:firstLine="422" w:firstLineChars="2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default" w:ascii="Times New Roman" w:hAnsi="Times New Roman" w:cs="Times New Roman"/>
                <w:b/>
                <w:bCs/>
                <w:color w:val="auto"/>
                <w:szCs w:val="21"/>
                <w:highlight w:val="none"/>
                <w:lang w:val="en-US" w:eastAsia="zh-CN"/>
              </w:rPr>
              <w:t>11</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highlight w:val="none"/>
              </w:rPr>
              <w:t>本</w:t>
            </w:r>
            <w:r>
              <w:rPr>
                <w:rFonts w:hint="default" w:ascii="Times New Roman" w:hAnsi="Times New Roman" w:cs="Times New Roman"/>
                <w:b/>
                <w:bCs/>
                <w:color w:val="auto"/>
                <w:highlight w:val="none"/>
                <w:lang w:val="en-US" w:eastAsia="zh-CN"/>
              </w:rPr>
              <w:t>项目</w:t>
            </w:r>
            <w:r>
              <w:rPr>
                <w:rFonts w:hint="default" w:ascii="Times New Roman" w:hAnsi="Times New Roman" w:cs="Times New Roman"/>
                <w:b/>
                <w:bCs/>
                <w:color w:val="auto"/>
                <w:szCs w:val="21"/>
                <w:highlight w:val="none"/>
              </w:rPr>
              <w:t>设备噪声声级一览表    单位：dB(A)</w:t>
            </w:r>
          </w:p>
          <w:tbl>
            <w:tblPr>
              <w:tblStyle w:val="32"/>
              <w:tblW w:w="84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35"/>
              <w:gridCol w:w="1005"/>
              <w:gridCol w:w="1185"/>
              <w:gridCol w:w="1200"/>
              <w:gridCol w:w="1751"/>
              <w:gridCol w:w="1124"/>
            </w:tblGrid>
            <w:tr w14:paraId="24ECB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7" w:type="dxa"/>
                  <w:tcBorders>
                    <w:tl2br w:val="nil"/>
                    <w:tr2bl w:val="nil"/>
                  </w:tcBorders>
                  <w:vAlign w:val="center"/>
                </w:tcPr>
                <w:p w14:paraId="36541668">
                  <w:pPr>
                    <w:snapToGrid w:val="0"/>
                    <w:spacing w:before="72" w:beforeLines="30" w:after="72" w:afterLines="3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序号</w:t>
                  </w:r>
                </w:p>
              </w:tc>
              <w:tc>
                <w:tcPr>
                  <w:tcW w:w="1535" w:type="dxa"/>
                  <w:tcBorders>
                    <w:tl2br w:val="nil"/>
                    <w:tr2bl w:val="nil"/>
                  </w:tcBorders>
                  <w:vAlign w:val="center"/>
                </w:tcPr>
                <w:p w14:paraId="52EC6F1E">
                  <w:pPr>
                    <w:snapToGrid w:val="0"/>
                    <w:spacing w:before="72" w:beforeLines="30" w:after="72" w:afterLines="3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噪声源</w:t>
                  </w:r>
                </w:p>
              </w:tc>
              <w:tc>
                <w:tcPr>
                  <w:tcW w:w="1005" w:type="dxa"/>
                  <w:tcBorders>
                    <w:tl2br w:val="nil"/>
                    <w:tr2bl w:val="nil"/>
                  </w:tcBorders>
                  <w:vAlign w:val="center"/>
                </w:tcPr>
                <w:p w14:paraId="536FBBD9">
                  <w:pPr>
                    <w:snapToGrid w:val="0"/>
                    <w:spacing w:before="72" w:beforeLines="30" w:after="72" w:afterLines="3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数量</w:t>
                  </w:r>
                </w:p>
              </w:tc>
              <w:tc>
                <w:tcPr>
                  <w:tcW w:w="1185" w:type="dxa"/>
                  <w:tcBorders>
                    <w:tl2br w:val="nil"/>
                    <w:tr2bl w:val="nil"/>
                  </w:tcBorders>
                  <w:vAlign w:val="center"/>
                </w:tcPr>
                <w:p w14:paraId="00864788">
                  <w:pPr>
                    <w:snapToGrid w:val="0"/>
                    <w:spacing w:before="72" w:beforeLines="30" w:after="72" w:afterLines="3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产生源强</w:t>
                  </w:r>
                </w:p>
              </w:tc>
              <w:tc>
                <w:tcPr>
                  <w:tcW w:w="1200" w:type="dxa"/>
                  <w:tcBorders>
                    <w:tl2br w:val="nil"/>
                    <w:tr2bl w:val="nil"/>
                  </w:tcBorders>
                  <w:vAlign w:val="center"/>
                </w:tcPr>
                <w:p w14:paraId="3A72DBC3">
                  <w:pPr>
                    <w:snapToGrid w:val="0"/>
                    <w:spacing w:before="72" w:beforeLines="30" w:after="72" w:afterLines="3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类型</w:t>
                  </w:r>
                </w:p>
              </w:tc>
              <w:tc>
                <w:tcPr>
                  <w:tcW w:w="1751" w:type="dxa"/>
                  <w:tcBorders>
                    <w:tl2br w:val="nil"/>
                    <w:tr2bl w:val="nil"/>
                  </w:tcBorders>
                  <w:vAlign w:val="center"/>
                </w:tcPr>
                <w:p w14:paraId="636599E3">
                  <w:pPr>
                    <w:snapToGrid w:val="0"/>
                    <w:spacing w:before="72" w:beforeLines="30" w:after="72" w:afterLines="3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治理措施</w:t>
                  </w:r>
                </w:p>
              </w:tc>
              <w:tc>
                <w:tcPr>
                  <w:tcW w:w="1124" w:type="dxa"/>
                  <w:tcBorders>
                    <w:tl2br w:val="nil"/>
                    <w:tr2bl w:val="nil"/>
                  </w:tcBorders>
                  <w:vAlign w:val="center"/>
                </w:tcPr>
                <w:p w14:paraId="4BCD7ACC">
                  <w:pPr>
                    <w:snapToGrid w:val="0"/>
                    <w:spacing w:before="72" w:beforeLines="30" w:after="72" w:afterLines="3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排放源强</w:t>
                  </w:r>
                </w:p>
              </w:tc>
            </w:tr>
            <w:tr w14:paraId="7ECFC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vAlign w:val="center"/>
                </w:tcPr>
                <w:p w14:paraId="01E32009">
                  <w:pPr>
                    <w:snapToGrid w:val="0"/>
                    <w:spacing w:before="72" w:beforeLines="30" w:after="72"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535" w:type="dxa"/>
                  <w:tcBorders>
                    <w:tl2br w:val="nil"/>
                    <w:tr2bl w:val="nil"/>
                  </w:tcBorders>
                  <w:vAlign w:val="center"/>
                </w:tcPr>
                <w:p w14:paraId="30567913">
                  <w:pPr>
                    <w:snapToGrid w:val="0"/>
                    <w:spacing w:before="72" w:beforeLines="30" w:after="72"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szCs w:val="21"/>
                      <w:highlight w:val="none"/>
                      <w:lang w:val="en-US" w:eastAsia="zh-CN"/>
                    </w:rPr>
                    <w:t>给</w:t>
                  </w:r>
                  <w:r>
                    <w:rPr>
                      <w:rFonts w:hint="default" w:ascii="Times New Roman" w:hAnsi="Times New Roman" w:cs="Times New Roman"/>
                      <w:szCs w:val="21"/>
                      <w:highlight w:val="none"/>
                    </w:rPr>
                    <w:t>料机</w:t>
                  </w:r>
                </w:p>
              </w:tc>
              <w:tc>
                <w:tcPr>
                  <w:tcW w:w="1005" w:type="dxa"/>
                  <w:tcBorders>
                    <w:tl2br w:val="nil"/>
                    <w:tr2bl w:val="nil"/>
                  </w:tcBorders>
                  <w:vAlign w:val="center"/>
                </w:tcPr>
                <w:p w14:paraId="745E9319">
                  <w:pPr>
                    <w:snapToGrid w:val="0"/>
                    <w:spacing w:before="72" w:beforeLines="30" w:after="72"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7A015981">
                  <w:pPr>
                    <w:snapToGrid w:val="0"/>
                    <w:spacing w:before="72" w:beforeLines="30" w:after="72"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85</w:t>
                  </w:r>
                </w:p>
              </w:tc>
              <w:tc>
                <w:tcPr>
                  <w:tcW w:w="1200" w:type="dxa"/>
                  <w:tcBorders>
                    <w:tl2br w:val="nil"/>
                    <w:tr2bl w:val="nil"/>
                  </w:tcBorders>
                  <w:vAlign w:val="center"/>
                </w:tcPr>
                <w:p w14:paraId="3696AAF1">
                  <w:pPr>
                    <w:snapToGrid w:val="0"/>
                    <w:spacing w:before="72" w:beforeLines="30" w:after="72"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稳态</w:t>
                  </w:r>
                </w:p>
              </w:tc>
              <w:tc>
                <w:tcPr>
                  <w:tcW w:w="1751" w:type="dxa"/>
                  <w:vMerge w:val="restart"/>
                  <w:tcBorders>
                    <w:tl2br w:val="nil"/>
                    <w:tr2bl w:val="nil"/>
                  </w:tcBorders>
                  <w:vAlign w:val="center"/>
                </w:tcPr>
                <w:p w14:paraId="3EB0FD63">
                  <w:pPr>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选用低噪声设备，合理布局；设置减振垫、厂房密闭隔声、距离衰减等</w:t>
                  </w:r>
                </w:p>
              </w:tc>
              <w:tc>
                <w:tcPr>
                  <w:tcW w:w="1124" w:type="dxa"/>
                  <w:tcBorders>
                    <w:tl2br w:val="nil"/>
                    <w:tr2bl w:val="nil"/>
                  </w:tcBorders>
                  <w:vAlign w:val="center"/>
                </w:tcPr>
                <w:p w14:paraId="495B13A4">
                  <w:pPr>
                    <w:snapToGrid w:val="0"/>
                    <w:spacing w:before="72" w:beforeLines="30" w:after="72" w:afterLines="30"/>
                    <w:jc w:val="center"/>
                    <w:rPr>
                      <w:rFonts w:hint="default" w:ascii="Times New Roman" w:hAnsi="Times New Roman" w:eastAsia="宋体" w:cs="Times New Roman"/>
                      <w:color w:val="auto"/>
                      <w:szCs w:val="21"/>
                      <w:highlight w:val="none"/>
                      <w:lang w:val="en-US" w:eastAsia="zh-CN"/>
                    </w:rPr>
                  </w:pPr>
                  <w:r>
                    <w:rPr>
                      <w:rFonts w:hint="eastAsia" w:cs="Times New Roman"/>
                      <w:color w:val="auto"/>
                      <w:highlight w:val="none"/>
                      <w:lang w:eastAsia="zh-CN"/>
                    </w:rPr>
                    <w:t>&lt;</w:t>
                  </w:r>
                  <w:r>
                    <w:rPr>
                      <w:rFonts w:hint="default" w:ascii="Times New Roman" w:hAnsi="Times New Roman" w:cs="Times New Roman"/>
                      <w:color w:val="auto"/>
                      <w:highlight w:val="none"/>
                      <w:lang w:val="en-US" w:eastAsia="zh-CN"/>
                    </w:rPr>
                    <w:t>65</w:t>
                  </w:r>
                </w:p>
              </w:tc>
            </w:tr>
            <w:tr w14:paraId="7C9BD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vAlign w:val="center"/>
                </w:tcPr>
                <w:p w14:paraId="28F8082F">
                  <w:pPr>
                    <w:jc w:val="center"/>
                    <w:rPr>
                      <w:rFonts w:hint="default" w:ascii="Times New Roman" w:hAnsi="Times New Roman" w:eastAsia="宋体" w:cs="Times New Roman"/>
                      <w:color w:val="auto"/>
                      <w:spacing w:val="-1"/>
                      <w:highlight w:val="none"/>
                      <w:lang w:eastAsia="zh-CN"/>
                    </w:rPr>
                  </w:pPr>
                  <w:r>
                    <w:rPr>
                      <w:rFonts w:hint="default" w:ascii="Times New Roman" w:hAnsi="Times New Roman" w:cs="Times New Roman"/>
                      <w:color w:val="auto"/>
                      <w:spacing w:val="-1"/>
                      <w:szCs w:val="21"/>
                      <w:highlight w:val="none"/>
                      <w:lang w:val="en-US" w:eastAsia="zh-CN"/>
                    </w:rPr>
                    <w:t>2</w:t>
                  </w:r>
                </w:p>
              </w:tc>
              <w:tc>
                <w:tcPr>
                  <w:tcW w:w="1535" w:type="dxa"/>
                  <w:tcBorders>
                    <w:tl2br w:val="nil"/>
                    <w:tr2bl w:val="nil"/>
                  </w:tcBorders>
                  <w:vAlign w:val="center"/>
                </w:tcPr>
                <w:p w14:paraId="4E5EC066">
                  <w:pPr>
                    <w:widowControl/>
                    <w:jc w:val="center"/>
                    <w:textAlignment w:val="center"/>
                    <w:rPr>
                      <w:rFonts w:hint="default" w:ascii="Times New Roman" w:hAnsi="Times New Roman" w:cs="Times New Roman"/>
                      <w:color w:val="auto"/>
                      <w:spacing w:val="-1"/>
                      <w:szCs w:val="21"/>
                      <w:highlight w:val="none"/>
                    </w:rPr>
                  </w:pPr>
                  <w:r>
                    <w:rPr>
                      <w:rFonts w:hint="eastAsia" w:cs="Times New Roman"/>
                      <w:color w:val="auto"/>
                      <w:szCs w:val="21"/>
                      <w:highlight w:val="none"/>
                      <w:lang w:val="en-US" w:eastAsia="zh-CN"/>
                    </w:rPr>
                    <w:t>颚破机</w:t>
                  </w:r>
                </w:p>
              </w:tc>
              <w:tc>
                <w:tcPr>
                  <w:tcW w:w="1005" w:type="dxa"/>
                  <w:tcBorders>
                    <w:tl2br w:val="nil"/>
                    <w:tr2bl w:val="nil"/>
                  </w:tcBorders>
                  <w:vAlign w:val="center"/>
                </w:tcPr>
                <w:p w14:paraId="2407F447">
                  <w:pPr>
                    <w:snapToGrid w:val="0"/>
                    <w:spacing w:before="72" w:beforeLines="30" w:after="72" w:afterLines="30"/>
                    <w:jc w:val="center"/>
                    <w:rPr>
                      <w:rFonts w:hint="default" w:ascii="Times New Roman" w:hAnsi="Times New Roman" w:cs="Times New Roman"/>
                      <w:color w:val="auto"/>
                      <w:spacing w:val="-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60331EDC">
                  <w:pPr>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90</w:t>
                  </w:r>
                </w:p>
              </w:tc>
              <w:tc>
                <w:tcPr>
                  <w:tcW w:w="1200" w:type="dxa"/>
                  <w:tcBorders>
                    <w:tl2br w:val="nil"/>
                    <w:tr2bl w:val="nil"/>
                  </w:tcBorders>
                  <w:vAlign w:val="center"/>
                </w:tcPr>
                <w:p w14:paraId="2433BA4F">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vAlign w:val="center"/>
                </w:tcPr>
                <w:p w14:paraId="6F7F411D">
                  <w:pPr>
                    <w:jc w:val="center"/>
                    <w:rPr>
                      <w:rFonts w:hint="default" w:ascii="Times New Roman" w:hAnsi="Times New Roman" w:cs="Times New Roman"/>
                      <w:color w:val="auto"/>
                      <w:highlight w:val="none"/>
                    </w:rPr>
                  </w:pPr>
                </w:p>
              </w:tc>
              <w:tc>
                <w:tcPr>
                  <w:tcW w:w="1124" w:type="dxa"/>
                  <w:tcBorders>
                    <w:tl2br w:val="nil"/>
                    <w:tr2bl w:val="nil"/>
                  </w:tcBorders>
                  <w:vAlign w:val="center"/>
                </w:tcPr>
                <w:p w14:paraId="7FF1DC42">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70</w:t>
                  </w:r>
                </w:p>
              </w:tc>
            </w:tr>
            <w:tr w14:paraId="45022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vAlign w:val="center"/>
                </w:tcPr>
                <w:p w14:paraId="799745BD">
                  <w:pPr>
                    <w:jc w:val="center"/>
                    <w:rPr>
                      <w:rFonts w:hint="default" w:ascii="Times New Roman" w:hAnsi="Times New Roman" w:cs="Times New Roman"/>
                      <w:color w:val="auto"/>
                      <w:spacing w:val="-1"/>
                      <w:szCs w:val="21"/>
                      <w:highlight w:val="none"/>
                      <w:lang w:val="en-US" w:eastAsia="zh-CN"/>
                    </w:rPr>
                  </w:pPr>
                  <w:r>
                    <w:rPr>
                      <w:rFonts w:hint="default" w:ascii="Times New Roman" w:hAnsi="Times New Roman" w:cs="Times New Roman"/>
                      <w:color w:val="auto"/>
                      <w:spacing w:val="-1"/>
                      <w:highlight w:val="none"/>
                      <w:lang w:val="en-US" w:eastAsia="zh-CN"/>
                    </w:rPr>
                    <w:t>3</w:t>
                  </w:r>
                </w:p>
              </w:tc>
              <w:tc>
                <w:tcPr>
                  <w:tcW w:w="1535" w:type="dxa"/>
                  <w:tcBorders>
                    <w:tl2br w:val="nil"/>
                    <w:tr2bl w:val="nil"/>
                  </w:tcBorders>
                  <w:shd w:val="clear" w:color="auto" w:fill="auto"/>
                  <w:vAlign w:val="center"/>
                </w:tcPr>
                <w:p w14:paraId="5EC6CD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圆锥破碎机</w:t>
                  </w:r>
                </w:p>
              </w:tc>
              <w:tc>
                <w:tcPr>
                  <w:tcW w:w="1005" w:type="dxa"/>
                  <w:tcBorders>
                    <w:tl2br w:val="nil"/>
                    <w:tr2bl w:val="nil"/>
                  </w:tcBorders>
                  <w:vAlign w:val="center"/>
                </w:tcPr>
                <w:p w14:paraId="39081646">
                  <w:pPr>
                    <w:snapToGrid w:val="0"/>
                    <w:spacing w:before="72" w:beforeLines="30" w:after="72" w:afterLines="3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14D98D27">
                  <w:pPr>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90</w:t>
                  </w:r>
                </w:p>
              </w:tc>
              <w:tc>
                <w:tcPr>
                  <w:tcW w:w="1200" w:type="dxa"/>
                  <w:tcBorders>
                    <w:tl2br w:val="nil"/>
                    <w:tr2bl w:val="nil"/>
                  </w:tcBorders>
                  <w:vAlign w:val="center"/>
                </w:tcPr>
                <w:p w14:paraId="2739F6E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vAlign w:val="center"/>
                </w:tcPr>
                <w:p w14:paraId="0908161C">
                  <w:pPr>
                    <w:jc w:val="center"/>
                    <w:rPr>
                      <w:rFonts w:hint="default" w:ascii="Times New Roman" w:hAnsi="Times New Roman" w:cs="Times New Roman"/>
                      <w:color w:val="auto"/>
                      <w:highlight w:val="none"/>
                    </w:rPr>
                  </w:pPr>
                </w:p>
              </w:tc>
              <w:tc>
                <w:tcPr>
                  <w:tcW w:w="1124" w:type="dxa"/>
                  <w:tcBorders>
                    <w:tl2br w:val="nil"/>
                    <w:tr2bl w:val="nil"/>
                  </w:tcBorders>
                  <w:vAlign w:val="center"/>
                </w:tcPr>
                <w:p w14:paraId="08132B2D">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70</w:t>
                  </w:r>
                </w:p>
              </w:tc>
            </w:tr>
            <w:tr w14:paraId="0BAAC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69FDDC7B">
                  <w:pPr>
                    <w:jc w:val="center"/>
                    <w:rPr>
                      <w:rFonts w:hint="default" w:ascii="Times New Roman" w:hAnsi="Times New Roman" w:eastAsia="宋体" w:cs="Times New Roman"/>
                      <w:color w:val="auto"/>
                      <w:spacing w:val="-1"/>
                      <w:highlight w:val="none"/>
                      <w:lang w:val="en-US" w:eastAsia="zh-CN"/>
                    </w:rPr>
                  </w:pPr>
                  <w:r>
                    <w:rPr>
                      <w:rFonts w:hint="default" w:ascii="Times New Roman" w:hAnsi="Times New Roman" w:cs="Times New Roman"/>
                      <w:color w:val="auto"/>
                      <w:spacing w:val="-1"/>
                      <w:szCs w:val="21"/>
                      <w:highlight w:val="none"/>
                      <w:lang w:val="en-US" w:eastAsia="zh-CN"/>
                    </w:rPr>
                    <w:t>4</w:t>
                  </w:r>
                </w:p>
              </w:tc>
              <w:tc>
                <w:tcPr>
                  <w:tcW w:w="1535" w:type="dxa"/>
                  <w:tcBorders>
                    <w:tl2br w:val="nil"/>
                    <w:tr2bl w:val="nil"/>
                  </w:tcBorders>
                  <w:vAlign w:val="center"/>
                </w:tcPr>
                <w:p w14:paraId="4B005471">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振动筛</w:t>
                  </w:r>
                </w:p>
              </w:tc>
              <w:tc>
                <w:tcPr>
                  <w:tcW w:w="1005" w:type="dxa"/>
                  <w:tcBorders>
                    <w:tl2br w:val="nil"/>
                    <w:tr2bl w:val="nil"/>
                  </w:tcBorders>
                  <w:vAlign w:val="center"/>
                </w:tcPr>
                <w:p w14:paraId="66B45342">
                  <w:pPr>
                    <w:widowControl/>
                    <w:jc w:val="center"/>
                    <w:textAlignment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3套</w:t>
                  </w:r>
                </w:p>
              </w:tc>
              <w:tc>
                <w:tcPr>
                  <w:tcW w:w="1185" w:type="dxa"/>
                  <w:tcBorders>
                    <w:tl2br w:val="nil"/>
                    <w:tr2bl w:val="nil"/>
                  </w:tcBorders>
                  <w:vAlign w:val="center"/>
                </w:tcPr>
                <w:p w14:paraId="2EEAED82">
                  <w:pPr>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05A6689A">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5C077D49">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265E5334">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65</w:t>
                  </w:r>
                </w:p>
              </w:tc>
            </w:tr>
            <w:tr w14:paraId="4B5D7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7494F8A5">
                  <w:pPr>
                    <w:jc w:val="center"/>
                    <w:rPr>
                      <w:rFonts w:hint="default" w:ascii="Times New Roman" w:hAnsi="Times New Roman" w:eastAsia="宋体" w:cs="Times New Roman"/>
                      <w:color w:val="auto"/>
                      <w:spacing w:val="-1"/>
                      <w:szCs w:val="21"/>
                      <w:highlight w:val="none"/>
                      <w:lang w:val="en-US" w:eastAsia="zh-CN"/>
                    </w:rPr>
                  </w:pPr>
                  <w:r>
                    <w:rPr>
                      <w:rFonts w:hint="default" w:ascii="Times New Roman" w:hAnsi="Times New Roman" w:cs="Times New Roman"/>
                      <w:color w:val="auto"/>
                      <w:spacing w:val="-1"/>
                      <w:szCs w:val="21"/>
                      <w:highlight w:val="none"/>
                      <w:lang w:val="en-US" w:eastAsia="zh-CN"/>
                    </w:rPr>
                    <w:t>5</w:t>
                  </w:r>
                </w:p>
              </w:tc>
              <w:tc>
                <w:tcPr>
                  <w:tcW w:w="1535" w:type="dxa"/>
                  <w:tcBorders>
                    <w:tl2br w:val="nil"/>
                    <w:tr2bl w:val="nil"/>
                  </w:tcBorders>
                  <w:vAlign w:val="center"/>
                </w:tcPr>
                <w:p w14:paraId="1213DAB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制砂</w:t>
                  </w:r>
                  <w:r>
                    <w:rPr>
                      <w:rFonts w:hint="default" w:ascii="Times New Roman" w:hAnsi="Times New Roman" w:cs="Times New Roman"/>
                      <w:color w:val="auto"/>
                      <w:szCs w:val="21"/>
                      <w:highlight w:val="none"/>
                    </w:rPr>
                    <w:t>机</w:t>
                  </w:r>
                </w:p>
              </w:tc>
              <w:tc>
                <w:tcPr>
                  <w:tcW w:w="1005" w:type="dxa"/>
                  <w:tcBorders>
                    <w:tl2br w:val="nil"/>
                    <w:tr2bl w:val="nil"/>
                  </w:tcBorders>
                  <w:vAlign w:val="center"/>
                </w:tcPr>
                <w:p w14:paraId="1EB95873">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4782E45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c>
                <w:tcPr>
                  <w:tcW w:w="1200" w:type="dxa"/>
                  <w:tcBorders>
                    <w:tl2br w:val="nil"/>
                    <w:tr2bl w:val="nil"/>
                  </w:tcBorders>
                  <w:vAlign w:val="center"/>
                </w:tcPr>
                <w:p w14:paraId="037E5F55">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221BFA2D">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26594FF7">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70</w:t>
                  </w:r>
                </w:p>
              </w:tc>
            </w:tr>
            <w:tr w14:paraId="3254D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64E03DB0">
                  <w:pPr>
                    <w:jc w:val="center"/>
                    <w:rPr>
                      <w:rFonts w:hint="default" w:ascii="Times New Roman" w:hAnsi="Times New Roman" w:cs="Times New Roman"/>
                      <w:color w:val="auto"/>
                      <w:spacing w:val="-1"/>
                      <w:szCs w:val="21"/>
                      <w:highlight w:val="none"/>
                      <w:lang w:val="en-US" w:eastAsia="zh-CN"/>
                    </w:rPr>
                  </w:pPr>
                  <w:r>
                    <w:rPr>
                      <w:rFonts w:hint="default" w:ascii="Times New Roman" w:hAnsi="Times New Roman" w:cs="Times New Roman"/>
                      <w:color w:val="auto"/>
                      <w:spacing w:val="-1"/>
                      <w:szCs w:val="21"/>
                      <w:highlight w:val="none"/>
                      <w:lang w:val="en-US" w:eastAsia="zh-CN"/>
                    </w:rPr>
                    <w:t>6</w:t>
                  </w:r>
                </w:p>
              </w:tc>
              <w:tc>
                <w:tcPr>
                  <w:tcW w:w="1535" w:type="dxa"/>
                  <w:tcBorders>
                    <w:tl2br w:val="nil"/>
                    <w:tr2bl w:val="nil"/>
                  </w:tcBorders>
                  <w:vAlign w:val="center"/>
                </w:tcPr>
                <w:p w14:paraId="79C383EC">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洗砂机</w:t>
                  </w:r>
                </w:p>
              </w:tc>
              <w:tc>
                <w:tcPr>
                  <w:tcW w:w="1005" w:type="dxa"/>
                  <w:tcBorders>
                    <w:tl2br w:val="nil"/>
                    <w:tr2bl w:val="nil"/>
                  </w:tcBorders>
                  <w:vAlign w:val="center"/>
                </w:tcPr>
                <w:p w14:paraId="4D98FF9D">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4434DDB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3B77DDA4">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00937AD2">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777DFDE5">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65</w:t>
                  </w:r>
                </w:p>
              </w:tc>
            </w:tr>
            <w:tr w14:paraId="2E6A4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5741FC46">
                  <w:pPr>
                    <w:jc w:val="center"/>
                    <w:rPr>
                      <w:rFonts w:hint="default" w:ascii="Times New Roman" w:hAnsi="Times New Roman" w:cs="Times New Roman"/>
                      <w:color w:val="auto"/>
                      <w:spacing w:val="-1"/>
                      <w:szCs w:val="21"/>
                      <w:highlight w:val="none"/>
                      <w:lang w:val="en-US" w:eastAsia="zh-CN"/>
                    </w:rPr>
                  </w:pPr>
                  <w:r>
                    <w:rPr>
                      <w:rFonts w:hint="default" w:ascii="Times New Roman" w:hAnsi="Times New Roman" w:cs="Times New Roman"/>
                      <w:color w:val="auto"/>
                      <w:spacing w:val="-1"/>
                      <w:highlight w:val="none"/>
                      <w:lang w:val="en-US" w:eastAsia="zh-CN"/>
                    </w:rPr>
                    <w:t>7</w:t>
                  </w:r>
                </w:p>
              </w:tc>
              <w:tc>
                <w:tcPr>
                  <w:tcW w:w="1535" w:type="dxa"/>
                  <w:tcBorders>
                    <w:tl2br w:val="nil"/>
                    <w:tr2bl w:val="nil"/>
                  </w:tcBorders>
                  <w:vAlign w:val="center"/>
                </w:tcPr>
                <w:p w14:paraId="78BD86A9">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脱水机</w:t>
                  </w:r>
                </w:p>
              </w:tc>
              <w:tc>
                <w:tcPr>
                  <w:tcW w:w="1005" w:type="dxa"/>
                  <w:tcBorders>
                    <w:tl2br w:val="nil"/>
                    <w:tr2bl w:val="nil"/>
                  </w:tcBorders>
                  <w:vAlign w:val="center"/>
                </w:tcPr>
                <w:p w14:paraId="0295F69C">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4240AB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4CA28A31">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5A1CA3B3">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3B7D23F5">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65</w:t>
                  </w:r>
                </w:p>
              </w:tc>
            </w:tr>
            <w:tr w14:paraId="4BFFD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4D02AF1C">
                  <w:pPr>
                    <w:jc w:val="center"/>
                    <w:rPr>
                      <w:rFonts w:hint="default" w:ascii="Times New Roman" w:hAnsi="Times New Roman" w:cs="Times New Roman"/>
                      <w:color w:val="auto"/>
                      <w:spacing w:val="-1"/>
                      <w:szCs w:val="21"/>
                      <w:highlight w:val="none"/>
                      <w:lang w:val="en-US" w:eastAsia="zh-CN"/>
                    </w:rPr>
                  </w:pPr>
                  <w:r>
                    <w:rPr>
                      <w:rFonts w:hint="default" w:ascii="Times New Roman" w:hAnsi="Times New Roman" w:cs="Times New Roman"/>
                      <w:color w:val="auto"/>
                      <w:spacing w:val="-1"/>
                      <w:highlight w:val="none"/>
                      <w:lang w:val="en-US" w:eastAsia="zh-CN"/>
                    </w:rPr>
                    <w:t>8</w:t>
                  </w:r>
                </w:p>
              </w:tc>
              <w:tc>
                <w:tcPr>
                  <w:tcW w:w="1535" w:type="dxa"/>
                  <w:tcBorders>
                    <w:tl2br w:val="nil"/>
                    <w:tr2bl w:val="nil"/>
                  </w:tcBorders>
                  <w:shd w:val="clear" w:color="auto" w:fill="auto"/>
                  <w:vAlign w:val="center"/>
                </w:tcPr>
                <w:p w14:paraId="0AD1FA31">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尾砂回收一体机</w:t>
                  </w:r>
                </w:p>
              </w:tc>
              <w:tc>
                <w:tcPr>
                  <w:tcW w:w="1005" w:type="dxa"/>
                  <w:tcBorders>
                    <w:tl2br w:val="nil"/>
                    <w:tr2bl w:val="nil"/>
                  </w:tcBorders>
                  <w:shd w:val="clear" w:color="auto" w:fill="auto"/>
                  <w:vAlign w:val="center"/>
                </w:tcPr>
                <w:p w14:paraId="68B0B818">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41743E4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200" w:type="dxa"/>
                  <w:tcBorders>
                    <w:tl2br w:val="nil"/>
                    <w:tr2bl w:val="nil"/>
                  </w:tcBorders>
                  <w:vAlign w:val="center"/>
                </w:tcPr>
                <w:p w14:paraId="090B7415">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460DB028">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4A9EEBA3">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60</w:t>
                  </w:r>
                </w:p>
              </w:tc>
            </w:tr>
            <w:tr w14:paraId="3BF32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2EA99289">
                  <w:pPr>
                    <w:jc w:val="center"/>
                    <w:rPr>
                      <w:rFonts w:hint="default" w:ascii="Times New Roman" w:hAnsi="Times New Roman" w:eastAsia="宋体" w:cs="Times New Roman"/>
                      <w:color w:val="auto"/>
                      <w:spacing w:val="-1"/>
                      <w:szCs w:val="21"/>
                      <w:highlight w:val="none"/>
                      <w:lang w:val="en-US" w:eastAsia="zh-CN"/>
                    </w:rPr>
                  </w:pPr>
                  <w:r>
                    <w:rPr>
                      <w:rFonts w:hint="default" w:ascii="Times New Roman" w:hAnsi="Times New Roman" w:cs="Times New Roman"/>
                      <w:color w:val="auto"/>
                      <w:spacing w:val="-1"/>
                      <w:szCs w:val="21"/>
                      <w:highlight w:val="none"/>
                      <w:lang w:val="en-US" w:eastAsia="zh-CN"/>
                    </w:rPr>
                    <w:t>9</w:t>
                  </w:r>
                </w:p>
              </w:tc>
              <w:tc>
                <w:tcPr>
                  <w:tcW w:w="1535" w:type="dxa"/>
                  <w:tcBorders>
                    <w:tl2br w:val="nil"/>
                    <w:tr2bl w:val="nil"/>
                  </w:tcBorders>
                  <w:vAlign w:val="center"/>
                </w:tcPr>
                <w:p w14:paraId="3A6759A0">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皮带输送机</w:t>
                  </w:r>
                </w:p>
              </w:tc>
              <w:tc>
                <w:tcPr>
                  <w:tcW w:w="1005" w:type="dxa"/>
                  <w:tcBorders>
                    <w:tl2br w:val="nil"/>
                    <w:tr2bl w:val="nil"/>
                  </w:tcBorders>
                  <w:vAlign w:val="center"/>
                </w:tcPr>
                <w:p w14:paraId="29E63062">
                  <w:pPr>
                    <w:widowControl/>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5套</w:t>
                  </w:r>
                </w:p>
              </w:tc>
              <w:tc>
                <w:tcPr>
                  <w:tcW w:w="1185" w:type="dxa"/>
                  <w:tcBorders>
                    <w:tl2br w:val="nil"/>
                    <w:tr2bl w:val="nil"/>
                  </w:tcBorders>
                  <w:vAlign w:val="center"/>
                </w:tcPr>
                <w:p w14:paraId="7EDAF09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200" w:type="dxa"/>
                  <w:tcBorders>
                    <w:tl2br w:val="nil"/>
                    <w:tr2bl w:val="nil"/>
                  </w:tcBorders>
                  <w:vAlign w:val="center"/>
                </w:tcPr>
                <w:p w14:paraId="304D04FC">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15C50480">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424A6AE2">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60</w:t>
                  </w:r>
                </w:p>
              </w:tc>
            </w:tr>
            <w:tr w14:paraId="376FF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0EDB557C">
                  <w:pPr>
                    <w:jc w:val="center"/>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10</w:t>
                  </w:r>
                </w:p>
              </w:tc>
              <w:tc>
                <w:tcPr>
                  <w:tcW w:w="1535" w:type="dxa"/>
                  <w:tcBorders>
                    <w:tl2br w:val="nil"/>
                    <w:tr2bl w:val="nil"/>
                  </w:tcBorders>
                  <w:shd w:val="clear" w:color="auto" w:fill="auto"/>
                  <w:vAlign w:val="center"/>
                </w:tcPr>
                <w:p w14:paraId="1BE411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雷蒙磨</w:t>
                  </w:r>
                </w:p>
              </w:tc>
              <w:tc>
                <w:tcPr>
                  <w:tcW w:w="1005" w:type="dxa"/>
                  <w:tcBorders>
                    <w:tl2br w:val="nil"/>
                    <w:tr2bl w:val="nil"/>
                  </w:tcBorders>
                  <w:vAlign w:val="center"/>
                </w:tcPr>
                <w:p w14:paraId="3BA4A00F">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020ABA5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200" w:type="dxa"/>
                  <w:tcBorders>
                    <w:tl2br w:val="nil"/>
                    <w:tr2bl w:val="nil"/>
                  </w:tcBorders>
                  <w:vAlign w:val="center"/>
                </w:tcPr>
                <w:p w14:paraId="1B149401">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1BA67E60">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5CE7AA84">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60</w:t>
                  </w:r>
                </w:p>
              </w:tc>
            </w:tr>
            <w:tr w14:paraId="63A6D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vAlign w:val="center"/>
                </w:tcPr>
                <w:p w14:paraId="79EF07A8">
                  <w:pPr>
                    <w:jc w:val="center"/>
                    <w:rPr>
                      <w:rFonts w:hint="default" w:ascii="Times New Roman" w:hAnsi="Times New Roman" w:eastAsia="宋体" w:cs="Times New Roman"/>
                      <w:color w:val="auto"/>
                      <w:spacing w:val="-1"/>
                      <w:szCs w:val="21"/>
                      <w:highlight w:val="none"/>
                      <w:lang w:val="en-US" w:eastAsia="zh-CN"/>
                    </w:rPr>
                  </w:pPr>
                  <w:r>
                    <w:rPr>
                      <w:rFonts w:hint="default" w:ascii="Times New Roman" w:hAnsi="Times New Roman" w:cs="Times New Roman"/>
                      <w:color w:val="auto"/>
                      <w:spacing w:val="-1"/>
                      <w:highlight w:val="none"/>
                      <w:lang w:val="en-US" w:eastAsia="zh-CN"/>
                    </w:rPr>
                    <w:t>11</w:t>
                  </w:r>
                </w:p>
              </w:tc>
              <w:tc>
                <w:tcPr>
                  <w:tcW w:w="1535" w:type="dxa"/>
                  <w:tcBorders>
                    <w:tl2br w:val="nil"/>
                    <w:tr2bl w:val="nil"/>
                  </w:tcBorders>
                  <w:vAlign w:val="center"/>
                </w:tcPr>
                <w:p w14:paraId="6205A20E">
                  <w:pPr>
                    <w:snapToGrid w:val="0"/>
                    <w:spacing w:before="72" w:beforeLines="30" w:after="72"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提升机</w:t>
                  </w:r>
                </w:p>
              </w:tc>
              <w:tc>
                <w:tcPr>
                  <w:tcW w:w="1005" w:type="dxa"/>
                  <w:tcBorders>
                    <w:tl2br w:val="nil"/>
                    <w:tr2bl w:val="nil"/>
                  </w:tcBorders>
                  <w:vAlign w:val="center"/>
                </w:tcPr>
                <w:p w14:paraId="0D26CDD4">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3台</w:t>
                  </w:r>
                </w:p>
              </w:tc>
              <w:tc>
                <w:tcPr>
                  <w:tcW w:w="1185" w:type="dxa"/>
                  <w:tcBorders>
                    <w:tl2br w:val="nil"/>
                    <w:tr2bl w:val="nil"/>
                  </w:tcBorders>
                  <w:vAlign w:val="center"/>
                </w:tcPr>
                <w:p w14:paraId="24B2F03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7FB662A4">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12F326AA">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151F0F9E">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65</w:t>
                  </w:r>
                </w:p>
              </w:tc>
            </w:tr>
            <w:tr w14:paraId="1E880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shd w:val="clear" w:color="auto" w:fill="auto"/>
                  <w:vAlign w:val="center"/>
                </w:tcPr>
                <w:p w14:paraId="6A905389">
                  <w:pPr>
                    <w:jc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cs="Times New Roman"/>
                      <w:color w:val="auto"/>
                      <w:spacing w:val="-1"/>
                      <w:kern w:val="2"/>
                      <w:sz w:val="21"/>
                      <w:szCs w:val="21"/>
                      <w:highlight w:val="none"/>
                      <w:lang w:val="en-US" w:eastAsia="zh-CN" w:bidi="ar-SA"/>
                    </w:rPr>
                    <w:t>12</w:t>
                  </w:r>
                </w:p>
              </w:tc>
              <w:tc>
                <w:tcPr>
                  <w:tcW w:w="1535" w:type="dxa"/>
                  <w:tcBorders>
                    <w:tl2br w:val="nil"/>
                    <w:tr2bl w:val="nil"/>
                  </w:tcBorders>
                  <w:shd w:val="clear" w:color="auto" w:fill="auto"/>
                  <w:vAlign w:val="center"/>
                </w:tcPr>
                <w:p w14:paraId="188B853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搅拌机</w:t>
                  </w:r>
                </w:p>
              </w:tc>
              <w:tc>
                <w:tcPr>
                  <w:tcW w:w="1005" w:type="dxa"/>
                  <w:tcBorders>
                    <w:tl2br w:val="nil"/>
                    <w:tr2bl w:val="nil"/>
                  </w:tcBorders>
                  <w:vAlign w:val="center"/>
                </w:tcPr>
                <w:p w14:paraId="56AA7F78">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3台</w:t>
                  </w:r>
                </w:p>
              </w:tc>
              <w:tc>
                <w:tcPr>
                  <w:tcW w:w="1185" w:type="dxa"/>
                  <w:tcBorders>
                    <w:tl2br w:val="nil"/>
                    <w:tr2bl w:val="nil"/>
                  </w:tcBorders>
                  <w:vAlign w:val="center"/>
                </w:tcPr>
                <w:p w14:paraId="29B5D0F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51863AA7">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124B7A46">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14002AB0">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5</w:t>
                  </w:r>
                </w:p>
              </w:tc>
            </w:tr>
            <w:tr w14:paraId="7BB2AA85">
              <w:tblPrEx>
                <w:tblCellMar>
                  <w:top w:w="0" w:type="dxa"/>
                  <w:left w:w="108" w:type="dxa"/>
                  <w:bottom w:w="0" w:type="dxa"/>
                  <w:right w:w="108" w:type="dxa"/>
                </w:tblCellMar>
              </w:tblPrEx>
              <w:trPr>
                <w:trHeight w:val="423" w:hRule="atLeast"/>
                <w:jc w:val="center"/>
              </w:trPr>
              <w:tc>
                <w:tcPr>
                  <w:tcW w:w="677" w:type="dxa"/>
                  <w:tcBorders>
                    <w:tl2br w:val="nil"/>
                    <w:tr2bl w:val="nil"/>
                  </w:tcBorders>
                  <w:shd w:val="clear" w:color="auto" w:fill="auto"/>
                  <w:vAlign w:val="center"/>
                </w:tcPr>
                <w:p w14:paraId="4174E368">
                  <w:pPr>
                    <w:jc w:val="center"/>
                    <w:rPr>
                      <w:rFonts w:hint="default" w:ascii="Times New Roman" w:hAnsi="Times New Roman" w:eastAsia="宋体" w:cs="Times New Roman"/>
                      <w:color w:val="auto"/>
                      <w:spacing w:val="-1"/>
                      <w:kern w:val="2"/>
                      <w:sz w:val="21"/>
                      <w:szCs w:val="24"/>
                      <w:highlight w:val="none"/>
                      <w:lang w:val="en-US" w:eastAsia="zh-CN" w:bidi="ar-SA"/>
                    </w:rPr>
                  </w:pPr>
                  <w:r>
                    <w:rPr>
                      <w:rFonts w:hint="default" w:ascii="Times New Roman" w:hAnsi="Times New Roman" w:eastAsia="宋体" w:cs="Times New Roman"/>
                      <w:color w:val="auto"/>
                      <w:spacing w:val="-1"/>
                      <w:kern w:val="2"/>
                      <w:sz w:val="21"/>
                      <w:szCs w:val="24"/>
                      <w:highlight w:val="none"/>
                      <w:lang w:val="en-US" w:eastAsia="zh-CN" w:bidi="ar-SA"/>
                    </w:rPr>
                    <w:t>13</w:t>
                  </w:r>
                </w:p>
              </w:tc>
              <w:tc>
                <w:tcPr>
                  <w:tcW w:w="1535" w:type="dxa"/>
                  <w:tcBorders>
                    <w:tl2br w:val="nil"/>
                    <w:tr2bl w:val="nil"/>
                  </w:tcBorders>
                  <w:shd w:val="clear" w:color="auto" w:fill="auto"/>
                  <w:vAlign w:val="center"/>
                </w:tcPr>
                <w:p w14:paraId="5C60BACC">
                  <w:pPr>
                    <w:widowControl/>
                    <w:jc w:val="center"/>
                    <w:textAlignment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cs="Times New Roman"/>
                      <w:color w:val="auto"/>
                      <w:szCs w:val="21"/>
                      <w:highlight w:val="none"/>
                    </w:rPr>
                    <w:t>提升机</w:t>
                  </w:r>
                </w:p>
              </w:tc>
              <w:tc>
                <w:tcPr>
                  <w:tcW w:w="1005" w:type="dxa"/>
                  <w:tcBorders>
                    <w:tl2br w:val="nil"/>
                    <w:tr2bl w:val="nil"/>
                  </w:tcBorders>
                  <w:vAlign w:val="center"/>
                </w:tcPr>
                <w:p w14:paraId="3AB51A9A">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3台</w:t>
                  </w:r>
                </w:p>
              </w:tc>
              <w:tc>
                <w:tcPr>
                  <w:tcW w:w="1185" w:type="dxa"/>
                  <w:tcBorders>
                    <w:tl2br w:val="nil"/>
                    <w:tr2bl w:val="nil"/>
                  </w:tcBorders>
                  <w:vAlign w:val="center"/>
                </w:tcPr>
                <w:p w14:paraId="7CF2C3C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0734DF54">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186788BA">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6A42D08F">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5</w:t>
                  </w:r>
                </w:p>
              </w:tc>
            </w:tr>
            <w:tr w14:paraId="158C6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shd w:val="clear" w:color="auto" w:fill="auto"/>
                  <w:vAlign w:val="center"/>
                </w:tcPr>
                <w:p w14:paraId="0B3C6E43">
                  <w:pPr>
                    <w:jc w:val="center"/>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14</w:t>
                  </w:r>
                </w:p>
              </w:tc>
              <w:tc>
                <w:tcPr>
                  <w:tcW w:w="1535" w:type="dxa"/>
                  <w:tcBorders>
                    <w:tl2br w:val="nil"/>
                    <w:tr2bl w:val="nil"/>
                  </w:tcBorders>
                  <w:shd w:val="clear" w:color="auto" w:fill="auto"/>
                  <w:vAlign w:val="center"/>
                </w:tcPr>
                <w:p w14:paraId="04FAE141">
                  <w:pPr>
                    <w:widowControl/>
                    <w:jc w:val="center"/>
                    <w:textAlignment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cs="Times New Roman"/>
                      <w:color w:val="auto"/>
                      <w:szCs w:val="21"/>
                      <w:highlight w:val="none"/>
                    </w:rPr>
                    <w:t>自动包装机</w:t>
                  </w:r>
                </w:p>
              </w:tc>
              <w:tc>
                <w:tcPr>
                  <w:tcW w:w="1005" w:type="dxa"/>
                  <w:tcBorders>
                    <w:tl2br w:val="nil"/>
                    <w:tr2bl w:val="nil"/>
                  </w:tcBorders>
                  <w:vAlign w:val="center"/>
                </w:tcPr>
                <w:p w14:paraId="7091A94C">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3台</w:t>
                  </w:r>
                </w:p>
              </w:tc>
              <w:tc>
                <w:tcPr>
                  <w:tcW w:w="1185" w:type="dxa"/>
                  <w:tcBorders>
                    <w:tl2br w:val="nil"/>
                    <w:tr2bl w:val="nil"/>
                  </w:tcBorders>
                  <w:vAlign w:val="center"/>
                </w:tcPr>
                <w:p w14:paraId="206DB7C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470F2D25">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tcPr>
                <w:p w14:paraId="6D241755">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01503F6E">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5</w:t>
                  </w:r>
                </w:p>
              </w:tc>
            </w:tr>
            <w:tr w14:paraId="26BA4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vAlign w:val="center"/>
                </w:tcPr>
                <w:p w14:paraId="399EF8A7">
                  <w:pPr>
                    <w:jc w:val="center"/>
                    <w:rPr>
                      <w:rFonts w:hint="default" w:ascii="Times New Roman" w:hAnsi="Times New Roman" w:cs="Times New Roman"/>
                      <w:color w:val="auto"/>
                      <w:spacing w:val="-1"/>
                      <w:szCs w:val="21"/>
                      <w:highlight w:val="none"/>
                      <w:lang w:val="en-US" w:eastAsia="zh-CN"/>
                    </w:rPr>
                  </w:pPr>
                  <w:r>
                    <w:rPr>
                      <w:rFonts w:hint="default" w:ascii="Times New Roman" w:hAnsi="Times New Roman" w:cs="Times New Roman"/>
                      <w:color w:val="auto"/>
                      <w:spacing w:val="-1"/>
                      <w:szCs w:val="21"/>
                      <w:highlight w:val="none"/>
                      <w:lang w:val="en-US" w:eastAsia="zh-CN"/>
                    </w:rPr>
                    <w:t>15</w:t>
                  </w:r>
                </w:p>
              </w:tc>
              <w:tc>
                <w:tcPr>
                  <w:tcW w:w="1535" w:type="dxa"/>
                  <w:tcBorders>
                    <w:tl2br w:val="nil"/>
                    <w:tr2bl w:val="nil"/>
                  </w:tcBorders>
                  <w:shd w:val="clear" w:color="auto" w:fill="auto"/>
                  <w:vAlign w:val="center"/>
                </w:tcPr>
                <w:p w14:paraId="5A0568D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压滤机</w:t>
                  </w:r>
                </w:p>
              </w:tc>
              <w:tc>
                <w:tcPr>
                  <w:tcW w:w="1005" w:type="dxa"/>
                  <w:tcBorders>
                    <w:tl2br w:val="nil"/>
                    <w:tr2bl w:val="nil"/>
                  </w:tcBorders>
                  <w:shd w:val="clear" w:color="auto" w:fill="auto"/>
                  <w:vAlign w:val="center"/>
                </w:tcPr>
                <w:p w14:paraId="22CF2B4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1AA592F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60598365">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vMerge w:val="continue"/>
                  <w:tcBorders>
                    <w:tl2br w:val="nil"/>
                    <w:tr2bl w:val="nil"/>
                  </w:tcBorders>
                  <w:vAlign w:val="top"/>
                </w:tcPr>
                <w:p w14:paraId="21C00151">
                  <w:pPr>
                    <w:rPr>
                      <w:rFonts w:hint="default" w:ascii="Times New Roman" w:hAnsi="Times New Roman" w:cs="Times New Roman"/>
                      <w:color w:val="auto"/>
                      <w:szCs w:val="22"/>
                      <w:highlight w:val="none"/>
                    </w:rPr>
                  </w:pPr>
                </w:p>
              </w:tc>
              <w:tc>
                <w:tcPr>
                  <w:tcW w:w="1124" w:type="dxa"/>
                  <w:tcBorders>
                    <w:tl2br w:val="nil"/>
                    <w:tr2bl w:val="nil"/>
                  </w:tcBorders>
                  <w:vAlign w:val="center"/>
                </w:tcPr>
                <w:p w14:paraId="23427AB8">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65</w:t>
                  </w:r>
                </w:p>
              </w:tc>
            </w:tr>
            <w:tr w14:paraId="59FED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7" w:type="dxa"/>
                  <w:tcBorders>
                    <w:tl2br w:val="nil"/>
                    <w:tr2bl w:val="nil"/>
                  </w:tcBorders>
                  <w:vAlign w:val="center"/>
                </w:tcPr>
                <w:p w14:paraId="799FA546">
                  <w:pPr>
                    <w:jc w:val="center"/>
                    <w:rPr>
                      <w:rFonts w:hint="default" w:ascii="Times New Roman" w:hAnsi="Times New Roman" w:cs="Times New Roman"/>
                      <w:color w:val="auto"/>
                      <w:spacing w:val="-1"/>
                      <w:szCs w:val="21"/>
                      <w:highlight w:val="none"/>
                      <w:lang w:val="en-US" w:eastAsia="zh-CN"/>
                    </w:rPr>
                  </w:pPr>
                  <w:r>
                    <w:rPr>
                      <w:rFonts w:hint="default" w:ascii="Times New Roman" w:hAnsi="Times New Roman" w:cs="Times New Roman"/>
                      <w:color w:val="auto"/>
                      <w:spacing w:val="-1"/>
                      <w:szCs w:val="21"/>
                      <w:highlight w:val="none"/>
                      <w:lang w:val="en-US" w:eastAsia="zh-CN"/>
                    </w:rPr>
                    <w:t>16</w:t>
                  </w:r>
                </w:p>
              </w:tc>
              <w:tc>
                <w:tcPr>
                  <w:tcW w:w="1535" w:type="dxa"/>
                  <w:tcBorders>
                    <w:tl2br w:val="nil"/>
                    <w:tr2bl w:val="nil"/>
                  </w:tcBorders>
                  <w:shd w:val="clear" w:color="auto" w:fill="auto"/>
                  <w:vAlign w:val="center"/>
                </w:tcPr>
                <w:p w14:paraId="18CB5767">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风机</w:t>
                  </w:r>
                </w:p>
              </w:tc>
              <w:tc>
                <w:tcPr>
                  <w:tcW w:w="1005" w:type="dxa"/>
                  <w:tcBorders>
                    <w:tl2br w:val="nil"/>
                    <w:tr2bl w:val="nil"/>
                  </w:tcBorders>
                  <w:shd w:val="clear" w:color="auto" w:fill="auto"/>
                  <w:vAlign w:val="center"/>
                </w:tcPr>
                <w:p w14:paraId="2F40E4CF">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台</w:t>
                  </w:r>
                </w:p>
              </w:tc>
              <w:tc>
                <w:tcPr>
                  <w:tcW w:w="1185" w:type="dxa"/>
                  <w:tcBorders>
                    <w:tl2br w:val="nil"/>
                    <w:tr2bl w:val="nil"/>
                  </w:tcBorders>
                  <w:vAlign w:val="center"/>
                </w:tcPr>
                <w:p w14:paraId="583C01F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85</w:t>
                  </w:r>
                </w:p>
              </w:tc>
              <w:tc>
                <w:tcPr>
                  <w:tcW w:w="1200" w:type="dxa"/>
                  <w:tcBorders>
                    <w:tl2br w:val="nil"/>
                    <w:tr2bl w:val="nil"/>
                  </w:tcBorders>
                  <w:vAlign w:val="center"/>
                </w:tcPr>
                <w:p w14:paraId="6DC237CD">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稳态</w:t>
                  </w:r>
                </w:p>
              </w:tc>
              <w:tc>
                <w:tcPr>
                  <w:tcW w:w="1751" w:type="dxa"/>
                  <w:tcBorders>
                    <w:tl2br w:val="nil"/>
                    <w:tr2bl w:val="nil"/>
                  </w:tcBorders>
                  <w:vAlign w:val="top"/>
                </w:tcPr>
                <w:p w14:paraId="6467ACCA">
                  <w:pPr>
                    <w:rPr>
                      <w:rFonts w:hint="default" w:ascii="Times New Roman" w:hAnsi="Times New Roman" w:cs="Times New Roman"/>
                      <w:color w:val="auto"/>
                      <w:szCs w:val="22"/>
                      <w:highlight w:val="none"/>
                    </w:rPr>
                  </w:pPr>
                  <w:r>
                    <w:rPr>
                      <w:rFonts w:hint="default" w:ascii="Times New Roman" w:hAnsi="Times New Roman" w:cs="Times New Roman"/>
                      <w:color w:val="auto"/>
                      <w:szCs w:val="21"/>
                      <w:highlight w:val="none"/>
                    </w:rPr>
                    <w:t>设置减振垫</w:t>
                  </w:r>
                </w:p>
              </w:tc>
              <w:tc>
                <w:tcPr>
                  <w:tcW w:w="1124" w:type="dxa"/>
                  <w:tcBorders>
                    <w:tl2br w:val="nil"/>
                    <w:tr2bl w:val="nil"/>
                  </w:tcBorders>
                  <w:vAlign w:val="center"/>
                </w:tcPr>
                <w:p w14:paraId="74CE3D12">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5</w:t>
                  </w:r>
                </w:p>
              </w:tc>
            </w:tr>
            <w:tr w14:paraId="52BEF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7" w:type="dxa"/>
                  <w:tcBorders>
                    <w:tl2br w:val="nil"/>
                    <w:tr2bl w:val="nil"/>
                  </w:tcBorders>
                  <w:vAlign w:val="center"/>
                </w:tcPr>
                <w:p w14:paraId="2500DC1E">
                  <w:pPr>
                    <w:jc w:val="center"/>
                    <w:rPr>
                      <w:rFonts w:hint="default" w:ascii="Times New Roman" w:hAnsi="Times New Roman" w:eastAsia="宋体"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17</w:t>
                  </w:r>
                </w:p>
              </w:tc>
              <w:tc>
                <w:tcPr>
                  <w:tcW w:w="1535" w:type="dxa"/>
                  <w:tcBorders>
                    <w:tl2br w:val="nil"/>
                    <w:tr2bl w:val="nil"/>
                  </w:tcBorders>
                  <w:vAlign w:val="center"/>
                </w:tcPr>
                <w:p w14:paraId="2D093D52">
                  <w:pPr>
                    <w:pStyle w:val="26"/>
                    <w:widowControl w:val="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运输车辆</w:t>
                  </w:r>
                </w:p>
              </w:tc>
              <w:tc>
                <w:tcPr>
                  <w:tcW w:w="1005" w:type="dxa"/>
                  <w:tcBorders>
                    <w:tl2br w:val="nil"/>
                    <w:tr2bl w:val="nil"/>
                  </w:tcBorders>
                  <w:vAlign w:val="center"/>
                </w:tcPr>
                <w:p w14:paraId="56824522">
                  <w:pPr>
                    <w:pStyle w:val="26"/>
                    <w:widowControl w:val="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辆</w:t>
                  </w:r>
                </w:p>
              </w:tc>
              <w:tc>
                <w:tcPr>
                  <w:tcW w:w="1185" w:type="dxa"/>
                  <w:tcBorders>
                    <w:tl2br w:val="nil"/>
                    <w:tr2bl w:val="nil"/>
                  </w:tcBorders>
                  <w:vAlign w:val="center"/>
                </w:tcPr>
                <w:p w14:paraId="5EA31B17">
                  <w:pPr>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85</w:t>
                  </w:r>
                </w:p>
              </w:tc>
              <w:tc>
                <w:tcPr>
                  <w:tcW w:w="1200" w:type="dxa"/>
                  <w:tcBorders>
                    <w:tl2br w:val="nil"/>
                    <w:tr2bl w:val="nil"/>
                  </w:tcBorders>
                  <w:vAlign w:val="center"/>
                </w:tcPr>
                <w:p w14:paraId="32533738">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非稳态</w:t>
                  </w:r>
                </w:p>
              </w:tc>
              <w:tc>
                <w:tcPr>
                  <w:tcW w:w="1751" w:type="dxa"/>
                  <w:tcBorders>
                    <w:tl2br w:val="nil"/>
                    <w:tr2bl w:val="nil"/>
                  </w:tcBorders>
                  <w:vAlign w:val="center"/>
                </w:tcPr>
                <w:p w14:paraId="3D7A2E78">
                  <w:pPr>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限速限载，途经住户时减速慢行</w:t>
                  </w:r>
                </w:p>
              </w:tc>
              <w:tc>
                <w:tcPr>
                  <w:tcW w:w="1124" w:type="dxa"/>
                  <w:tcBorders>
                    <w:tl2br w:val="nil"/>
                    <w:tr2bl w:val="nil"/>
                  </w:tcBorders>
                  <w:vAlign w:val="center"/>
                </w:tcPr>
                <w:p w14:paraId="1355843E">
                  <w:pPr>
                    <w:jc w:val="center"/>
                    <w:rPr>
                      <w:rFonts w:hint="default" w:ascii="Times New Roman" w:hAnsi="Times New Roman" w:cs="Times New Roman"/>
                      <w:color w:val="auto"/>
                      <w:highlight w:val="none"/>
                    </w:rPr>
                  </w:pPr>
                  <w:r>
                    <w:rPr>
                      <w:rFonts w:hint="eastAsia" w:cs="Times New Roman"/>
                      <w:color w:val="auto"/>
                      <w:highlight w:val="none"/>
                      <w:lang w:eastAsia="zh-CN"/>
                    </w:rPr>
                    <w:t>&lt;</w:t>
                  </w:r>
                  <w:r>
                    <w:rPr>
                      <w:rFonts w:hint="default" w:ascii="Times New Roman" w:hAnsi="Times New Roman" w:cs="Times New Roman"/>
                      <w:color w:val="auto"/>
                      <w:highlight w:val="none"/>
                    </w:rPr>
                    <w:t>65</w:t>
                  </w:r>
                </w:p>
              </w:tc>
            </w:tr>
          </w:tbl>
          <w:p w14:paraId="441B2B80">
            <w:pPr>
              <w:widowControl/>
              <w:snapToGrid w:val="0"/>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根据项目噪声污染源的特征，按照《环境影响评价技术导则声环境》（HJ</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2.4-2021）要求，采用多声源叠加综合预测模式对项目产生噪声的发散衰减进行模拟预测。</w:t>
            </w:r>
          </w:p>
          <w:p w14:paraId="614B76F4">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①室内声源</w:t>
            </w:r>
          </w:p>
          <w:p w14:paraId="7BDFB8D4">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声环境》（HJ2.4-2021），室内声源可采用等效室外声源声功率级法进行计算。设</w:t>
            </w:r>
            <w:r>
              <w:rPr>
                <w:rFonts w:hint="default" w:ascii="Times New Roman" w:hAnsi="Times New Roman" w:cs="Times New Roman"/>
                <w:color w:val="auto"/>
                <w:sz w:val="24"/>
                <w:highlight w:val="none"/>
                <w:lang w:val="en-US" w:eastAsia="zh-CN"/>
              </w:rPr>
              <w:t>备</w:t>
            </w:r>
            <w:r>
              <w:rPr>
                <w:rFonts w:hint="default" w:ascii="Times New Roman" w:hAnsi="Times New Roman" w:cs="Times New Roman"/>
                <w:color w:val="auto"/>
                <w:sz w:val="24"/>
                <w:highlight w:val="none"/>
              </w:rPr>
              <w:t>靠近开口处（或窗户）室内、室外某倍频带的声压级分别为</w:t>
            </w:r>
            <w:r>
              <w:rPr>
                <w:rFonts w:hint="default" w:ascii="Times New Roman" w:hAnsi="Times New Roman" w:cs="Times New Roman"/>
                <w:i/>
                <w:color w:val="auto"/>
                <w:sz w:val="24"/>
                <w:highlight w:val="none"/>
              </w:rPr>
              <w:t>L</w:t>
            </w:r>
            <w:r>
              <w:rPr>
                <w:rFonts w:hint="default" w:ascii="Times New Roman" w:hAnsi="Times New Roman" w:cs="Times New Roman"/>
                <w:i/>
                <w:color w:val="auto"/>
                <w:sz w:val="24"/>
                <w:highlight w:val="none"/>
                <w:vertAlign w:val="subscript"/>
              </w:rPr>
              <w:t>P1</w:t>
            </w:r>
            <w:r>
              <w:rPr>
                <w:rFonts w:hint="default" w:ascii="Times New Roman" w:hAnsi="Times New Roman" w:cs="Times New Roman"/>
                <w:color w:val="auto"/>
                <w:sz w:val="24"/>
                <w:highlight w:val="none"/>
              </w:rPr>
              <w:t>和</w:t>
            </w:r>
            <w:r>
              <w:rPr>
                <w:rFonts w:hint="default" w:ascii="Times New Roman" w:hAnsi="Times New Roman" w:cs="Times New Roman"/>
                <w:i/>
                <w:color w:val="auto"/>
                <w:sz w:val="24"/>
                <w:highlight w:val="none"/>
              </w:rPr>
              <w:t>L</w:t>
            </w:r>
            <w:r>
              <w:rPr>
                <w:rFonts w:hint="default" w:ascii="Times New Roman" w:hAnsi="Times New Roman" w:cs="Times New Roman"/>
                <w:i/>
                <w:color w:val="auto"/>
                <w:sz w:val="24"/>
                <w:highlight w:val="none"/>
                <w:vertAlign w:val="subscript"/>
              </w:rPr>
              <w:t>P2</w:t>
            </w:r>
            <w:r>
              <w:rPr>
                <w:rFonts w:hint="default" w:ascii="Times New Roman" w:hAnsi="Times New Roman" w:cs="Times New Roman"/>
                <w:color w:val="auto"/>
                <w:sz w:val="24"/>
                <w:highlight w:val="none"/>
              </w:rPr>
              <w:t>。若声源所在室内声场为近似扩散声场，则室外的倍频带声压级可按下式近似求出：</w:t>
            </w:r>
          </w:p>
          <w:p w14:paraId="08159C15">
            <w:pPr>
              <w:snapToGrid w:val="0"/>
              <w:spacing w:line="360" w:lineRule="auto"/>
              <w:ind w:firstLine="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GB" w:eastAsia="zh-TW"/>
              </w:rPr>
              <w:object>
                <v:shape id="_x0000_i1031" o:spt="75" type="#_x0000_t75" style="height:15.45pt;width:97.7pt;" o:ole="t" filled="f" o:preferrelative="t" stroked="f" coordsize="21600,21600">
                  <v:path/>
                  <v:fill on="f" focussize="0,0"/>
                  <v:stroke on="f" joinstyle="miter"/>
                  <v:imagedata r:id="rId23" o:title=""/>
                  <o:lock v:ext="edit" aspectratio="t"/>
                  <w10:wrap type="none"/>
                  <w10:anchorlock/>
                </v:shape>
                <o:OLEObject Type="Embed" ProgID="Equation.3" ShapeID="_x0000_i1031" DrawAspect="Content" ObjectID="_1468075731" r:id="rId22">
                  <o:LockedField>false</o:LockedField>
                </o:OLEObject>
              </w:object>
            </w:r>
          </w:p>
          <w:p w14:paraId="50B4002F">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color w:val="auto"/>
                <w:sz w:val="24"/>
                <w:highlight w:val="none"/>
                <w:lang w:val="en-GB" w:eastAsia="zh-TW"/>
              </w:rPr>
              <w:object>
                <v:shape id="_x0000_i1032" o:spt="75" type="#_x0000_t75" style="height:13.35pt;width:15.45pt;" o:ole="t" filled="f" o:preferrelative="t" stroked="f" coordsize="21600,21600">
                  <v:path/>
                  <v:fill on="f" focussize="0,0"/>
                  <v:stroke on="f" joinstyle="miter"/>
                  <v:imagedata r:id="rId25" o:title=""/>
                  <o:lock v:ext="edit" aspectratio="t"/>
                  <w10:wrap type="none"/>
                  <w10:anchorlock/>
                </v:shape>
                <o:OLEObject Type="Embed" ProgID="Equation.3" ShapeID="_x0000_i1032" DrawAspect="Content" ObjectID="_1468075732" r:id="rId24">
                  <o:LockedField>false</o:LockedField>
                </o:OLEObject>
              </w:object>
            </w:r>
            <w:r>
              <w:rPr>
                <w:rFonts w:hint="default" w:ascii="Times New Roman" w:hAnsi="Times New Roman" w:cs="Times New Roman"/>
                <w:color w:val="auto"/>
                <w:sz w:val="24"/>
                <w:highlight w:val="none"/>
              </w:rPr>
              <w:t>---隔墙（或窗户）倍频带的隔声量，dB（A）。</w:t>
            </w:r>
          </w:p>
          <w:p w14:paraId="33A63E58">
            <w:pPr>
              <w:adjustRightInd w:val="0"/>
              <w:snapToGrid w:val="0"/>
              <w:spacing w:line="360" w:lineRule="auto"/>
              <w:ind w:firstLine="480" w:firstLineChars="200"/>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sz w:val="24"/>
                <w:highlight w:val="none"/>
              </w:rPr>
              <w:t>②</w:t>
            </w:r>
            <w:r>
              <w:rPr>
                <w:rFonts w:hint="default" w:ascii="Times New Roman" w:hAnsi="Times New Roman" w:cs="Times New Roman"/>
                <w:color w:val="auto"/>
                <w:spacing w:val="4"/>
                <w:sz w:val="24"/>
                <w:highlight w:val="none"/>
              </w:rPr>
              <w:t>衰减预测</w:t>
            </w:r>
          </w:p>
          <w:p w14:paraId="711E89DC">
            <w:pPr>
              <w:adjustRightInd w:val="0"/>
              <w:snapToGrid w:val="0"/>
              <w:spacing w:line="360" w:lineRule="auto"/>
              <w:ind w:firstLine="420" w:firstLineChars="200"/>
              <w:jc w:val="center"/>
              <w:rPr>
                <w:rFonts w:hint="default" w:ascii="Times New Roman" w:hAnsi="Times New Roman" w:cs="Times New Roman"/>
                <w:color w:val="auto"/>
                <w:spacing w:val="4"/>
                <w:sz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"C:\\Users\\ADMINI~1\\AppData\\Local\\Temp\\ksohtml7844\\wps1.png"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1887220" cy="400685"/>
                  <wp:effectExtent l="0" t="0" r="0" b="18415"/>
                  <wp:docPr id="24" name="图片 8"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wps1"/>
                          <pic:cNvPicPr>
                            <a:picLocks noChangeAspect="1"/>
                          </pic:cNvPicPr>
                        </pic:nvPicPr>
                        <pic:blipFill>
                          <a:blip r:embed="rId26" cstate="print"/>
                          <a:stretch>
                            <a:fillRect/>
                          </a:stretch>
                        </pic:blipFill>
                        <pic:spPr>
                          <a:xfrm>
                            <a:off x="0" y="0"/>
                            <a:ext cx="1887220" cy="400685"/>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r>
              <w:rPr>
                <w:rFonts w:hint="default" w:ascii="Times New Roman" w:hAnsi="Times New Roman" w:cs="Times New Roman"/>
                <w:color w:val="auto"/>
                <w:spacing w:val="4"/>
                <w:sz w:val="24"/>
                <w:highlight w:val="none"/>
              </w:rPr>
              <w:t xml:space="preserve"> </w:t>
            </w:r>
          </w:p>
          <w:p w14:paraId="48A480C1">
            <w:pPr>
              <w:adjustRightInd w:val="0"/>
              <w:snapToGrid w:val="0"/>
              <w:spacing w:line="360" w:lineRule="auto"/>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式中：</w:t>
            </w:r>
          </w:p>
          <w:p w14:paraId="358B9F71">
            <w:pPr>
              <w:adjustRightInd w:val="0"/>
              <w:snapToGrid w:val="0"/>
              <w:spacing w:line="360" w:lineRule="auto"/>
              <w:ind w:firstLine="420" w:firstLineChars="200"/>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"C:\\Users\\ADMINI~1\\AppData\\Local\\Temp\\ksohtml7844\\wps2.png"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189230" cy="247015"/>
                  <wp:effectExtent l="0" t="0" r="1270" b="635"/>
                  <wp:docPr id="25" name="图片 9"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wps2"/>
                          <pic:cNvPicPr>
                            <a:picLocks noChangeAspect="1"/>
                          </pic:cNvPicPr>
                        </pic:nvPicPr>
                        <pic:blipFill>
                          <a:blip r:embed="rId27" cstate="print"/>
                          <a:stretch>
                            <a:fillRect/>
                          </a:stretch>
                        </pic:blipFill>
                        <pic:spPr>
                          <a:xfrm>
                            <a:off x="0" y="0"/>
                            <a:ext cx="189230" cy="247015"/>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r>
              <w:rPr>
                <w:rFonts w:hint="default" w:ascii="Times New Roman" w:hAnsi="Times New Roman" w:cs="Times New Roman"/>
                <w:color w:val="auto"/>
                <w:spacing w:val="4"/>
                <w:sz w:val="24"/>
                <w:highlight w:val="none"/>
              </w:rPr>
              <w:t>——距声源r米处的噪声预测值，dB（A）；</w:t>
            </w:r>
          </w:p>
          <w:p w14:paraId="53467072">
            <w:pPr>
              <w:adjustRightInd w:val="0"/>
              <w:snapToGrid w:val="0"/>
              <w:spacing w:line="360" w:lineRule="auto"/>
              <w:ind w:firstLine="420" w:firstLineChars="200"/>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"C:\\Users\\ADMINI~1\\AppData\\Local\\Temp\\ksohtml7844\\wps3.png"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227965" cy="247015"/>
                  <wp:effectExtent l="0" t="0" r="635" b="635"/>
                  <wp:docPr id="26" name="图片 10"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wps5"/>
                          <pic:cNvPicPr>
                            <a:picLocks noChangeAspect="1"/>
                          </pic:cNvPicPr>
                        </pic:nvPicPr>
                        <pic:blipFill>
                          <a:blip r:embed="rId28" cstate="print"/>
                          <a:stretch>
                            <a:fillRect/>
                          </a:stretch>
                        </pic:blipFill>
                        <pic:spPr>
                          <a:xfrm>
                            <a:off x="0" y="0"/>
                            <a:ext cx="227965" cy="247015"/>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r>
              <w:rPr>
                <w:rFonts w:hint="default" w:ascii="Times New Roman" w:hAnsi="Times New Roman" w:cs="Times New Roman"/>
                <w:color w:val="auto"/>
                <w:spacing w:val="4"/>
                <w:sz w:val="24"/>
                <w:highlight w:val="none"/>
              </w:rPr>
              <w:t>——距声源r</w:t>
            </w:r>
            <w:r>
              <w:rPr>
                <w:rFonts w:hint="default" w:ascii="Times New Roman" w:hAnsi="Times New Roman" w:cs="Times New Roman"/>
                <w:color w:val="auto"/>
                <w:spacing w:val="4"/>
                <w:sz w:val="24"/>
                <w:highlight w:val="none"/>
                <w:vertAlign w:val="subscript"/>
              </w:rPr>
              <w:t>o</w:t>
            </w:r>
            <w:r>
              <w:rPr>
                <w:rFonts w:hint="default" w:ascii="Times New Roman" w:hAnsi="Times New Roman" w:cs="Times New Roman"/>
                <w:color w:val="auto"/>
                <w:spacing w:val="4"/>
                <w:sz w:val="24"/>
                <w:highlight w:val="none"/>
              </w:rPr>
              <w:t>米处的参考声级，dB（A）；</w:t>
            </w:r>
          </w:p>
          <w:p w14:paraId="20AD54D3">
            <w:pPr>
              <w:adjustRightInd w:val="0"/>
              <w:snapToGrid w:val="0"/>
              <w:spacing w:line="360" w:lineRule="auto"/>
              <w:ind w:firstLine="420" w:firstLineChars="200"/>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"C:\\Users\\ADMINI~1\\AppData\\Local\\Temp\\ksohtml7844\\wps4.png"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134620" cy="227965"/>
                  <wp:effectExtent l="0" t="0" r="17780" b="635"/>
                  <wp:docPr id="27" name="图片 11"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wps4"/>
                          <pic:cNvPicPr>
                            <a:picLocks noChangeAspect="1"/>
                          </pic:cNvPicPr>
                        </pic:nvPicPr>
                        <pic:blipFill>
                          <a:blip r:embed="rId29" cstate="print"/>
                          <a:stretch>
                            <a:fillRect/>
                          </a:stretch>
                        </pic:blipFill>
                        <pic:spPr>
                          <a:xfrm>
                            <a:off x="0" y="0"/>
                            <a:ext cx="134620" cy="227965"/>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r>
              <w:rPr>
                <w:rFonts w:hint="default" w:ascii="Times New Roman" w:hAnsi="Times New Roman" w:cs="Times New Roman"/>
                <w:color w:val="auto"/>
                <w:spacing w:val="4"/>
                <w:sz w:val="24"/>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"C:\\Users\\ADMINI~1\\AppData\\Local\\Temp\\ksohtml7844\\wps5.png"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227965" cy="247015"/>
                  <wp:effectExtent l="0" t="0" r="635" b="635"/>
                  <wp:docPr id="28" name="图片 12"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wps5"/>
                          <pic:cNvPicPr>
                            <a:picLocks noChangeAspect="1"/>
                          </pic:cNvPicPr>
                        </pic:nvPicPr>
                        <pic:blipFill>
                          <a:blip r:embed="rId28" cstate="print"/>
                          <a:stretch>
                            <a:fillRect/>
                          </a:stretch>
                        </pic:blipFill>
                        <pic:spPr>
                          <a:xfrm>
                            <a:off x="0" y="0"/>
                            <a:ext cx="227965" cy="247015"/>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r>
              <w:rPr>
                <w:rFonts w:hint="default" w:ascii="Times New Roman" w:hAnsi="Times New Roman" w:cs="Times New Roman"/>
                <w:color w:val="auto"/>
                <w:spacing w:val="4"/>
                <w:sz w:val="24"/>
                <w:highlight w:val="none"/>
              </w:rPr>
              <w:t>噪声的测点距离（5m或1m），m；</w:t>
            </w:r>
          </w:p>
          <w:p w14:paraId="355020CD">
            <w:pPr>
              <w:adjustRightInd w:val="0"/>
              <w:snapToGrid w:val="0"/>
              <w:spacing w:line="360" w:lineRule="auto"/>
              <w:ind w:firstLine="496" w:firstLineChars="200"/>
              <w:jc w:val="left"/>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△L——采取各种措施后的噪声衰减量，dB（A）。</w:t>
            </w:r>
          </w:p>
          <w:p w14:paraId="3A05C79B">
            <w:pPr>
              <w:pStyle w:val="41"/>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③多声源声压级的叠加</w:t>
            </w:r>
          </w:p>
          <w:tbl>
            <w:tblPr>
              <w:tblStyle w:val="32"/>
              <w:tblW w:w="2851" w:type="dxa"/>
              <w:tblCellSpacing w:w="0" w:type="dxa"/>
              <w:tblInd w:w="2882" w:type="dxa"/>
              <w:tblLayout w:type="fixed"/>
              <w:tblCellMar>
                <w:top w:w="0" w:type="dxa"/>
                <w:left w:w="0" w:type="dxa"/>
                <w:bottom w:w="0" w:type="dxa"/>
                <w:right w:w="0" w:type="dxa"/>
              </w:tblCellMar>
            </w:tblPr>
            <w:tblGrid>
              <w:gridCol w:w="2851"/>
            </w:tblGrid>
            <w:tr w14:paraId="5E59DA8B">
              <w:tblPrEx>
                <w:tblCellMar>
                  <w:top w:w="0" w:type="dxa"/>
                  <w:left w:w="0" w:type="dxa"/>
                  <w:bottom w:w="0" w:type="dxa"/>
                  <w:right w:w="0" w:type="dxa"/>
                </w:tblCellMar>
              </w:tblPrEx>
              <w:trPr>
                <w:tblCellSpacing w:w="0" w:type="dxa"/>
              </w:trPr>
              <w:tc>
                <w:tcPr>
                  <w:tcW w:w="2851" w:type="dxa"/>
                  <w:vAlign w:val="center"/>
                </w:tcPr>
                <w:p w14:paraId="10942450">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fldChar w:fldCharType="begin"/>
                  </w:r>
                  <w:r>
                    <w:rPr>
                      <w:rFonts w:hint="default" w:ascii="Times New Roman" w:hAnsi="Times New Roman" w:cs="Times New Roman"/>
                      <w:color w:val="auto"/>
                      <w:kern w:val="0"/>
                      <w:sz w:val="24"/>
                      <w:highlight w:val="none"/>
                    </w:rPr>
                    <w:instrText xml:space="preserve"> INCLUDEPICTURE "C:\\Users\\ADMINI~1\\AppData\\Local\\Temp\\ksohtml7844\\wps6.png" \* MERGEFORMATINET </w:instrText>
                  </w:r>
                  <w:r>
                    <w:rPr>
                      <w:rFonts w:hint="default" w:ascii="Times New Roman" w:hAnsi="Times New Roman" w:cs="Times New Roman"/>
                      <w:color w:val="auto"/>
                      <w:kern w:val="0"/>
                      <w:sz w:val="24"/>
                      <w:highlight w:val="none"/>
                    </w:rPr>
                    <w:fldChar w:fldCharType="separate"/>
                  </w:r>
                  <w:r>
                    <w:rPr>
                      <w:rFonts w:hint="default" w:ascii="Times New Roman" w:hAnsi="Times New Roman" w:cs="Times New Roman"/>
                      <w:color w:val="auto"/>
                      <w:kern w:val="0"/>
                      <w:sz w:val="24"/>
                      <w:highlight w:val="none"/>
                    </w:rPr>
                    <w:drawing>
                      <wp:inline distT="0" distB="0" distL="114300" distR="114300">
                        <wp:extent cx="1810385" cy="447040"/>
                        <wp:effectExtent l="0" t="0" r="0" b="10795"/>
                        <wp:docPr id="29" name="图片 13"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wps6"/>
                                <pic:cNvPicPr>
                                  <a:picLocks noChangeAspect="1"/>
                                </pic:cNvPicPr>
                              </pic:nvPicPr>
                              <pic:blipFill>
                                <a:blip r:embed="rId30" cstate="print"/>
                                <a:stretch>
                                  <a:fillRect/>
                                </a:stretch>
                              </pic:blipFill>
                              <pic:spPr>
                                <a:xfrm>
                                  <a:off x="0" y="0"/>
                                  <a:ext cx="1810385" cy="447040"/>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fldChar w:fldCharType="end"/>
                  </w:r>
                </w:p>
              </w:tc>
            </w:tr>
          </w:tbl>
          <w:p w14:paraId="3EFBB316">
            <w:pPr>
              <w:autoSpaceDE w:val="0"/>
              <w:autoSpaceDN w:val="0"/>
              <w:spacing w:line="360" w:lineRule="auto"/>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当有多个声源共同作用时，受声点的总声级计算公式： </w:t>
            </w:r>
          </w:p>
          <w:p w14:paraId="4D31D11A">
            <w:pPr>
              <w:pStyle w:val="43"/>
              <w:snapToGrid w:val="0"/>
              <w:spacing w:line="360" w:lineRule="auto"/>
              <w:ind w:firstLine="240" w:firstLineChars="10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sz w:val="24"/>
                <w:szCs w:val="24"/>
                <w:highlight w:val="none"/>
              </w:rPr>
              <w:t>式中：Leq为某受声点总声级；Li为第i个声源在受声点产生的声级。</w:t>
            </w:r>
          </w:p>
          <w:p w14:paraId="27C07CC2">
            <w:pPr>
              <w:adjustRightInd w:val="0"/>
              <w:snapToGrid w:val="0"/>
              <w:spacing w:line="360" w:lineRule="auto"/>
              <w:ind w:firstLine="480" w:firstLineChars="200"/>
              <w:textAlignment w:val="baseline"/>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color w:val="auto"/>
                <w:sz w:val="24"/>
                <w:highlight w:val="none"/>
              </w:rPr>
              <w:t>经预测可知，</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四侧厂界噪声预测结果见下表</w:t>
            </w:r>
            <w:r>
              <w:rPr>
                <w:rFonts w:hint="default" w:ascii="Times New Roman" w:hAnsi="Times New Roman" w:cs="Times New Roman"/>
                <w:color w:val="auto"/>
                <w:sz w:val="24"/>
                <w:highlight w:val="none"/>
                <w:lang w:eastAsia="zh-CN"/>
              </w:rPr>
              <w:t>。</w:t>
            </w:r>
          </w:p>
          <w:p w14:paraId="6D55933E">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highlight w:val="none"/>
              </w:rPr>
              <w:t>表</w:t>
            </w:r>
            <w:r>
              <w:rPr>
                <w:rFonts w:hint="default" w:ascii="Times New Roman" w:hAnsi="Times New Roman" w:cs="Times New Roman"/>
                <w:b/>
                <w:color w:val="auto"/>
                <w:szCs w:val="21"/>
                <w:highlight w:val="none"/>
              </w:rPr>
              <w:t>4-</w:t>
            </w:r>
            <w:r>
              <w:rPr>
                <w:rFonts w:hint="default" w:ascii="Times New Roman" w:hAnsi="Times New Roman" w:cs="Times New Roman"/>
                <w:b/>
                <w:color w:val="auto"/>
                <w:szCs w:val="21"/>
                <w:highlight w:val="none"/>
                <w:lang w:val="en-US" w:eastAsia="zh-CN"/>
              </w:rPr>
              <w:t>12</w:t>
            </w:r>
            <w:r>
              <w:rPr>
                <w:rFonts w:hint="default" w:ascii="Times New Roman" w:hAnsi="Times New Roman" w:cs="Times New Roman"/>
                <w:b/>
                <w:color w:val="auto"/>
                <w:szCs w:val="21"/>
                <w:highlight w:val="none"/>
              </w:rPr>
              <w:t xml:space="preserve">  项目厂界噪声预测结果统计表    单位：dB(A)</w:t>
            </w:r>
          </w:p>
          <w:tbl>
            <w:tblPr>
              <w:tblStyle w:val="32"/>
              <w:tblW w:w="85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803"/>
              <w:gridCol w:w="993"/>
              <w:gridCol w:w="1417"/>
              <w:gridCol w:w="709"/>
              <w:gridCol w:w="709"/>
              <w:gridCol w:w="1188"/>
            </w:tblGrid>
            <w:tr w14:paraId="61649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0" w:hRule="atLeast"/>
                <w:jc w:val="center"/>
              </w:trPr>
              <w:tc>
                <w:tcPr>
                  <w:tcW w:w="1101" w:type="dxa"/>
                  <w:vMerge w:val="restart"/>
                  <w:tcBorders>
                    <w:tl2br w:val="nil"/>
                    <w:tr2bl w:val="nil"/>
                  </w:tcBorders>
                  <w:shd w:val="clear" w:color="auto" w:fill="auto"/>
                  <w:vAlign w:val="center"/>
                </w:tcPr>
                <w:p w14:paraId="5458E847">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预测方位</w:t>
                  </w:r>
                </w:p>
              </w:tc>
              <w:tc>
                <w:tcPr>
                  <w:tcW w:w="2409" w:type="dxa"/>
                  <w:gridSpan w:val="3"/>
                  <w:tcBorders>
                    <w:tl2br w:val="nil"/>
                    <w:tr2bl w:val="nil"/>
                  </w:tcBorders>
                  <w:shd w:val="clear" w:color="auto" w:fill="auto"/>
                  <w:vAlign w:val="center"/>
                </w:tcPr>
                <w:p w14:paraId="7AF5D182">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val="en-US" w:eastAsia="zh-CN"/>
                    </w:rPr>
                    <w:t>最大值点</w:t>
                  </w:r>
                  <w:r>
                    <w:rPr>
                      <w:rFonts w:hint="default" w:ascii="Times New Roman" w:hAnsi="Times New Roman" w:cs="Times New Roman" w:eastAsiaTheme="minorEastAsia"/>
                      <w:b w:val="0"/>
                      <w:bCs/>
                      <w:sz w:val="21"/>
                      <w:szCs w:val="21"/>
                    </w:rPr>
                    <w:t>空间相对位置/m</w:t>
                  </w:r>
                </w:p>
              </w:tc>
              <w:tc>
                <w:tcPr>
                  <w:tcW w:w="993" w:type="dxa"/>
                  <w:vMerge w:val="restart"/>
                  <w:tcBorders>
                    <w:tl2br w:val="nil"/>
                    <w:tr2bl w:val="nil"/>
                  </w:tcBorders>
                  <w:shd w:val="clear" w:color="auto" w:fill="auto"/>
                  <w:vAlign w:val="center"/>
                </w:tcPr>
                <w:p w14:paraId="6145F76B">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时段</w:t>
                  </w:r>
                </w:p>
              </w:tc>
              <w:tc>
                <w:tcPr>
                  <w:tcW w:w="1417" w:type="dxa"/>
                  <w:vMerge w:val="restart"/>
                  <w:tcBorders>
                    <w:tl2br w:val="nil"/>
                    <w:tr2bl w:val="nil"/>
                  </w:tcBorders>
                  <w:shd w:val="clear" w:color="auto" w:fill="auto"/>
                  <w:vAlign w:val="center"/>
                </w:tcPr>
                <w:p w14:paraId="43A756E9">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贡献值（dB(A)）</w:t>
                  </w:r>
                </w:p>
              </w:tc>
              <w:tc>
                <w:tcPr>
                  <w:tcW w:w="1418" w:type="dxa"/>
                  <w:gridSpan w:val="2"/>
                  <w:tcBorders>
                    <w:tl2br w:val="nil"/>
                    <w:tr2bl w:val="nil"/>
                  </w:tcBorders>
                  <w:shd w:val="clear" w:color="auto" w:fill="auto"/>
                  <w:vAlign w:val="center"/>
                </w:tcPr>
                <w:p w14:paraId="5552F550">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标准限值（dB(A)）</w:t>
                  </w:r>
                </w:p>
              </w:tc>
              <w:tc>
                <w:tcPr>
                  <w:tcW w:w="1188" w:type="dxa"/>
                  <w:vMerge w:val="restart"/>
                  <w:tcBorders>
                    <w:tl2br w:val="nil"/>
                    <w:tr2bl w:val="nil"/>
                  </w:tcBorders>
                  <w:shd w:val="clear" w:color="auto" w:fill="auto"/>
                  <w:vAlign w:val="center"/>
                </w:tcPr>
                <w:p w14:paraId="02EDB5B6">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达标情况</w:t>
                  </w:r>
                </w:p>
              </w:tc>
            </w:tr>
            <w:tr w14:paraId="5B039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0" w:hRule="atLeast"/>
                <w:jc w:val="center"/>
              </w:trPr>
              <w:tc>
                <w:tcPr>
                  <w:tcW w:w="1101" w:type="dxa"/>
                  <w:vMerge w:val="continue"/>
                  <w:tcBorders>
                    <w:tl2br w:val="nil"/>
                    <w:tr2bl w:val="nil"/>
                  </w:tcBorders>
                  <w:shd w:val="clear" w:color="auto" w:fill="auto"/>
                  <w:vAlign w:val="center"/>
                </w:tcPr>
                <w:p w14:paraId="06F1A95F">
                  <w:pPr>
                    <w:jc w:val="center"/>
                    <w:rPr>
                      <w:rFonts w:hint="default" w:ascii="Times New Roman" w:hAnsi="Times New Roman" w:cs="Times New Roman" w:eastAsiaTheme="minorEastAsia"/>
                      <w:b w:val="0"/>
                      <w:bCs/>
                      <w:sz w:val="21"/>
                      <w:szCs w:val="21"/>
                    </w:rPr>
                  </w:pPr>
                </w:p>
              </w:tc>
              <w:tc>
                <w:tcPr>
                  <w:tcW w:w="803" w:type="dxa"/>
                  <w:tcBorders>
                    <w:tl2br w:val="nil"/>
                    <w:tr2bl w:val="nil"/>
                  </w:tcBorders>
                  <w:shd w:val="clear" w:color="auto" w:fill="auto"/>
                  <w:vAlign w:val="center"/>
                </w:tcPr>
                <w:p w14:paraId="0EFB8AF3">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X</w:t>
                  </w:r>
                </w:p>
              </w:tc>
              <w:tc>
                <w:tcPr>
                  <w:tcW w:w="803" w:type="dxa"/>
                  <w:tcBorders>
                    <w:tl2br w:val="nil"/>
                    <w:tr2bl w:val="nil"/>
                  </w:tcBorders>
                  <w:shd w:val="clear" w:color="auto" w:fill="auto"/>
                  <w:vAlign w:val="center"/>
                </w:tcPr>
                <w:p w14:paraId="3D60BB1B">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Y</w:t>
                  </w:r>
                </w:p>
              </w:tc>
              <w:tc>
                <w:tcPr>
                  <w:tcW w:w="803" w:type="dxa"/>
                  <w:tcBorders>
                    <w:tl2br w:val="nil"/>
                    <w:tr2bl w:val="nil"/>
                  </w:tcBorders>
                  <w:shd w:val="clear" w:color="auto" w:fill="auto"/>
                  <w:vAlign w:val="center"/>
                </w:tcPr>
                <w:p w14:paraId="34D67EBC">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Z</w:t>
                  </w:r>
                </w:p>
              </w:tc>
              <w:tc>
                <w:tcPr>
                  <w:tcW w:w="993" w:type="dxa"/>
                  <w:vMerge w:val="continue"/>
                  <w:tcBorders>
                    <w:tl2br w:val="nil"/>
                    <w:tr2bl w:val="nil"/>
                  </w:tcBorders>
                  <w:shd w:val="clear" w:color="auto" w:fill="auto"/>
                  <w:vAlign w:val="center"/>
                </w:tcPr>
                <w:p w14:paraId="3F0082E1">
                  <w:pPr>
                    <w:jc w:val="center"/>
                    <w:rPr>
                      <w:rFonts w:hint="default" w:ascii="Times New Roman" w:hAnsi="Times New Roman" w:cs="Times New Roman" w:eastAsiaTheme="minorEastAsia"/>
                      <w:b w:val="0"/>
                      <w:bCs/>
                      <w:sz w:val="21"/>
                      <w:szCs w:val="21"/>
                    </w:rPr>
                  </w:pPr>
                </w:p>
              </w:tc>
              <w:tc>
                <w:tcPr>
                  <w:tcW w:w="1417" w:type="dxa"/>
                  <w:vMerge w:val="continue"/>
                  <w:tcBorders>
                    <w:tl2br w:val="nil"/>
                    <w:tr2bl w:val="nil"/>
                  </w:tcBorders>
                  <w:shd w:val="clear" w:color="auto" w:fill="auto"/>
                  <w:vAlign w:val="center"/>
                </w:tcPr>
                <w:p w14:paraId="7D9FE416">
                  <w:pPr>
                    <w:jc w:val="center"/>
                    <w:rPr>
                      <w:rFonts w:hint="default" w:ascii="Times New Roman" w:hAnsi="Times New Roman" w:cs="Times New Roman" w:eastAsiaTheme="minorEastAsia"/>
                      <w:b w:val="0"/>
                      <w:bCs/>
                      <w:sz w:val="21"/>
                      <w:szCs w:val="21"/>
                    </w:rPr>
                  </w:pPr>
                </w:p>
              </w:tc>
              <w:tc>
                <w:tcPr>
                  <w:tcW w:w="709" w:type="dxa"/>
                  <w:tcBorders>
                    <w:tl2br w:val="nil"/>
                    <w:tr2bl w:val="nil"/>
                  </w:tcBorders>
                  <w:shd w:val="clear" w:color="auto" w:fill="auto"/>
                  <w:vAlign w:val="center"/>
                </w:tcPr>
                <w:p w14:paraId="024F5839">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昼</w:t>
                  </w:r>
                  <w:r>
                    <w:rPr>
                      <w:rFonts w:hint="default" w:ascii="Times New Roman" w:hAnsi="Times New Roman" w:cs="Times New Roman" w:eastAsiaTheme="minorEastAsia"/>
                      <w:b w:val="0"/>
                      <w:bCs/>
                      <w:sz w:val="21"/>
                      <w:szCs w:val="21"/>
                      <w:lang w:val="en-US" w:eastAsia="zh-CN"/>
                    </w:rPr>
                    <w:t>间</w:t>
                  </w:r>
                </w:p>
              </w:tc>
              <w:tc>
                <w:tcPr>
                  <w:tcW w:w="709" w:type="dxa"/>
                  <w:tcBorders>
                    <w:tl2br w:val="nil"/>
                    <w:tr2bl w:val="nil"/>
                  </w:tcBorders>
                  <w:shd w:val="clear" w:color="auto" w:fill="auto"/>
                  <w:vAlign w:val="center"/>
                </w:tcPr>
                <w:p w14:paraId="14030B5E">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夜</w:t>
                  </w:r>
                  <w:r>
                    <w:rPr>
                      <w:rFonts w:hint="default" w:ascii="Times New Roman" w:hAnsi="Times New Roman" w:cs="Times New Roman" w:eastAsiaTheme="minorEastAsia"/>
                      <w:b w:val="0"/>
                      <w:bCs/>
                      <w:sz w:val="21"/>
                      <w:szCs w:val="21"/>
                    </w:rPr>
                    <w:t>间</w:t>
                  </w:r>
                </w:p>
              </w:tc>
              <w:tc>
                <w:tcPr>
                  <w:tcW w:w="1188" w:type="dxa"/>
                  <w:vMerge w:val="continue"/>
                  <w:tcBorders>
                    <w:tl2br w:val="nil"/>
                    <w:tr2bl w:val="nil"/>
                  </w:tcBorders>
                  <w:shd w:val="clear" w:color="auto" w:fill="auto"/>
                  <w:vAlign w:val="center"/>
                </w:tcPr>
                <w:p w14:paraId="34B70B39">
                  <w:pPr>
                    <w:jc w:val="center"/>
                    <w:rPr>
                      <w:rFonts w:hint="default" w:ascii="Times New Roman" w:hAnsi="Times New Roman" w:cs="Times New Roman" w:eastAsiaTheme="minorEastAsia"/>
                      <w:b w:val="0"/>
                      <w:bCs/>
                      <w:sz w:val="21"/>
                      <w:szCs w:val="21"/>
                    </w:rPr>
                  </w:pPr>
                </w:p>
              </w:tc>
            </w:tr>
            <w:tr w14:paraId="46481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0" w:hRule="atLeast"/>
                <w:jc w:val="center"/>
              </w:trPr>
              <w:tc>
                <w:tcPr>
                  <w:tcW w:w="1101" w:type="dxa"/>
                  <w:tcBorders>
                    <w:tl2br w:val="nil"/>
                    <w:tr2bl w:val="nil"/>
                  </w:tcBorders>
                  <w:shd w:val="clear" w:color="auto" w:fill="auto"/>
                  <w:vAlign w:val="center"/>
                </w:tcPr>
                <w:p w14:paraId="5E2B327B">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东侧</w:t>
                  </w:r>
                </w:p>
              </w:tc>
              <w:tc>
                <w:tcPr>
                  <w:tcW w:w="803" w:type="dxa"/>
                  <w:tcBorders>
                    <w:tl2br w:val="nil"/>
                    <w:tr2bl w:val="nil"/>
                  </w:tcBorders>
                  <w:shd w:val="clear" w:color="auto" w:fill="auto"/>
                  <w:vAlign w:val="center"/>
                </w:tcPr>
                <w:p w14:paraId="61E66B51">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47.3</w:t>
                  </w:r>
                </w:p>
              </w:tc>
              <w:tc>
                <w:tcPr>
                  <w:tcW w:w="803" w:type="dxa"/>
                  <w:tcBorders>
                    <w:tl2br w:val="nil"/>
                    <w:tr2bl w:val="nil"/>
                  </w:tcBorders>
                  <w:shd w:val="clear" w:color="auto" w:fill="auto"/>
                  <w:vAlign w:val="center"/>
                </w:tcPr>
                <w:p w14:paraId="3140D99A">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14.6</w:t>
                  </w:r>
                </w:p>
              </w:tc>
              <w:tc>
                <w:tcPr>
                  <w:tcW w:w="803" w:type="dxa"/>
                  <w:tcBorders>
                    <w:tl2br w:val="nil"/>
                    <w:tr2bl w:val="nil"/>
                  </w:tcBorders>
                  <w:shd w:val="clear" w:color="auto" w:fill="auto"/>
                  <w:vAlign w:val="center"/>
                </w:tcPr>
                <w:p w14:paraId="128DDA13">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1.2</w:t>
                  </w:r>
                </w:p>
              </w:tc>
              <w:tc>
                <w:tcPr>
                  <w:tcW w:w="993" w:type="dxa"/>
                  <w:tcBorders>
                    <w:tl2br w:val="nil"/>
                    <w:tr2bl w:val="nil"/>
                  </w:tcBorders>
                  <w:shd w:val="clear" w:color="auto" w:fill="auto"/>
                  <w:vAlign w:val="center"/>
                </w:tcPr>
                <w:p w14:paraId="68C1594F">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昼</w:t>
                  </w:r>
                  <w:r>
                    <w:rPr>
                      <w:rFonts w:hint="default" w:ascii="Times New Roman" w:hAnsi="Times New Roman" w:cs="Times New Roman" w:eastAsiaTheme="minorEastAsia"/>
                      <w:b w:val="0"/>
                      <w:bCs/>
                      <w:sz w:val="21"/>
                      <w:szCs w:val="21"/>
                      <w:lang w:val="en-US" w:eastAsia="zh-CN"/>
                    </w:rPr>
                    <w:t>夜</w:t>
                  </w:r>
                  <w:r>
                    <w:rPr>
                      <w:rFonts w:hint="default" w:ascii="Times New Roman" w:hAnsi="Times New Roman" w:cs="Times New Roman" w:eastAsiaTheme="minorEastAsia"/>
                      <w:b w:val="0"/>
                      <w:bCs/>
                      <w:sz w:val="21"/>
                      <w:szCs w:val="21"/>
                    </w:rPr>
                    <w:t>间</w:t>
                  </w:r>
                </w:p>
              </w:tc>
              <w:tc>
                <w:tcPr>
                  <w:tcW w:w="1417" w:type="dxa"/>
                  <w:tcBorders>
                    <w:tl2br w:val="nil"/>
                    <w:tr2bl w:val="nil"/>
                  </w:tcBorders>
                  <w:shd w:val="clear" w:color="auto" w:fill="auto"/>
                  <w:vAlign w:val="center"/>
                </w:tcPr>
                <w:p w14:paraId="4B67DE4A">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48.5</w:t>
                  </w:r>
                </w:p>
              </w:tc>
              <w:tc>
                <w:tcPr>
                  <w:tcW w:w="709" w:type="dxa"/>
                  <w:tcBorders>
                    <w:tl2br w:val="nil"/>
                    <w:tr2bl w:val="nil"/>
                  </w:tcBorders>
                  <w:shd w:val="clear" w:color="auto" w:fill="auto"/>
                  <w:vAlign w:val="center"/>
                </w:tcPr>
                <w:p w14:paraId="52E2C2C8">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rPr>
                    <w:t>6</w:t>
                  </w:r>
                  <w:r>
                    <w:rPr>
                      <w:rFonts w:hint="default" w:ascii="Times New Roman" w:hAnsi="Times New Roman" w:cs="Times New Roman" w:eastAsiaTheme="minorEastAsia"/>
                      <w:b w:val="0"/>
                      <w:bCs/>
                      <w:sz w:val="21"/>
                      <w:szCs w:val="21"/>
                      <w:lang w:val="en-US" w:eastAsia="zh-CN"/>
                    </w:rPr>
                    <w:t>5</w:t>
                  </w:r>
                </w:p>
              </w:tc>
              <w:tc>
                <w:tcPr>
                  <w:tcW w:w="709" w:type="dxa"/>
                  <w:tcBorders>
                    <w:tl2br w:val="nil"/>
                    <w:tr2bl w:val="nil"/>
                  </w:tcBorders>
                  <w:shd w:val="clear" w:color="auto" w:fill="auto"/>
                  <w:vAlign w:val="center"/>
                </w:tcPr>
                <w:p w14:paraId="37466EC6">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55</w:t>
                  </w:r>
                </w:p>
              </w:tc>
              <w:tc>
                <w:tcPr>
                  <w:tcW w:w="1188" w:type="dxa"/>
                  <w:tcBorders>
                    <w:tl2br w:val="nil"/>
                    <w:tr2bl w:val="nil"/>
                  </w:tcBorders>
                  <w:shd w:val="clear" w:color="auto" w:fill="auto"/>
                  <w:vAlign w:val="center"/>
                </w:tcPr>
                <w:p w14:paraId="1D3D7E08">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达标</w:t>
                  </w:r>
                </w:p>
              </w:tc>
            </w:tr>
            <w:tr w14:paraId="7B6C8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01" w:type="dxa"/>
                  <w:tcBorders>
                    <w:tl2br w:val="nil"/>
                    <w:tr2bl w:val="nil"/>
                  </w:tcBorders>
                  <w:shd w:val="clear" w:color="auto" w:fill="auto"/>
                  <w:vAlign w:val="center"/>
                </w:tcPr>
                <w:p w14:paraId="35495FC3">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南侧</w:t>
                  </w:r>
                </w:p>
              </w:tc>
              <w:tc>
                <w:tcPr>
                  <w:tcW w:w="803" w:type="dxa"/>
                  <w:tcBorders>
                    <w:tl2br w:val="nil"/>
                    <w:tr2bl w:val="nil"/>
                  </w:tcBorders>
                  <w:shd w:val="clear" w:color="auto" w:fill="auto"/>
                  <w:vAlign w:val="center"/>
                </w:tcPr>
                <w:p w14:paraId="7D7A2784">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rPr>
                    <w:t>12.7</w:t>
                  </w:r>
                </w:p>
              </w:tc>
              <w:tc>
                <w:tcPr>
                  <w:tcW w:w="803" w:type="dxa"/>
                  <w:tcBorders>
                    <w:tl2br w:val="nil"/>
                    <w:tr2bl w:val="nil"/>
                  </w:tcBorders>
                  <w:shd w:val="clear" w:color="auto" w:fill="auto"/>
                  <w:vAlign w:val="center"/>
                </w:tcPr>
                <w:p w14:paraId="7B9D61F3">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w:t>
                  </w:r>
                  <w:r>
                    <w:rPr>
                      <w:rFonts w:hint="default" w:ascii="Times New Roman" w:hAnsi="Times New Roman" w:cs="Times New Roman" w:eastAsiaTheme="minorEastAsia"/>
                      <w:b w:val="0"/>
                      <w:bCs/>
                      <w:sz w:val="21"/>
                      <w:szCs w:val="21"/>
                      <w:lang w:val="en-US" w:eastAsia="zh-CN"/>
                    </w:rPr>
                    <w:t>4</w:t>
                  </w:r>
                  <w:r>
                    <w:rPr>
                      <w:rFonts w:hint="default" w:ascii="Times New Roman" w:hAnsi="Times New Roman" w:cs="Times New Roman" w:eastAsiaTheme="minorEastAsia"/>
                      <w:b w:val="0"/>
                      <w:bCs/>
                      <w:sz w:val="21"/>
                      <w:szCs w:val="21"/>
                    </w:rPr>
                    <w:t>2</w:t>
                  </w:r>
                </w:p>
              </w:tc>
              <w:tc>
                <w:tcPr>
                  <w:tcW w:w="803" w:type="dxa"/>
                  <w:tcBorders>
                    <w:tl2br w:val="nil"/>
                    <w:tr2bl w:val="nil"/>
                  </w:tcBorders>
                  <w:shd w:val="clear" w:color="auto" w:fill="auto"/>
                  <w:vAlign w:val="center"/>
                </w:tcPr>
                <w:p w14:paraId="7339FC73">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1.2</w:t>
                  </w:r>
                </w:p>
              </w:tc>
              <w:tc>
                <w:tcPr>
                  <w:tcW w:w="993" w:type="dxa"/>
                  <w:tcBorders>
                    <w:tl2br w:val="nil"/>
                    <w:tr2bl w:val="nil"/>
                  </w:tcBorders>
                  <w:shd w:val="clear" w:color="auto" w:fill="auto"/>
                  <w:vAlign w:val="center"/>
                </w:tcPr>
                <w:p w14:paraId="64FD430A">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昼</w:t>
                  </w:r>
                  <w:r>
                    <w:rPr>
                      <w:rFonts w:hint="default" w:ascii="Times New Roman" w:hAnsi="Times New Roman" w:cs="Times New Roman" w:eastAsiaTheme="minorEastAsia"/>
                      <w:b w:val="0"/>
                      <w:bCs/>
                      <w:sz w:val="21"/>
                      <w:szCs w:val="21"/>
                      <w:lang w:val="en-US" w:eastAsia="zh-CN"/>
                    </w:rPr>
                    <w:t>夜</w:t>
                  </w:r>
                  <w:r>
                    <w:rPr>
                      <w:rFonts w:hint="default" w:ascii="Times New Roman" w:hAnsi="Times New Roman" w:cs="Times New Roman" w:eastAsiaTheme="minorEastAsia"/>
                      <w:b w:val="0"/>
                      <w:bCs/>
                      <w:sz w:val="21"/>
                      <w:szCs w:val="21"/>
                    </w:rPr>
                    <w:t>间</w:t>
                  </w:r>
                </w:p>
              </w:tc>
              <w:tc>
                <w:tcPr>
                  <w:tcW w:w="1417" w:type="dxa"/>
                  <w:tcBorders>
                    <w:tl2br w:val="nil"/>
                    <w:tr2bl w:val="nil"/>
                  </w:tcBorders>
                  <w:shd w:val="clear" w:color="auto" w:fill="auto"/>
                  <w:vAlign w:val="center"/>
                </w:tcPr>
                <w:p w14:paraId="5937A6EE">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50</w:t>
                  </w:r>
                  <w:r>
                    <w:rPr>
                      <w:rFonts w:hint="default" w:ascii="Times New Roman" w:hAnsi="Times New Roman" w:cs="Times New Roman" w:eastAsiaTheme="minorEastAsia"/>
                      <w:b w:val="0"/>
                      <w:bCs/>
                      <w:sz w:val="21"/>
                      <w:szCs w:val="21"/>
                    </w:rPr>
                    <w:t>.</w:t>
                  </w:r>
                  <w:r>
                    <w:rPr>
                      <w:rFonts w:hint="default" w:ascii="Times New Roman" w:hAnsi="Times New Roman" w:cs="Times New Roman" w:eastAsiaTheme="minorEastAsia"/>
                      <w:b w:val="0"/>
                      <w:bCs/>
                      <w:sz w:val="21"/>
                      <w:szCs w:val="21"/>
                      <w:lang w:val="en-US" w:eastAsia="zh-CN"/>
                    </w:rPr>
                    <w:t>2</w:t>
                  </w:r>
                </w:p>
              </w:tc>
              <w:tc>
                <w:tcPr>
                  <w:tcW w:w="709" w:type="dxa"/>
                  <w:tcBorders>
                    <w:tl2br w:val="nil"/>
                    <w:tr2bl w:val="nil"/>
                  </w:tcBorders>
                  <w:shd w:val="clear" w:color="auto" w:fill="auto"/>
                  <w:vAlign w:val="center"/>
                </w:tcPr>
                <w:p w14:paraId="17A1125B">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rPr>
                    <w:t>6</w:t>
                  </w:r>
                  <w:r>
                    <w:rPr>
                      <w:rFonts w:hint="default" w:ascii="Times New Roman" w:hAnsi="Times New Roman" w:cs="Times New Roman" w:eastAsiaTheme="minorEastAsia"/>
                      <w:b w:val="0"/>
                      <w:bCs/>
                      <w:sz w:val="21"/>
                      <w:szCs w:val="21"/>
                      <w:lang w:val="en-US" w:eastAsia="zh-CN"/>
                    </w:rPr>
                    <w:t>5</w:t>
                  </w:r>
                </w:p>
              </w:tc>
              <w:tc>
                <w:tcPr>
                  <w:tcW w:w="709" w:type="dxa"/>
                  <w:tcBorders>
                    <w:tl2br w:val="nil"/>
                    <w:tr2bl w:val="nil"/>
                  </w:tcBorders>
                  <w:shd w:val="clear" w:color="auto" w:fill="auto"/>
                  <w:vAlign w:val="center"/>
                </w:tcPr>
                <w:p w14:paraId="29E6A535">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55</w:t>
                  </w:r>
                </w:p>
              </w:tc>
              <w:tc>
                <w:tcPr>
                  <w:tcW w:w="1188" w:type="dxa"/>
                  <w:tcBorders>
                    <w:tl2br w:val="nil"/>
                    <w:tr2bl w:val="nil"/>
                  </w:tcBorders>
                  <w:shd w:val="clear" w:color="auto" w:fill="auto"/>
                  <w:vAlign w:val="center"/>
                </w:tcPr>
                <w:p w14:paraId="0598382C">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达标</w:t>
                  </w:r>
                </w:p>
              </w:tc>
            </w:tr>
            <w:tr w14:paraId="0AA84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101" w:type="dxa"/>
                  <w:tcBorders>
                    <w:tl2br w:val="nil"/>
                    <w:tr2bl w:val="nil"/>
                  </w:tcBorders>
                  <w:shd w:val="clear" w:color="auto" w:fill="auto"/>
                  <w:vAlign w:val="center"/>
                </w:tcPr>
                <w:p w14:paraId="07965521">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西侧</w:t>
                  </w:r>
                </w:p>
              </w:tc>
              <w:tc>
                <w:tcPr>
                  <w:tcW w:w="803" w:type="dxa"/>
                  <w:tcBorders>
                    <w:tl2br w:val="nil"/>
                    <w:tr2bl w:val="nil"/>
                  </w:tcBorders>
                  <w:shd w:val="clear" w:color="auto" w:fill="auto"/>
                  <w:vAlign w:val="center"/>
                </w:tcPr>
                <w:p w14:paraId="0F6960B4">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w:t>
                  </w:r>
                  <w:r>
                    <w:rPr>
                      <w:rFonts w:hint="default" w:ascii="Times New Roman" w:hAnsi="Times New Roman" w:cs="Times New Roman" w:eastAsiaTheme="minorEastAsia"/>
                      <w:b w:val="0"/>
                      <w:bCs/>
                      <w:sz w:val="21"/>
                      <w:szCs w:val="21"/>
                      <w:lang w:val="en-US" w:eastAsia="zh-CN"/>
                    </w:rPr>
                    <w:t>68</w:t>
                  </w:r>
                </w:p>
              </w:tc>
              <w:tc>
                <w:tcPr>
                  <w:tcW w:w="803" w:type="dxa"/>
                  <w:tcBorders>
                    <w:tl2br w:val="nil"/>
                    <w:tr2bl w:val="nil"/>
                  </w:tcBorders>
                  <w:shd w:val="clear" w:color="auto" w:fill="auto"/>
                  <w:vAlign w:val="center"/>
                </w:tcPr>
                <w:p w14:paraId="29E09150">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5</w:t>
                  </w:r>
                  <w:r>
                    <w:rPr>
                      <w:rFonts w:hint="default" w:ascii="Times New Roman" w:hAnsi="Times New Roman" w:cs="Times New Roman" w:eastAsiaTheme="minorEastAsia"/>
                      <w:b w:val="0"/>
                      <w:bCs/>
                      <w:sz w:val="21"/>
                      <w:szCs w:val="21"/>
                    </w:rPr>
                    <w:t>.6</w:t>
                  </w:r>
                </w:p>
              </w:tc>
              <w:tc>
                <w:tcPr>
                  <w:tcW w:w="803" w:type="dxa"/>
                  <w:tcBorders>
                    <w:tl2br w:val="nil"/>
                    <w:tr2bl w:val="nil"/>
                  </w:tcBorders>
                  <w:shd w:val="clear" w:color="auto" w:fill="auto"/>
                  <w:vAlign w:val="center"/>
                </w:tcPr>
                <w:p w14:paraId="1AFAAC53">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1.2</w:t>
                  </w:r>
                </w:p>
              </w:tc>
              <w:tc>
                <w:tcPr>
                  <w:tcW w:w="993" w:type="dxa"/>
                  <w:tcBorders>
                    <w:tl2br w:val="nil"/>
                    <w:tr2bl w:val="nil"/>
                  </w:tcBorders>
                  <w:shd w:val="clear" w:color="auto" w:fill="auto"/>
                  <w:vAlign w:val="center"/>
                </w:tcPr>
                <w:p w14:paraId="2C0B8147">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昼</w:t>
                  </w:r>
                  <w:r>
                    <w:rPr>
                      <w:rFonts w:hint="default" w:ascii="Times New Roman" w:hAnsi="Times New Roman" w:cs="Times New Roman" w:eastAsiaTheme="minorEastAsia"/>
                      <w:b w:val="0"/>
                      <w:bCs/>
                      <w:sz w:val="21"/>
                      <w:szCs w:val="21"/>
                      <w:lang w:val="en-US" w:eastAsia="zh-CN"/>
                    </w:rPr>
                    <w:t>夜</w:t>
                  </w:r>
                  <w:r>
                    <w:rPr>
                      <w:rFonts w:hint="default" w:ascii="Times New Roman" w:hAnsi="Times New Roman" w:cs="Times New Roman" w:eastAsiaTheme="minorEastAsia"/>
                      <w:b w:val="0"/>
                      <w:bCs/>
                      <w:sz w:val="21"/>
                      <w:szCs w:val="21"/>
                    </w:rPr>
                    <w:t>间</w:t>
                  </w:r>
                </w:p>
              </w:tc>
              <w:tc>
                <w:tcPr>
                  <w:tcW w:w="1417" w:type="dxa"/>
                  <w:tcBorders>
                    <w:tl2br w:val="nil"/>
                    <w:tr2bl w:val="nil"/>
                  </w:tcBorders>
                  <w:shd w:val="clear" w:color="auto" w:fill="auto"/>
                  <w:vAlign w:val="center"/>
                </w:tcPr>
                <w:p w14:paraId="618AA33B">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53.2</w:t>
                  </w:r>
                </w:p>
              </w:tc>
              <w:tc>
                <w:tcPr>
                  <w:tcW w:w="709" w:type="dxa"/>
                  <w:tcBorders>
                    <w:tl2br w:val="nil"/>
                    <w:tr2bl w:val="nil"/>
                  </w:tcBorders>
                  <w:shd w:val="clear" w:color="auto" w:fill="auto"/>
                  <w:vAlign w:val="center"/>
                </w:tcPr>
                <w:p w14:paraId="17AA6CD5">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6</w:t>
                  </w:r>
                  <w:r>
                    <w:rPr>
                      <w:rFonts w:hint="default" w:ascii="Times New Roman" w:hAnsi="Times New Roman" w:cs="Times New Roman" w:eastAsiaTheme="minorEastAsia"/>
                      <w:b w:val="0"/>
                      <w:bCs/>
                      <w:sz w:val="21"/>
                      <w:szCs w:val="21"/>
                      <w:lang w:val="en-US" w:eastAsia="zh-CN"/>
                    </w:rPr>
                    <w:t>5</w:t>
                  </w:r>
                </w:p>
              </w:tc>
              <w:tc>
                <w:tcPr>
                  <w:tcW w:w="709" w:type="dxa"/>
                  <w:tcBorders>
                    <w:tl2br w:val="nil"/>
                    <w:tr2bl w:val="nil"/>
                  </w:tcBorders>
                  <w:shd w:val="clear" w:color="auto" w:fill="auto"/>
                  <w:vAlign w:val="center"/>
                </w:tcPr>
                <w:p w14:paraId="29F66859">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55</w:t>
                  </w:r>
                </w:p>
              </w:tc>
              <w:tc>
                <w:tcPr>
                  <w:tcW w:w="1188" w:type="dxa"/>
                  <w:tcBorders>
                    <w:tl2br w:val="nil"/>
                    <w:tr2bl w:val="nil"/>
                  </w:tcBorders>
                  <w:shd w:val="clear" w:color="auto" w:fill="auto"/>
                  <w:vAlign w:val="center"/>
                </w:tcPr>
                <w:p w14:paraId="7BECD8E1">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达标</w:t>
                  </w:r>
                </w:p>
              </w:tc>
            </w:tr>
            <w:tr w14:paraId="5919A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0" w:hRule="atLeast"/>
                <w:jc w:val="center"/>
              </w:trPr>
              <w:tc>
                <w:tcPr>
                  <w:tcW w:w="1101" w:type="dxa"/>
                  <w:tcBorders>
                    <w:tl2br w:val="nil"/>
                    <w:tr2bl w:val="nil"/>
                  </w:tcBorders>
                  <w:shd w:val="clear" w:color="auto" w:fill="auto"/>
                  <w:vAlign w:val="center"/>
                </w:tcPr>
                <w:p w14:paraId="36D32963">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北侧</w:t>
                  </w:r>
                </w:p>
              </w:tc>
              <w:tc>
                <w:tcPr>
                  <w:tcW w:w="803" w:type="dxa"/>
                  <w:tcBorders>
                    <w:tl2br w:val="nil"/>
                    <w:tr2bl w:val="nil"/>
                  </w:tcBorders>
                  <w:shd w:val="clear" w:color="auto" w:fill="auto"/>
                  <w:vAlign w:val="center"/>
                </w:tcPr>
                <w:p w14:paraId="7B6A31A1">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-8.2</w:t>
                  </w:r>
                </w:p>
              </w:tc>
              <w:tc>
                <w:tcPr>
                  <w:tcW w:w="803" w:type="dxa"/>
                  <w:tcBorders>
                    <w:tl2br w:val="nil"/>
                    <w:tr2bl w:val="nil"/>
                  </w:tcBorders>
                  <w:shd w:val="clear" w:color="auto" w:fill="auto"/>
                  <w:vAlign w:val="center"/>
                </w:tcPr>
                <w:p w14:paraId="4F80D573">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56</w:t>
                  </w:r>
                  <w:r>
                    <w:rPr>
                      <w:rFonts w:hint="default" w:ascii="Times New Roman" w:hAnsi="Times New Roman" w:cs="Times New Roman" w:eastAsiaTheme="minorEastAsia"/>
                      <w:b w:val="0"/>
                      <w:bCs/>
                      <w:sz w:val="21"/>
                      <w:szCs w:val="21"/>
                    </w:rPr>
                    <w:t>.</w:t>
                  </w:r>
                  <w:r>
                    <w:rPr>
                      <w:rFonts w:hint="default" w:ascii="Times New Roman" w:hAnsi="Times New Roman" w:cs="Times New Roman" w:eastAsiaTheme="minorEastAsia"/>
                      <w:b w:val="0"/>
                      <w:bCs/>
                      <w:sz w:val="21"/>
                      <w:szCs w:val="21"/>
                      <w:lang w:val="en-US" w:eastAsia="zh-CN"/>
                    </w:rPr>
                    <w:t>7</w:t>
                  </w:r>
                </w:p>
              </w:tc>
              <w:tc>
                <w:tcPr>
                  <w:tcW w:w="803" w:type="dxa"/>
                  <w:tcBorders>
                    <w:tl2br w:val="nil"/>
                    <w:tr2bl w:val="nil"/>
                  </w:tcBorders>
                  <w:shd w:val="clear" w:color="auto" w:fill="auto"/>
                  <w:vAlign w:val="center"/>
                </w:tcPr>
                <w:p w14:paraId="2E915423">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1.2</w:t>
                  </w:r>
                </w:p>
              </w:tc>
              <w:tc>
                <w:tcPr>
                  <w:tcW w:w="993" w:type="dxa"/>
                  <w:tcBorders>
                    <w:tl2br w:val="nil"/>
                    <w:tr2bl w:val="nil"/>
                  </w:tcBorders>
                  <w:shd w:val="clear" w:color="auto" w:fill="auto"/>
                  <w:vAlign w:val="center"/>
                </w:tcPr>
                <w:p w14:paraId="14D73E70">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昼</w:t>
                  </w:r>
                  <w:r>
                    <w:rPr>
                      <w:rFonts w:hint="default" w:ascii="Times New Roman" w:hAnsi="Times New Roman" w:cs="Times New Roman" w:eastAsiaTheme="minorEastAsia"/>
                      <w:b w:val="0"/>
                      <w:bCs/>
                      <w:sz w:val="21"/>
                      <w:szCs w:val="21"/>
                      <w:lang w:val="en-US" w:eastAsia="zh-CN"/>
                    </w:rPr>
                    <w:t>夜</w:t>
                  </w:r>
                  <w:r>
                    <w:rPr>
                      <w:rFonts w:hint="default" w:ascii="Times New Roman" w:hAnsi="Times New Roman" w:cs="Times New Roman" w:eastAsiaTheme="minorEastAsia"/>
                      <w:b w:val="0"/>
                      <w:bCs/>
                      <w:sz w:val="21"/>
                      <w:szCs w:val="21"/>
                    </w:rPr>
                    <w:t>间</w:t>
                  </w:r>
                </w:p>
              </w:tc>
              <w:tc>
                <w:tcPr>
                  <w:tcW w:w="1417" w:type="dxa"/>
                  <w:tcBorders>
                    <w:tl2br w:val="nil"/>
                    <w:tr2bl w:val="nil"/>
                  </w:tcBorders>
                  <w:shd w:val="clear" w:color="auto" w:fill="auto"/>
                  <w:vAlign w:val="center"/>
                </w:tcPr>
                <w:p w14:paraId="4893A6FA">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lang w:val="en-US" w:eastAsia="zh-CN"/>
                    </w:rPr>
                    <w:t>45</w:t>
                  </w:r>
                  <w:r>
                    <w:rPr>
                      <w:rFonts w:hint="default" w:ascii="Times New Roman" w:hAnsi="Times New Roman" w:cs="Times New Roman" w:eastAsiaTheme="minorEastAsia"/>
                      <w:b w:val="0"/>
                      <w:bCs/>
                      <w:sz w:val="21"/>
                      <w:szCs w:val="21"/>
                    </w:rPr>
                    <w:t>.</w:t>
                  </w:r>
                  <w:r>
                    <w:rPr>
                      <w:rFonts w:hint="default" w:ascii="Times New Roman" w:hAnsi="Times New Roman" w:cs="Times New Roman" w:eastAsiaTheme="minorEastAsia"/>
                      <w:b w:val="0"/>
                      <w:bCs/>
                      <w:sz w:val="21"/>
                      <w:szCs w:val="21"/>
                      <w:lang w:val="en-US" w:eastAsia="zh-CN"/>
                    </w:rPr>
                    <w:t>3</w:t>
                  </w:r>
                </w:p>
              </w:tc>
              <w:tc>
                <w:tcPr>
                  <w:tcW w:w="709" w:type="dxa"/>
                  <w:tcBorders>
                    <w:tl2br w:val="nil"/>
                    <w:tr2bl w:val="nil"/>
                  </w:tcBorders>
                  <w:shd w:val="clear" w:color="auto" w:fill="auto"/>
                  <w:vAlign w:val="center"/>
                </w:tcPr>
                <w:p w14:paraId="64CBB3B3">
                  <w:pPr>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6</w:t>
                  </w:r>
                  <w:r>
                    <w:rPr>
                      <w:rFonts w:hint="default" w:ascii="Times New Roman" w:hAnsi="Times New Roman" w:cs="Times New Roman" w:eastAsiaTheme="minorEastAsia"/>
                      <w:b w:val="0"/>
                      <w:bCs/>
                      <w:sz w:val="21"/>
                      <w:szCs w:val="21"/>
                      <w:lang w:val="en-US" w:eastAsia="zh-CN"/>
                    </w:rPr>
                    <w:t>5</w:t>
                  </w:r>
                </w:p>
              </w:tc>
              <w:tc>
                <w:tcPr>
                  <w:tcW w:w="709" w:type="dxa"/>
                  <w:tcBorders>
                    <w:tl2br w:val="nil"/>
                    <w:tr2bl w:val="nil"/>
                  </w:tcBorders>
                  <w:shd w:val="clear" w:color="auto" w:fill="auto"/>
                  <w:vAlign w:val="center"/>
                </w:tcPr>
                <w:p w14:paraId="7FF356AE">
                  <w:pPr>
                    <w:jc w:val="cente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55</w:t>
                  </w:r>
                </w:p>
              </w:tc>
              <w:tc>
                <w:tcPr>
                  <w:tcW w:w="1188" w:type="dxa"/>
                  <w:tcBorders>
                    <w:tl2br w:val="nil"/>
                    <w:tr2bl w:val="nil"/>
                  </w:tcBorders>
                  <w:shd w:val="clear" w:color="auto" w:fill="auto"/>
                  <w:vAlign w:val="center"/>
                </w:tcPr>
                <w:p w14:paraId="76784B69">
                  <w:pPr>
                    <w:jc w:val="center"/>
                    <w:rPr>
                      <w:rFonts w:hint="default" w:ascii="Times New Roman" w:hAnsi="Times New Roman" w:cs="Times New Roman" w:eastAsiaTheme="minorEastAsia"/>
                      <w:b w:val="0"/>
                      <w:bCs/>
                      <w:kern w:val="2"/>
                      <w:sz w:val="21"/>
                      <w:szCs w:val="21"/>
                      <w:lang w:val="en-US" w:eastAsia="zh-CN" w:bidi="ar-SA"/>
                    </w:rPr>
                  </w:pPr>
                  <w:r>
                    <w:rPr>
                      <w:rFonts w:hint="default" w:ascii="Times New Roman" w:hAnsi="Times New Roman" w:cs="Times New Roman" w:eastAsiaTheme="minorEastAsia"/>
                      <w:b w:val="0"/>
                      <w:bCs/>
                      <w:sz w:val="21"/>
                      <w:szCs w:val="21"/>
                    </w:rPr>
                    <w:t>达标</w:t>
                  </w:r>
                </w:p>
              </w:tc>
            </w:tr>
            <w:tr w14:paraId="718F8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6" w:type="dxa"/>
                  <w:gridSpan w:val="9"/>
                  <w:tcBorders>
                    <w:tl2br w:val="nil"/>
                    <w:tr2bl w:val="nil"/>
                  </w:tcBorders>
                  <w:shd w:val="clear" w:color="auto" w:fill="auto"/>
                  <w:vAlign w:val="center"/>
                </w:tcPr>
                <w:p w14:paraId="6126091A">
                  <w:pPr>
                    <w:jc w:val="both"/>
                    <w:rPr>
                      <w:rFonts w:hint="default" w:ascii="Times New Roman" w:hAnsi="Times New Roman" w:cs="Times New Roman" w:eastAsiaTheme="minorEastAsia"/>
                      <w:b w:val="0"/>
                      <w:bCs/>
                      <w:sz w:val="21"/>
                      <w:szCs w:val="21"/>
                    </w:rPr>
                  </w:pPr>
                  <w:r>
                    <w:rPr>
                      <w:rFonts w:hint="default" w:ascii="Times New Roman" w:hAnsi="Times New Roman" w:eastAsia="宋体" w:cs="Times New Roman"/>
                      <w:kern w:val="2"/>
                      <w:sz w:val="21"/>
                      <w:szCs w:val="21"/>
                      <w:highlight w:val="none"/>
                      <w:lang w:val="en-US" w:eastAsia="zh-CN" w:bidi="ar-SA"/>
                    </w:rPr>
                    <w:t>表中坐标以厂界中心（E10</w:t>
                  </w:r>
                  <w:r>
                    <w:rPr>
                      <w:rFonts w:hint="default" w:ascii="Times New Roman" w:hAnsi="Times New Roman" w:cs="Times New Roman"/>
                      <w:kern w:val="2"/>
                      <w:sz w:val="21"/>
                      <w:szCs w:val="21"/>
                      <w:highlight w:val="none"/>
                      <w:lang w:val="en-US" w:eastAsia="zh-CN" w:bidi="ar-SA"/>
                    </w:rPr>
                    <w:t>7</w:t>
                  </w:r>
                  <w:r>
                    <w:rPr>
                      <w:rFonts w:hint="default" w:ascii="Times New Roman" w:hAnsi="Times New Roman" w:eastAsia="宋体" w:cs="Times New Roman"/>
                      <w:kern w:val="2"/>
                      <w:sz w:val="21"/>
                      <w:szCs w:val="21"/>
                      <w:highlight w:val="none"/>
                      <w:lang w:val="en-US" w:eastAsia="zh-CN" w:bidi="ar-SA"/>
                    </w:rPr>
                    <w:t>.</w:t>
                  </w:r>
                  <w:r>
                    <w:rPr>
                      <w:rFonts w:hint="default" w:ascii="Times New Roman" w:hAnsi="Times New Roman" w:cs="Times New Roman"/>
                      <w:kern w:val="2"/>
                      <w:sz w:val="21"/>
                      <w:szCs w:val="21"/>
                      <w:highlight w:val="none"/>
                      <w:lang w:val="en-US" w:eastAsia="zh-CN" w:bidi="ar-SA"/>
                    </w:rPr>
                    <w:t>283544</w:t>
                  </w:r>
                  <w:r>
                    <w:rPr>
                      <w:rFonts w:hint="default" w:ascii="Times New Roman" w:hAnsi="Times New Roman" w:eastAsia="宋体" w:cs="Times New Roman"/>
                      <w:kern w:val="2"/>
                      <w:sz w:val="21"/>
                      <w:szCs w:val="21"/>
                      <w:highlight w:val="none"/>
                      <w:lang w:val="en-US" w:eastAsia="zh-CN" w:bidi="ar-SA"/>
                    </w:rPr>
                    <w:t>,N33.</w:t>
                  </w:r>
                  <w:r>
                    <w:rPr>
                      <w:rFonts w:hint="default" w:ascii="Times New Roman" w:hAnsi="Times New Roman" w:cs="Times New Roman"/>
                      <w:kern w:val="2"/>
                      <w:sz w:val="21"/>
                      <w:szCs w:val="21"/>
                      <w:highlight w:val="none"/>
                      <w:lang w:val="en-US" w:eastAsia="zh-CN" w:bidi="ar-SA"/>
                    </w:rPr>
                    <w:t>130322</w:t>
                  </w:r>
                  <w:r>
                    <w:rPr>
                      <w:rFonts w:hint="default" w:ascii="Times New Roman" w:hAnsi="Times New Roman" w:eastAsia="宋体" w:cs="Times New Roman"/>
                      <w:kern w:val="2"/>
                      <w:sz w:val="21"/>
                      <w:szCs w:val="21"/>
                      <w:highlight w:val="none"/>
                      <w:lang w:val="en-US" w:eastAsia="zh-CN" w:bidi="ar-SA"/>
                    </w:rPr>
                    <w:t>）为坐标原点，正东向为X轴正方向，正北向为Y轴正方向</w:t>
                  </w:r>
                </w:p>
              </w:tc>
            </w:tr>
          </w:tbl>
          <w:p w14:paraId="394B4A9F">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由上述预测结果可知，项目四侧厂界昼夜间噪声预测值均满足《工业企业厂界环境噪声排放标准》（GB 12348-2008）中3类标准要求。项目周边50米范围内无住户分布，因此项目投运后对最近住户影响较小。</w:t>
            </w:r>
          </w:p>
          <w:p w14:paraId="44C8E631">
            <w:pPr>
              <w:adjustRightInd w:val="0"/>
              <w:snapToGrid w:val="0"/>
              <w:spacing w:line="360" w:lineRule="auto"/>
              <w:ind w:left="420" w:left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2、噪声监测</w:t>
            </w:r>
          </w:p>
          <w:p w14:paraId="43520936">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按照《排污单位自行监测技术指南 总则》（HJ</w:t>
            </w:r>
            <w:r>
              <w:rPr>
                <w:rFonts w:hint="default" w:ascii="Times New Roman" w:hAnsi="Times New Roman" w:cs="Times New Roman"/>
                <w:color w:val="auto"/>
                <w:kern w:val="0"/>
                <w:sz w:val="24"/>
                <w:highlight w:val="none"/>
                <w:lang w:val="en-US" w:eastAsia="zh-CN"/>
              </w:rPr>
              <w:t xml:space="preserve"> </w:t>
            </w:r>
            <w:r>
              <w:rPr>
                <w:rFonts w:hint="default" w:ascii="Times New Roman" w:hAnsi="Times New Roman" w:cs="Times New Roman"/>
                <w:color w:val="auto"/>
                <w:kern w:val="0"/>
                <w:sz w:val="24"/>
                <w:highlight w:val="none"/>
              </w:rPr>
              <w:t>819-2017），变动后建设单位应开展环境噪声监测，具体如下</w:t>
            </w:r>
            <w:r>
              <w:rPr>
                <w:rFonts w:hint="default" w:ascii="Times New Roman" w:hAnsi="Times New Roman" w:cs="Times New Roman"/>
                <w:color w:val="auto"/>
                <w:kern w:val="0"/>
                <w:sz w:val="24"/>
                <w:highlight w:val="none"/>
                <w:lang w:val="en-US" w:eastAsia="zh-CN"/>
              </w:rPr>
              <w:t>表</w:t>
            </w:r>
            <w:r>
              <w:rPr>
                <w:rFonts w:hint="default" w:ascii="Times New Roman" w:hAnsi="Times New Roman" w:cs="Times New Roman"/>
                <w:color w:val="auto"/>
                <w:kern w:val="0"/>
                <w:sz w:val="24"/>
                <w:highlight w:val="none"/>
                <w:lang w:eastAsia="zh-CN"/>
              </w:rPr>
              <w:t>。</w:t>
            </w:r>
          </w:p>
          <w:p w14:paraId="722C9ECD">
            <w:pPr>
              <w:adjustRightInd w:val="0"/>
              <w:snapToGrid w:val="0"/>
              <w:jc w:val="center"/>
              <w:rPr>
                <w:rFonts w:hint="default" w:ascii="Times New Roman" w:hAnsi="Times New Roman" w:cs="Times New Roman"/>
                <w:b/>
                <w:bCs/>
                <w:color w:val="auto"/>
                <w:kern w:val="24"/>
                <w:szCs w:val="22"/>
                <w:highlight w:val="none"/>
              </w:rPr>
            </w:pPr>
            <w:r>
              <w:rPr>
                <w:rFonts w:hint="default" w:ascii="Times New Roman" w:hAnsi="Times New Roman" w:cs="Times New Roman"/>
                <w:b/>
                <w:bCs/>
                <w:color w:val="auto"/>
                <w:kern w:val="24"/>
                <w:szCs w:val="22"/>
                <w:highlight w:val="none"/>
              </w:rPr>
              <w:t>表4-1</w:t>
            </w:r>
            <w:r>
              <w:rPr>
                <w:rFonts w:hint="default" w:ascii="Times New Roman" w:hAnsi="Times New Roman" w:cs="Times New Roman"/>
                <w:b/>
                <w:bCs/>
                <w:color w:val="auto"/>
                <w:kern w:val="24"/>
                <w:szCs w:val="22"/>
                <w:highlight w:val="none"/>
                <w:lang w:val="en-US" w:eastAsia="zh-CN"/>
              </w:rPr>
              <w:t>3</w:t>
            </w:r>
            <w:r>
              <w:rPr>
                <w:rFonts w:hint="default" w:ascii="Times New Roman" w:hAnsi="Times New Roman" w:cs="Times New Roman"/>
                <w:b/>
                <w:bCs/>
                <w:color w:val="auto"/>
                <w:kern w:val="24"/>
                <w:szCs w:val="22"/>
                <w:highlight w:val="none"/>
              </w:rPr>
              <w:t xml:space="preserve">  噪声监测一览表</w:t>
            </w:r>
          </w:p>
          <w:tbl>
            <w:tblPr>
              <w:tblStyle w:val="32"/>
              <w:tblW w:w="8404" w:type="dxa"/>
              <w:tblInd w:w="1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82"/>
              <w:gridCol w:w="1600"/>
              <w:gridCol w:w="1127"/>
              <w:gridCol w:w="1201"/>
              <w:gridCol w:w="3694"/>
            </w:tblGrid>
            <w:tr w14:paraId="2178FC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82" w:type="dxa"/>
                  <w:tcBorders>
                    <w:tl2br w:val="nil"/>
                    <w:tr2bl w:val="nil"/>
                  </w:tcBorders>
                  <w:vAlign w:val="center"/>
                </w:tcPr>
                <w:p w14:paraId="19B7DC1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监测项目</w:t>
                  </w:r>
                </w:p>
              </w:tc>
              <w:tc>
                <w:tcPr>
                  <w:tcW w:w="1600" w:type="dxa"/>
                  <w:tcBorders>
                    <w:tl2br w:val="nil"/>
                    <w:tr2bl w:val="nil"/>
                  </w:tcBorders>
                  <w:vAlign w:val="center"/>
                </w:tcPr>
                <w:p w14:paraId="5370F94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监测位置</w:t>
                  </w:r>
                </w:p>
              </w:tc>
              <w:tc>
                <w:tcPr>
                  <w:tcW w:w="1127" w:type="dxa"/>
                  <w:tcBorders>
                    <w:tl2br w:val="nil"/>
                    <w:tr2bl w:val="nil"/>
                  </w:tcBorders>
                  <w:vAlign w:val="center"/>
                </w:tcPr>
                <w:p w14:paraId="6FD0B74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监测因子</w:t>
                  </w:r>
                </w:p>
              </w:tc>
              <w:tc>
                <w:tcPr>
                  <w:tcW w:w="1201" w:type="dxa"/>
                  <w:tcBorders>
                    <w:tl2br w:val="nil"/>
                    <w:tr2bl w:val="nil"/>
                  </w:tcBorders>
                  <w:vAlign w:val="center"/>
                </w:tcPr>
                <w:p w14:paraId="66F910B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监测时间、频率</w:t>
                  </w:r>
                </w:p>
              </w:tc>
              <w:tc>
                <w:tcPr>
                  <w:tcW w:w="3694" w:type="dxa"/>
                  <w:tcBorders>
                    <w:tl2br w:val="nil"/>
                    <w:tr2bl w:val="nil"/>
                  </w:tcBorders>
                  <w:vAlign w:val="center"/>
                </w:tcPr>
                <w:p w14:paraId="28CB905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14:paraId="69F57D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82" w:type="dxa"/>
                  <w:tcBorders>
                    <w:tl2br w:val="nil"/>
                    <w:tr2bl w:val="nil"/>
                  </w:tcBorders>
                  <w:vAlign w:val="center"/>
                </w:tcPr>
                <w:p w14:paraId="396300F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600" w:type="dxa"/>
                  <w:tcBorders>
                    <w:tl2br w:val="nil"/>
                    <w:tr2bl w:val="nil"/>
                  </w:tcBorders>
                  <w:vAlign w:val="center"/>
                </w:tcPr>
                <w:p w14:paraId="6ACFD10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厂界四侧</w:t>
                  </w:r>
                </w:p>
              </w:tc>
              <w:tc>
                <w:tcPr>
                  <w:tcW w:w="1127" w:type="dxa"/>
                  <w:tcBorders>
                    <w:tl2br w:val="nil"/>
                    <w:tr2bl w:val="nil"/>
                  </w:tcBorders>
                  <w:vAlign w:val="center"/>
                </w:tcPr>
                <w:p w14:paraId="112ED693">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噪声</w:t>
                  </w:r>
                </w:p>
              </w:tc>
              <w:tc>
                <w:tcPr>
                  <w:tcW w:w="1201" w:type="dxa"/>
                  <w:tcBorders>
                    <w:tl2br w:val="nil"/>
                    <w:tr2bl w:val="nil"/>
                  </w:tcBorders>
                  <w:vAlign w:val="center"/>
                </w:tcPr>
                <w:p w14:paraId="340543C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一次/季度</w:t>
                  </w:r>
                </w:p>
              </w:tc>
              <w:tc>
                <w:tcPr>
                  <w:tcW w:w="3694" w:type="dxa"/>
                  <w:tcBorders>
                    <w:tl2br w:val="nil"/>
                    <w:tr2bl w:val="nil"/>
                  </w:tcBorders>
                  <w:vAlign w:val="center"/>
                </w:tcPr>
                <w:p w14:paraId="123243A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GB"/>
                    </w:rPr>
                    <w:t>《</w:t>
                  </w:r>
                  <w:r>
                    <w:rPr>
                      <w:rFonts w:hint="default" w:ascii="Times New Roman" w:hAnsi="Times New Roman" w:cs="Times New Roman"/>
                      <w:color w:val="auto"/>
                      <w:szCs w:val="21"/>
                      <w:highlight w:val="none"/>
                    </w:rPr>
                    <w:t>工业企业厂界环境噪声排放标准</w:t>
                  </w:r>
                  <w:r>
                    <w:rPr>
                      <w:rFonts w:hint="default" w:ascii="Times New Roman" w:hAnsi="Times New Roman" w:cs="Times New Roman"/>
                      <w:color w:val="auto"/>
                      <w:szCs w:val="21"/>
                      <w:highlight w:val="none"/>
                      <w:lang w:val="en-GB"/>
                    </w:rPr>
                    <w:t>》（GB</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12348-2008</w:t>
                  </w:r>
                  <w:r>
                    <w:rPr>
                      <w:rFonts w:hint="default" w:ascii="Times New Roman" w:hAnsi="Times New Roman" w:cs="Times New Roman"/>
                      <w:color w:val="auto"/>
                      <w:szCs w:val="21"/>
                      <w:highlight w:val="none"/>
                      <w:lang w:val="en-GB"/>
                    </w:rPr>
                    <w:t>）</w:t>
                  </w:r>
                  <w:r>
                    <w:rPr>
                      <w:rFonts w:hint="default" w:ascii="Times New Roman" w:hAnsi="Times New Roman" w:cs="Times New Roman"/>
                      <w:color w:val="auto"/>
                      <w:szCs w:val="21"/>
                      <w:highlight w:val="none"/>
                    </w:rPr>
                    <w:t>3类区标准</w:t>
                  </w:r>
                </w:p>
              </w:tc>
            </w:tr>
          </w:tbl>
          <w:p w14:paraId="1E78C8BC">
            <w:pPr>
              <w:adjustRightInd w:val="0"/>
              <w:snapToGrid w:val="0"/>
              <w:spacing w:line="360" w:lineRule="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（四）固体废物对环境影响分析</w:t>
            </w:r>
          </w:p>
          <w:p w14:paraId="4328C42D">
            <w:pPr>
              <w:pStyle w:val="46"/>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根据前文分析，变动后全厂固废主要为生活垃圾、收集尘、</w:t>
            </w:r>
            <w:r>
              <w:rPr>
                <w:rFonts w:hint="eastAsia" w:ascii="Times New Roman" w:hAnsi="Times New Roman" w:cs="Times New Roman"/>
                <w:color w:val="auto"/>
                <w:highlight w:val="none"/>
                <w:lang w:val="en-US" w:eastAsia="zh-CN"/>
              </w:rPr>
              <w:t>泥饼、</w:t>
            </w:r>
            <w:r>
              <w:rPr>
                <w:rFonts w:hint="default" w:ascii="Times New Roman" w:hAnsi="Times New Roman" w:cs="Times New Roman"/>
                <w:color w:val="auto"/>
                <w:highlight w:val="none"/>
              </w:rPr>
              <w:t>废编织袋、废润滑油、废油桶、含油手套和棉纱等。</w:t>
            </w:r>
          </w:p>
          <w:p w14:paraId="114AD067">
            <w:pPr>
              <w:pStyle w:val="46"/>
              <w:snapToGrid w:val="0"/>
              <w:spacing w:line="360" w:lineRule="auto"/>
              <w:ind w:firstLine="480" w:firstLineChars="200"/>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kern w:val="2"/>
                <w:highlight w:val="none"/>
              </w:rPr>
              <w:t>生活垃圾</w:t>
            </w:r>
          </w:p>
          <w:p w14:paraId="57C3589D">
            <w:pPr>
              <w:adjustRightInd w:val="0"/>
              <w:snapToGrid w:val="0"/>
              <w:spacing w:line="360" w:lineRule="auto"/>
              <w:ind w:firstLine="482" w:firstLineChars="200"/>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rPr>
              <w:t>产生情况：</w:t>
            </w:r>
            <w:r>
              <w:rPr>
                <w:rFonts w:hint="default" w:ascii="Times New Roman" w:hAnsi="Times New Roman" w:cs="Times New Roman"/>
                <w:color w:val="auto"/>
                <w:kern w:val="0"/>
                <w:sz w:val="24"/>
                <w:highlight w:val="none"/>
              </w:rPr>
              <w:t>根据前文分析，</w:t>
            </w:r>
            <w:r>
              <w:rPr>
                <w:rFonts w:hint="eastAsia" w:ascii="Times New Roman" w:hAnsi="Times New Roman" w:cs="Times New Roman"/>
                <w:color w:val="auto"/>
                <w:kern w:val="0"/>
                <w:sz w:val="24"/>
                <w:highlight w:val="none"/>
                <w:lang w:val="en-US" w:eastAsia="zh-CN"/>
              </w:rPr>
              <w:t>项目</w:t>
            </w:r>
            <w:r>
              <w:rPr>
                <w:rFonts w:hint="default" w:ascii="Times New Roman" w:hAnsi="Times New Roman" w:cs="Times New Roman"/>
                <w:color w:val="auto"/>
                <w:kern w:val="0"/>
                <w:sz w:val="24"/>
                <w:highlight w:val="none"/>
              </w:rPr>
              <w:t>全厂员工合计</w:t>
            </w:r>
            <w:r>
              <w:rPr>
                <w:rFonts w:hint="default" w:ascii="Times New Roman" w:hAnsi="Times New Roman" w:cs="Times New Roman"/>
                <w:color w:val="auto"/>
                <w:kern w:val="0"/>
                <w:sz w:val="24"/>
                <w:highlight w:val="none"/>
                <w:lang w:val="en-US" w:eastAsia="zh-CN"/>
              </w:rPr>
              <w:t>20</w:t>
            </w:r>
            <w:r>
              <w:rPr>
                <w:rFonts w:hint="default" w:ascii="Times New Roman" w:hAnsi="Times New Roman" w:cs="Times New Roman"/>
                <w:color w:val="auto"/>
                <w:kern w:val="0"/>
                <w:sz w:val="24"/>
                <w:highlight w:val="none"/>
              </w:rPr>
              <w:t>人，生活垃圾产生系数按每人0.38</w:t>
            </w:r>
            <w:r>
              <w:rPr>
                <w:rFonts w:hint="default" w:ascii="Times New Roman" w:hAnsi="Times New Roman" w:cs="Times New Roman"/>
                <w:color w:val="auto"/>
                <w:kern w:val="0"/>
                <w:sz w:val="24"/>
                <w:highlight w:val="none"/>
                <w:lang w:val="en-US" w:eastAsia="zh-CN"/>
              </w:rPr>
              <w:t xml:space="preserve"> </w:t>
            </w:r>
            <w:r>
              <w:rPr>
                <w:rFonts w:hint="default" w:ascii="Times New Roman" w:hAnsi="Times New Roman" w:cs="Times New Roman"/>
                <w:color w:val="auto"/>
                <w:kern w:val="0"/>
                <w:sz w:val="24"/>
                <w:highlight w:val="none"/>
              </w:rPr>
              <w:t>kg/d计算，工作天数300d/a，则运营期全厂生活垃圾</w:t>
            </w:r>
            <w:r>
              <w:rPr>
                <w:rFonts w:hint="default" w:ascii="Times New Roman" w:hAnsi="Times New Roman" w:cs="Times New Roman"/>
                <w:color w:val="auto"/>
                <w:sz w:val="24"/>
                <w:highlight w:val="none"/>
              </w:rPr>
              <w:t>合计产生量</w:t>
            </w:r>
            <w:r>
              <w:rPr>
                <w:rFonts w:hint="default" w:ascii="Times New Roman" w:hAnsi="Times New Roman" w:cs="Times New Roman"/>
                <w:color w:val="auto"/>
                <w:sz w:val="24"/>
                <w:highlight w:val="none"/>
                <w:lang w:val="en-US" w:eastAsia="zh-CN"/>
              </w:rPr>
              <w:t xml:space="preserve">2.28 </w:t>
            </w:r>
            <w:r>
              <w:rPr>
                <w:rFonts w:hint="default" w:ascii="Times New Roman" w:hAnsi="Times New Roman" w:cs="Times New Roman"/>
                <w:color w:val="auto"/>
                <w:sz w:val="24"/>
                <w:highlight w:val="none"/>
              </w:rPr>
              <w:t>t/a。</w:t>
            </w:r>
          </w:p>
          <w:p w14:paraId="453F379F">
            <w:pPr>
              <w:adjustRightInd w:val="0"/>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治理措施：</w:t>
            </w:r>
            <w:r>
              <w:rPr>
                <w:rFonts w:hint="default" w:ascii="Times New Roman" w:hAnsi="Times New Roman" w:cs="Times New Roman"/>
                <w:color w:val="auto"/>
                <w:sz w:val="24"/>
                <w:highlight w:val="none"/>
              </w:rPr>
              <w:t>生活垃圾经垃圾桶集中收集后送至就近垃圾收集点，交由环卫部门处理。</w:t>
            </w:r>
          </w:p>
          <w:p w14:paraId="3963B137">
            <w:pPr>
              <w:pStyle w:val="46"/>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2、收集尘</w:t>
            </w:r>
          </w:p>
          <w:p w14:paraId="536A96CF">
            <w:pPr>
              <w:pStyle w:val="46"/>
              <w:snapToGrid w:val="0"/>
              <w:spacing w:line="360" w:lineRule="auto"/>
              <w:ind w:firstLine="482" w:firstLineChars="200"/>
              <w:rPr>
                <w:rFonts w:hint="default" w:ascii="Times New Roman" w:hAnsi="Times New Roman" w:cs="Times New Roman"/>
                <w:color w:val="auto"/>
                <w:kern w:val="2"/>
                <w:highlight w:val="none"/>
              </w:rPr>
            </w:pPr>
            <w:r>
              <w:rPr>
                <w:rFonts w:hint="default" w:ascii="Times New Roman" w:hAnsi="Times New Roman" w:cs="Times New Roman"/>
                <w:b/>
                <w:bCs/>
                <w:color w:val="auto"/>
                <w:highlight w:val="none"/>
              </w:rPr>
              <w:t>产生情况：</w:t>
            </w:r>
            <w:r>
              <w:rPr>
                <w:rFonts w:hint="default" w:ascii="Times New Roman" w:hAnsi="Times New Roman" w:cs="Times New Roman"/>
                <w:color w:val="auto"/>
                <w:highlight w:val="none"/>
              </w:rPr>
              <w:t>根据前文分析，</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全厂</w:t>
            </w:r>
            <w:r>
              <w:rPr>
                <w:rFonts w:hint="default" w:ascii="Times New Roman" w:hAnsi="Times New Roman" w:cs="Times New Roman"/>
                <w:color w:val="auto"/>
                <w:highlight w:val="none"/>
                <w:lang w:val="en-US" w:eastAsia="zh-CN"/>
              </w:rPr>
              <w:t>除尘器</w:t>
            </w:r>
            <w:r>
              <w:rPr>
                <w:rFonts w:hint="default" w:ascii="Times New Roman" w:hAnsi="Times New Roman" w:cs="Times New Roman"/>
                <w:color w:val="auto"/>
                <w:highlight w:val="none"/>
              </w:rPr>
              <w:t>收集尘合计产生量为</w:t>
            </w:r>
            <w:r>
              <w:rPr>
                <w:rFonts w:hint="default" w:ascii="Times New Roman" w:hAnsi="Times New Roman" w:cs="Times New Roman"/>
                <w:color w:val="auto"/>
                <w:highlight w:val="none"/>
                <w:lang w:val="en-US" w:eastAsia="zh-CN"/>
              </w:rPr>
              <w:t xml:space="preserve">2755 </w:t>
            </w:r>
            <w:r>
              <w:rPr>
                <w:rFonts w:hint="default" w:ascii="Times New Roman" w:hAnsi="Times New Roman" w:cs="Times New Roman"/>
                <w:color w:val="auto"/>
                <w:highlight w:val="none"/>
              </w:rPr>
              <w:t>t/a。</w:t>
            </w:r>
          </w:p>
          <w:p w14:paraId="1C09D406">
            <w:pPr>
              <w:adjustRightInd w:val="0"/>
              <w:snapToGrid w:val="0"/>
              <w:spacing w:line="36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color w:val="auto"/>
                <w:sz w:val="24"/>
                <w:highlight w:val="none"/>
              </w:rPr>
              <w:t>治理措施：</w:t>
            </w:r>
            <w:r>
              <w:rPr>
                <w:rFonts w:hint="default" w:ascii="Times New Roman" w:hAnsi="Times New Roman" w:cs="Times New Roman"/>
                <w:color w:val="auto"/>
                <w:sz w:val="24"/>
                <w:highlight w:val="none"/>
              </w:rPr>
              <w:t>统一收集后作为生产原料</w:t>
            </w:r>
            <w:r>
              <w:rPr>
                <w:rFonts w:hint="default" w:ascii="Times New Roman" w:hAnsi="Times New Roman" w:cs="Times New Roman"/>
                <w:color w:val="auto"/>
                <w:sz w:val="24"/>
                <w:highlight w:val="none"/>
                <w:lang w:val="en-US" w:eastAsia="zh-CN"/>
              </w:rPr>
              <w:t>回</w:t>
            </w:r>
            <w:r>
              <w:rPr>
                <w:rFonts w:hint="default" w:ascii="Times New Roman" w:hAnsi="Times New Roman" w:cs="Times New Roman"/>
                <w:color w:val="auto"/>
                <w:sz w:val="24"/>
                <w:highlight w:val="none"/>
              </w:rPr>
              <w:t>用。</w:t>
            </w:r>
          </w:p>
          <w:p w14:paraId="6749788C">
            <w:pPr>
              <w:keepNext/>
              <w:keepLines/>
              <w:adjustRightInd w:val="0"/>
              <w:snapToGrid w:val="0"/>
              <w:spacing w:line="360" w:lineRule="auto"/>
              <w:ind w:firstLine="480" w:firstLineChars="200"/>
              <w:outlineLvl w:val="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、废编织袋</w:t>
            </w:r>
          </w:p>
          <w:p w14:paraId="7A0B2D84">
            <w:pPr>
              <w:keepNext/>
              <w:keepLines/>
              <w:adjustRightInd w:val="0"/>
              <w:snapToGrid w:val="0"/>
              <w:spacing w:line="360" w:lineRule="auto"/>
              <w:ind w:firstLine="482" w:firstLineChars="200"/>
              <w:outlineLvl w:val="2"/>
              <w:rPr>
                <w:rFonts w:hint="default" w:ascii="Times New Roman" w:hAnsi="Times New Roman" w:cs="Times New Roman"/>
                <w:color w:val="auto"/>
                <w:sz w:val="24"/>
                <w:highlight w:val="none"/>
              </w:rPr>
            </w:pPr>
            <w:r>
              <w:rPr>
                <w:rFonts w:hint="default" w:ascii="Times New Roman" w:hAnsi="Times New Roman" w:cs="Times New Roman"/>
                <w:b/>
                <w:bCs/>
                <w:color w:val="auto"/>
                <w:kern w:val="0"/>
                <w:sz w:val="24"/>
                <w:highlight w:val="none"/>
              </w:rPr>
              <w:t>产生情况：</w:t>
            </w:r>
            <w:r>
              <w:rPr>
                <w:rFonts w:hint="default" w:ascii="Times New Roman" w:hAnsi="Times New Roman" w:cs="Times New Roman"/>
                <w:color w:val="auto"/>
                <w:kern w:val="0"/>
                <w:sz w:val="24"/>
                <w:highlight w:val="none"/>
                <w:lang w:val="en-US" w:eastAsia="zh-CN"/>
              </w:rPr>
              <w:t>根据建设方同类项目生产经验，本项目</w:t>
            </w:r>
            <w:r>
              <w:rPr>
                <w:rFonts w:hint="default" w:ascii="Times New Roman" w:hAnsi="Times New Roman" w:cs="Times New Roman"/>
                <w:color w:val="auto"/>
                <w:kern w:val="0"/>
                <w:sz w:val="24"/>
                <w:highlight w:val="none"/>
              </w:rPr>
              <w:t>生产线投运后全厂</w:t>
            </w:r>
            <w:r>
              <w:rPr>
                <w:rFonts w:hint="default" w:ascii="Times New Roman" w:hAnsi="Times New Roman" w:cs="Times New Roman"/>
                <w:color w:val="auto"/>
                <w:sz w:val="24"/>
                <w:highlight w:val="none"/>
              </w:rPr>
              <w:t>废编织袋</w:t>
            </w:r>
            <w:r>
              <w:rPr>
                <w:rFonts w:hint="default" w:ascii="Times New Roman" w:hAnsi="Times New Roman" w:cs="Times New Roman"/>
                <w:color w:val="auto"/>
                <w:kern w:val="0"/>
                <w:sz w:val="24"/>
                <w:highlight w:val="none"/>
              </w:rPr>
              <w:t>产生量为</w:t>
            </w:r>
            <w:r>
              <w:rPr>
                <w:rFonts w:hint="default" w:ascii="Times New Roman" w:hAnsi="Times New Roman" w:cs="Times New Roman"/>
                <w:color w:val="auto"/>
                <w:kern w:val="0"/>
                <w:sz w:val="24"/>
                <w:highlight w:val="none"/>
                <w:lang w:val="en-US" w:eastAsia="zh-CN"/>
              </w:rPr>
              <w:t xml:space="preserve">50 </w:t>
            </w:r>
            <w:r>
              <w:rPr>
                <w:rFonts w:hint="default" w:ascii="Times New Roman" w:hAnsi="Times New Roman" w:cs="Times New Roman"/>
                <w:color w:val="auto"/>
                <w:kern w:val="0"/>
                <w:sz w:val="24"/>
                <w:highlight w:val="none"/>
              </w:rPr>
              <w:t>kg/a。</w:t>
            </w:r>
          </w:p>
          <w:p w14:paraId="2DFAB65C">
            <w:pPr>
              <w:keepNext/>
              <w:keepLines/>
              <w:adjustRightInd w:val="0"/>
              <w:snapToGrid w:val="0"/>
              <w:spacing w:line="360" w:lineRule="auto"/>
              <w:ind w:firstLine="482" w:firstLineChars="200"/>
              <w:outlineLvl w:val="2"/>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rPr>
              <w:t>治理措施：</w:t>
            </w:r>
            <w:r>
              <w:rPr>
                <w:rFonts w:hint="default" w:ascii="Times New Roman" w:hAnsi="Times New Roman" w:cs="Times New Roman"/>
                <w:color w:val="auto"/>
                <w:kern w:val="0"/>
                <w:sz w:val="24"/>
                <w:highlight w:val="none"/>
              </w:rPr>
              <w:t>废编织袋统一收集后</w:t>
            </w:r>
            <w:r>
              <w:rPr>
                <w:rFonts w:hint="eastAsia" w:ascii="Times New Roman" w:hAnsi="Times New Roman" w:cs="Times New Roman"/>
                <w:color w:val="auto"/>
                <w:kern w:val="0"/>
                <w:sz w:val="24"/>
                <w:highlight w:val="none"/>
                <w:lang w:val="en-US" w:eastAsia="zh-CN"/>
              </w:rPr>
              <w:t>暂存于一般固废暂存区</w:t>
            </w:r>
            <w:r>
              <w:rPr>
                <w:rFonts w:hint="default" w:ascii="Times New Roman" w:hAnsi="Times New Roman" w:cs="Times New Roman"/>
                <w:color w:val="auto"/>
                <w:kern w:val="0"/>
                <w:sz w:val="24"/>
                <w:highlight w:val="none"/>
              </w:rPr>
              <w:t>交由当地废品回收站处置。</w:t>
            </w:r>
          </w:p>
          <w:p w14:paraId="553A27CA">
            <w:pPr>
              <w:pStyle w:val="4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4、泥饼</w:t>
            </w:r>
          </w:p>
          <w:p w14:paraId="4ED43F3F">
            <w:pPr>
              <w:pStyle w:val="46"/>
              <w:snapToGrid w:val="0"/>
              <w:spacing w:line="360" w:lineRule="auto"/>
              <w:ind w:firstLine="482" w:firstLineChars="200"/>
              <w:jc w:val="both"/>
              <w:rPr>
                <w:rFonts w:hint="default" w:ascii="Times New Roman" w:hAnsi="Times New Roman" w:cs="Times New Roman"/>
                <w:color w:val="auto"/>
                <w:kern w:val="2"/>
              </w:rPr>
            </w:pPr>
            <w:r>
              <w:rPr>
                <w:rFonts w:hint="default" w:ascii="Times New Roman" w:hAnsi="Times New Roman" w:cs="Times New Roman"/>
                <w:b/>
                <w:bCs/>
                <w:color w:val="auto"/>
                <w:kern w:val="0"/>
                <w:sz w:val="24"/>
                <w:highlight w:val="none"/>
              </w:rPr>
              <w:t>产生情况：</w:t>
            </w:r>
            <w:r>
              <w:rPr>
                <w:rFonts w:hint="default" w:ascii="Times New Roman" w:hAnsi="Times New Roman" w:cs="Times New Roman"/>
                <w:color w:val="auto"/>
                <w:kern w:val="2"/>
              </w:rPr>
              <w:t>为保证机制砂</w:t>
            </w:r>
            <w:r>
              <w:rPr>
                <w:rFonts w:hint="eastAsia" w:ascii="Times New Roman" w:cs="Times New Roman"/>
                <w:color w:val="auto"/>
                <w:kern w:val="2"/>
                <w:lang w:val="en-US" w:eastAsia="zh-CN"/>
              </w:rPr>
              <w:t>及彩砂</w:t>
            </w:r>
            <w:r>
              <w:rPr>
                <w:rFonts w:hint="default" w:ascii="Times New Roman" w:hAnsi="Times New Roman" w:cs="Times New Roman"/>
                <w:color w:val="auto"/>
                <w:kern w:val="2"/>
              </w:rPr>
              <w:t>的产品质量，破碎后的机制砂</w:t>
            </w:r>
            <w:r>
              <w:rPr>
                <w:rFonts w:hint="eastAsia" w:ascii="Times New Roman" w:cs="Times New Roman"/>
                <w:color w:val="auto"/>
                <w:kern w:val="2"/>
                <w:lang w:val="en-US" w:eastAsia="zh-CN"/>
              </w:rPr>
              <w:t>及彩砂</w:t>
            </w:r>
            <w:r>
              <w:rPr>
                <w:rFonts w:hint="default" w:ascii="Times New Roman" w:hAnsi="Times New Roman" w:cs="Times New Roman"/>
                <w:color w:val="auto"/>
                <w:kern w:val="2"/>
              </w:rPr>
              <w:t>需由洗砂机进行清洗，根据项目方提供的资料，原料含泥量约10%，则干泥量</w:t>
            </w:r>
            <w:r>
              <w:rPr>
                <w:rFonts w:hint="eastAsia" w:ascii="Times New Roman" w:cs="Times New Roman"/>
                <w:color w:val="auto"/>
                <w:kern w:val="2"/>
                <w:lang w:val="en-US" w:eastAsia="zh-CN"/>
              </w:rPr>
              <w:t>共</w:t>
            </w:r>
            <w:r>
              <w:rPr>
                <w:rFonts w:hint="default" w:ascii="Times New Roman" w:hAnsi="Times New Roman" w:cs="Times New Roman"/>
                <w:color w:val="auto"/>
                <w:kern w:val="2"/>
              </w:rPr>
              <w:t>约</w:t>
            </w:r>
            <w:r>
              <w:rPr>
                <w:rFonts w:hint="eastAsia" w:ascii="Times New Roman" w:cs="Times New Roman"/>
                <w:color w:val="auto"/>
                <w:kern w:val="2"/>
                <w:lang w:val="en-US" w:eastAsia="zh-CN"/>
              </w:rPr>
              <w:t>5</w:t>
            </w:r>
            <w:r>
              <w:rPr>
                <w:rFonts w:hint="default" w:ascii="Times New Roman" w:hAnsi="Times New Roman" w:cs="Times New Roman"/>
                <w:color w:val="auto"/>
                <w:kern w:val="2"/>
              </w:rPr>
              <w:t>万t/a。机制砂</w:t>
            </w:r>
            <w:r>
              <w:rPr>
                <w:rFonts w:hint="eastAsia" w:ascii="Times New Roman" w:cs="Times New Roman"/>
                <w:color w:val="auto"/>
                <w:kern w:val="2"/>
                <w:lang w:val="en-US" w:eastAsia="zh-CN"/>
              </w:rPr>
              <w:t>及彩砂清洗</w:t>
            </w:r>
            <w:r>
              <w:rPr>
                <w:rFonts w:hint="default" w:ascii="Times New Roman" w:hAnsi="Times New Roman" w:cs="Times New Roman"/>
                <w:color w:val="auto"/>
                <w:kern w:val="2"/>
              </w:rPr>
              <w:t>废水经混凝沉淀后回用，沉淀池内底泥经压滤机压滤脱水后含水率可降至</w:t>
            </w:r>
            <w:r>
              <w:rPr>
                <w:rFonts w:hint="default" w:ascii="Times New Roman" w:hAnsi="Times New Roman" w:cs="Times New Roman"/>
                <w:color w:val="auto"/>
                <w:kern w:val="2"/>
                <w:lang w:val="en-US" w:eastAsia="zh-CN"/>
              </w:rPr>
              <w:t>3</w:t>
            </w:r>
            <w:r>
              <w:rPr>
                <w:rFonts w:hint="default" w:ascii="Times New Roman" w:hAnsi="Times New Roman" w:cs="Times New Roman"/>
                <w:color w:val="auto"/>
                <w:kern w:val="2"/>
              </w:rPr>
              <w:t>0%左右，则泥饼的产生量约为</w:t>
            </w:r>
            <w:r>
              <w:rPr>
                <w:rFonts w:hint="eastAsia" w:ascii="Times New Roman" w:cs="Times New Roman"/>
                <w:color w:val="auto"/>
                <w:kern w:val="2"/>
                <w:lang w:val="en-US" w:eastAsia="zh-CN"/>
              </w:rPr>
              <w:t>7.14</w:t>
            </w:r>
            <w:r>
              <w:rPr>
                <w:rFonts w:hint="default" w:ascii="Times New Roman" w:hAnsi="Times New Roman" w:cs="Times New Roman"/>
                <w:color w:val="auto"/>
                <w:kern w:val="2"/>
              </w:rPr>
              <w:t>万t/a。泥饼主要成分为破碎石粉、泥土及絮凝剂，此部分泥饼定期外</w:t>
            </w:r>
            <w:r>
              <w:rPr>
                <w:rFonts w:hint="default" w:ascii="Times New Roman" w:hAnsi="Times New Roman" w:cs="Times New Roman"/>
                <w:color w:val="auto"/>
                <w:kern w:val="2"/>
                <w:lang w:val="en-US" w:eastAsia="zh-CN"/>
              </w:rPr>
              <w:t>运综合利用</w:t>
            </w:r>
            <w:r>
              <w:rPr>
                <w:rFonts w:hint="default" w:ascii="Times New Roman" w:hAnsi="Times New Roman" w:cs="Times New Roman"/>
                <w:color w:val="auto"/>
                <w:kern w:val="2"/>
              </w:rPr>
              <w:t>。</w:t>
            </w:r>
          </w:p>
          <w:p w14:paraId="5B689317">
            <w:pPr>
              <w:snapToGrid w:val="0"/>
              <w:spacing w:line="360" w:lineRule="auto"/>
              <w:ind w:firstLine="482" w:firstLineChars="200"/>
              <w:rPr>
                <w:rFonts w:hint="default" w:ascii="Times New Roman" w:hAnsi="Times New Roman" w:cs="Times New Roman"/>
                <w:sz w:val="24"/>
              </w:rPr>
            </w:pPr>
            <w:r>
              <w:rPr>
                <w:rFonts w:hint="default" w:ascii="Times New Roman" w:hAnsi="Times New Roman" w:cs="Times New Roman"/>
                <w:b/>
                <w:bCs/>
                <w:sz w:val="24"/>
                <w:lang w:bidi="ar"/>
              </w:rPr>
              <w:t>治理措施：</w:t>
            </w:r>
            <w:r>
              <w:rPr>
                <w:rFonts w:hint="eastAsia" w:ascii="Times New Roman" w:hAnsi="Times New Roman" w:cs="Times New Roman"/>
                <w:b w:val="0"/>
                <w:bCs w:val="0"/>
                <w:sz w:val="24"/>
                <w:lang w:val="en-US" w:eastAsia="zh-CN" w:bidi="ar"/>
              </w:rPr>
              <w:t>废编织袋、</w:t>
            </w:r>
            <w:r>
              <w:rPr>
                <w:rFonts w:hint="default" w:ascii="Times New Roman" w:hAnsi="Times New Roman" w:cs="Times New Roman"/>
                <w:sz w:val="24"/>
              </w:rPr>
              <w:t>泥饼</w:t>
            </w:r>
            <w:r>
              <w:rPr>
                <w:rFonts w:hint="default" w:ascii="Times New Roman" w:hAnsi="Times New Roman" w:cs="Times New Roman"/>
                <w:bCs/>
                <w:spacing w:val="-10"/>
                <w:sz w:val="24"/>
              </w:rPr>
              <w:t>在厂内暂存时不可露天堆放，需妥善置于一般固废暂存场所内。</w:t>
            </w:r>
            <w:r>
              <w:rPr>
                <w:rFonts w:hint="default" w:ascii="Times New Roman" w:hAnsi="Times New Roman" w:cs="Times New Roman"/>
                <w:bCs/>
                <w:color w:val="000000"/>
                <w:spacing w:val="-10"/>
                <w:sz w:val="24"/>
              </w:rPr>
              <w:t>堆存场所应符合《一般工业固体废物贮存和填埋污染控制标准》（GB 18599-2020）中的规定和要求，具体应做到几点：</w:t>
            </w:r>
            <w:r>
              <w:rPr>
                <w:rFonts w:hint="default" w:ascii="Times New Roman" w:hAnsi="Times New Roman" w:cs="Times New Roman"/>
                <w:sz w:val="24"/>
              </w:rPr>
              <w:t>①应采取防止粉尘污染的措施；堆存过程中禁止危险废物和生活垃圾混入；②做好地面硬化和防渗；③一般固废临时堆场周边应设置导流渠，渗水导流至沉淀池中；④建设单位应建立检查维护制度，发现损坏可能或异常，应采取必要措施，保证正常使用。建设方将泥饼在厂内</w:t>
            </w:r>
            <w:r>
              <w:rPr>
                <w:rFonts w:hint="default" w:ascii="Times New Roman" w:hAnsi="Times New Roman" w:cs="Times New Roman"/>
                <w:bCs/>
                <w:spacing w:val="-10"/>
                <w:sz w:val="24"/>
              </w:rPr>
              <w:t>一般固废暂存间</w:t>
            </w:r>
            <w:r>
              <w:rPr>
                <w:rFonts w:hint="default" w:ascii="Times New Roman" w:hAnsi="Times New Roman" w:cs="Times New Roman"/>
                <w:sz w:val="24"/>
              </w:rPr>
              <w:t>暂存后</w:t>
            </w:r>
            <w:r>
              <w:rPr>
                <w:rFonts w:hint="default" w:ascii="Times New Roman" w:hAnsi="Times New Roman" w:cs="Times New Roman"/>
                <w:sz w:val="24"/>
                <w:szCs w:val="22"/>
              </w:rPr>
              <w:t>定</w:t>
            </w:r>
            <w:r>
              <w:rPr>
                <w:rFonts w:hint="default" w:ascii="Times New Roman" w:hAnsi="Times New Roman" w:cs="Times New Roman"/>
                <w:sz w:val="24"/>
              </w:rPr>
              <w:t>期外</w:t>
            </w:r>
            <w:r>
              <w:rPr>
                <w:rFonts w:hint="default" w:ascii="Times New Roman" w:hAnsi="Times New Roman" w:cs="Times New Roman"/>
                <w:sz w:val="24"/>
                <w:lang w:val="en-US" w:eastAsia="zh-CN"/>
              </w:rPr>
              <w:t>运综合利用</w:t>
            </w:r>
            <w:r>
              <w:rPr>
                <w:rFonts w:hint="default" w:ascii="Times New Roman" w:hAnsi="Times New Roman" w:cs="Times New Roman"/>
                <w:sz w:val="24"/>
              </w:rPr>
              <w:t>。</w:t>
            </w:r>
          </w:p>
          <w:p w14:paraId="675AD0F8">
            <w:pPr>
              <w:pStyle w:val="46"/>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、危险废物</w:t>
            </w:r>
          </w:p>
          <w:p w14:paraId="3C99DD93">
            <w:pPr>
              <w:widowControl/>
              <w:spacing w:line="36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color w:val="auto"/>
                <w:kern w:val="0"/>
                <w:sz w:val="24"/>
                <w:highlight w:val="none"/>
              </w:rPr>
              <w:t>产生情况：</w:t>
            </w:r>
            <w:r>
              <w:rPr>
                <w:rFonts w:hint="default" w:ascii="Times New Roman" w:hAnsi="Times New Roman" w:cs="Times New Roman"/>
                <w:color w:val="auto"/>
                <w:kern w:val="0"/>
                <w:sz w:val="24"/>
                <w:highlight w:val="none"/>
              </w:rPr>
              <w:t>项目使用的加工或运输设备，在检修过</w:t>
            </w:r>
            <w:r>
              <w:rPr>
                <w:rFonts w:hint="eastAsia" w:cs="Times New Roman"/>
                <w:color w:val="auto"/>
                <w:kern w:val="0"/>
                <w:sz w:val="24"/>
                <w:highlight w:val="none"/>
                <w:lang w:eastAsia="zh-CN"/>
              </w:rPr>
              <w:t>程中</w:t>
            </w:r>
            <w:r>
              <w:rPr>
                <w:rFonts w:hint="default" w:ascii="Times New Roman" w:hAnsi="Times New Roman" w:cs="Times New Roman"/>
                <w:color w:val="auto"/>
                <w:kern w:val="0"/>
                <w:sz w:val="24"/>
                <w:highlight w:val="none"/>
              </w:rPr>
              <w:t>会产生废润滑油、废油桶、含油手套。由于本项目现场维修仅进行设备检修和保养，不在厂区对设备进行大修，因此维修危废产生量比较少。</w:t>
            </w:r>
            <w:r>
              <w:rPr>
                <w:rFonts w:hint="default" w:ascii="Times New Roman" w:hAnsi="Times New Roman" w:cs="Times New Roman"/>
                <w:color w:val="auto"/>
                <w:kern w:val="0"/>
                <w:sz w:val="24"/>
                <w:highlight w:val="none"/>
                <w:lang w:val="en-US" w:eastAsia="zh-CN"/>
              </w:rPr>
              <w:t>项目</w:t>
            </w:r>
            <w:r>
              <w:rPr>
                <w:rFonts w:hint="default" w:ascii="Times New Roman" w:hAnsi="Times New Roman" w:cs="Times New Roman"/>
                <w:color w:val="auto"/>
                <w:kern w:val="0"/>
                <w:sz w:val="24"/>
                <w:highlight w:val="none"/>
              </w:rPr>
              <w:t>投运后全厂废润滑油量约为0.</w:t>
            </w:r>
            <w:r>
              <w:rPr>
                <w:rFonts w:hint="default" w:ascii="Times New Roman" w:hAnsi="Times New Roman" w:cs="Times New Roman"/>
                <w:color w:val="auto"/>
                <w:kern w:val="0"/>
                <w:sz w:val="24"/>
                <w:highlight w:val="none"/>
                <w:lang w:val="en-US" w:eastAsia="zh-CN"/>
              </w:rPr>
              <w:t xml:space="preserve">1 </w:t>
            </w:r>
            <w:r>
              <w:rPr>
                <w:rFonts w:hint="default" w:ascii="Times New Roman" w:hAnsi="Times New Roman" w:cs="Times New Roman"/>
                <w:color w:val="auto"/>
                <w:kern w:val="0"/>
                <w:sz w:val="24"/>
                <w:highlight w:val="none"/>
              </w:rPr>
              <w:t>t/a、含油手套约为0.0</w:t>
            </w:r>
            <w:r>
              <w:rPr>
                <w:rFonts w:hint="default" w:ascii="Times New Roman" w:hAnsi="Times New Roman" w:cs="Times New Roman"/>
                <w:color w:val="auto"/>
                <w:kern w:val="0"/>
                <w:sz w:val="24"/>
                <w:highlight w:val="none"/>
                <w:lang w:val="en-US" w:eastAsia="zh-CN"/>
              </w:rPr>
              <w:t xml:space="preserve">3 </w:t>
            </w:r>
            <w:r>
              <w:rPr>
                <w:rFonts w:hint="default" w:ascii="Times New Roman" w:hAnsi="Times New Roman" w:cs="Times New Roman"/>
                <w:color w:val="auto"/>
                <w:kern w:val="0"/>
                <w:sz w:val="24"/>
                <w:highlight w:val="none"/>
              </w:rPr>
              <w:t>t/a、废油桶量约为0.0</w:t>
            </w:r>
            <w:r>
              <w:rPr>
                <w:rFonts w:hint="default" w:ascii="Times New Roman" w:hAnsi="Times New Roman" w:cs="Times New Roman"/>
                <w:color w:val="auto"/>
                <w:kern w:val="0"/>
                <w:sz w:val="24"/>
                <w:highlight w:val="none"/>
                <w:lang w:val="en-US" w:eastAsia="zh-CN"/>
              </w:rPr>
              <w:t xml:space="preserve">5 </w:t>
            </w:r>
            <w:r>
              <w:rPr>
                <w:rFonts w:hint="default" w:ascii="Times New Roman" w:hAnsi="Times New Roman" w:cs="Times New Roman"/>
                <w:color w:val="auto"/>
                <w:kern w:val="0"/>
                <w:sz w:val="24"/>
                <w:highlight w:val="none"/>
              </w:rPr>
              <w:t>t/a。</w:t>
            </w:r>
          </w:p>
          <w:p w14:paraId="3D844EF1">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治理措施：</w:t>
            </w:r>
          </w:p>
          <w:p w14:paraId="21CA89FC">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cs="Times New Roman"/>
                <w:b w:val="0"/>
                <w:bCs w:val="0"/>
                <w:color w:val="auto"/>
                <w:kern w:val="0"/>
                <w:sz w:val="24"/>
                <w:highlight w:val="none"/>
                <w:lang w:eastAsia="zh-CN"/>
              </w:rPr>
              <w:t>建设单位应按照《危险废物贮存污染控制标准》（GB</w:t>
            </w:r>
            <w:r>
              <w:rPr>
                <w:rFonts w:hint="default" w:ascii="Times New Roman" w:hAnsi="Times New Roman" w:cs="Times New Roman"/>
                <w:b w:val="0"/>
                <w:bCs w:val="0"/>
                <w:color w:val="auto"/>
                <w:kern w:val="0"/>
                <w:sz w:val="24"/>
                <w:highlight w:val="none"/>
                <w:lang w:val="en-US" w:eastAsia="zh-CN"/>
              </w:rPr>
              <w:t xml:space="preserve"> </w:t>
            </w:r>
            <w:r>
              <w:rPr>
                <w:rFonts w:hint="default" w:ascii="Times New Roman" w:hAnsi="Times New Roman" w:cs="Times New Roman"/>
                <w:b w:val="0"/>
                <w:bCs w:val="0"/>
                <w:color w:val="auto"/>
                <w:kern w:val="0"/>
                <w:sz w:val="24"/>
                <w:highlight w:val="none"/>
                <w:lang w:eastAsia="zh-CN"/>
              </w:rPr>
              <w:t>18597-2023）《危险废物识别标志设置技术规范》（HJ</w:t>
            </w:r>
            <w:r>
              <w:rPr>
                <w:rFonts w:hint="default" w:ascii="Times New Roman" w:hAnsi="Times New Roman" w:cs="Times New Roman"/>
                <w:b w:val="0"/>
                <w:bCs w:val="0"/>
                <w:color w:val="auto"/>
                <w:kern w:val="0"/>
                <w:sz w:val="24"/>
                <w:highlight w:val="none"/>
                <w:lang w:val="en-US" w:eastAsia="zh-CN"/>
              </w:rPr>
              <w:t xml:space="preserve"> </w:t>
            </w:r>
            <w:r>
              <w:rPr>
                <w:rFonts w:hint="default" w:ascii="Times New Roman" w:hAnsi="Times New Roman" w:cs="Times New Roman"/>
                <w:b w:val="0"/>
                <w:bCs w:val="0"/>
                <w:color w:val="auto"/>
                <w:kern w:val="0"/>
                <w:sz w:val="24"/>
                <w:highlight w:val="none"/>
                <w:lang w:eastAsia="zh-CN"/>
              </w:rPr>
              <w:t>1276-2022）中相关要求</w:t>
            </w:r>
            <w:r>
              <w:rPr>
                <w:rFonts w:hint="eastAsia" w:ascii="Times New Roman" w:hAnsi="Times New Roman" w:cs="Times New Roman"/>
                <w:b w:val="0"/>
                <w:bCs w:val="0"/>
                <w:color w:val="auto"/>
                <w:kern w:val="0"/>
                <w:sz w:val="24"/>
                <w:highlight w:val="none"/>
                <w:lang w:val="en-US" w:eastAsia="zh-CN"/>
              </w:rPr>
              <w:t>规范建设危废贮存库</w:t>
            </w:r>
            <w:r>
              <w:rPr>
                <w:rFonts w:hint="default" w:ascii="Times New Roman" w:hAnsi="Times New Roman" w:cs="Times New Roman"/>
                <w:b w:val="0"/>
                <w:bCs w:val="0"/>
                <w:color w:val="auto"/>
                <w:kern w:val="0"/>
                <w:sz w:val="24"/>
                <w:highlight w:val="none"/>
                <w:lang w:eastAsia="zh-CN"/>
              </w:rPr>
              <w:t>：包括</w:t>
            </w:r>
            <w:r>
              <w:rPr>
                <w:rFonts w:hint="default" w:ascii="Times New Roman" w:hAnsi="Times New Roman" w:cs="Times New Roman"/>
                <w:color w:val="auto"/>
                <w:sz w:val="24"/>
                <w:highlight w:val="none"/>
              </w:rPr>
              <w:t>铺设防渗材料、做好张贴标识、设置托盘、台账记录等工作，并与有</w:t>
            </w:r>
            <w:r>
              <w:rPr>
                <w:rFonts w:hint="default" w:ascii="Times New Roman" w:hAnsi="Times New Roman" w:cs="Times New Roman"/>
                <w:color w:val="auto"/>
                <w:sz w:val="24"/>
                <w:highlight w:val="none"/>
                <w:lang w:val="en-US" w:eastAsia="zh-CN"/>
              </w:rPr>
              <w:t>危废</w:t>
            </w:r>
            <w:r>
              <w:rPr>
                <w:rFonts w:hint="default" w:ascii="Times New Roman" w:hAnsi="Times New Roman" w:cs="Times New Roman"/>
                <w:color w:val="auto"/>
                <w:sz w:val="24"/>
                <w:highlight w:val="none"/>
              </w:rPr>
              <w:t>资质单位签订危废处置协议</w:t>
            </w:r>
            <w:r>
              <w:rPr>
                <w:rFonts w:hint="default" w:ascii="Times New Roman" w:hAnsi="Times New Roman" w:cs="Times New Roman"/>
                <w:color w:val="auto"/>
                <w:sz w:val="24"/>
                <w:highlight w:val="none"/>
                <w:lang w:eastAsia="zh-CN"/>
              </w:rPr>
              <w:t>等</w:t>
            </w:r>
            <w:r>
              <w:rPr>
                <w:rFonts w:hint="default" w:ascii="Times New Roman" w:hAnsi="Times New Roman" w:cs="Times New Roman"/>
                <w:color w:val="auto"/>
                <w:sz w:val="24"/>
                <w:highlight w:val="none"/>
              </w:rPr>
              <w:t>。</w:t>
            </w:r>
          </w:p>
          <w:p w14:paraId="6BA7BB71">
            <w:pPr>
              <w:autoSpaceDE w:val="0"/>
              <w:autoSpaceDN w:val="0"/>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此外，</w:t>
            </w:r>
            <w:r>
              <w:rPr>
                <w:rFonts w:hint="default" w:ascii="Times New Roman" w:hAnsi="Times New Roman" w:cs="Times New Roman"/>
                <w:color w:val="auto"/>
                <w:sz w:val="24"/>
                <w:highlight w:val="none"/>
              </w:rPr>
              <w:t>根据《国家危险废物名录》（2025年版）可知，废润滑油、含油手套及棉纱、废油桶均属于危险废物，环评建议建设单位对上述危废</w:t>
            </w:r>
            <w:r>
              <w:rPr>
                <w:rFonts w:hint="default" w:ascii="Times New Roman" w:hAnsi="Times New Roman" w:cs="Times New Roman"/>
                <w:color w:val="auto"/>
                <w:kern w:val="0"/>
                <w:sz w:val="24"/>
                <w:highlight w:val="none"/>
              </w:rPr>
              <w:t>分类别进行收集，并储存于</w:t>
            </w:r>
            <w:r>
              <w:rPr>
                <w:rFonts w:hint="default" w:ascii="Times New Roman" w:hAnsi="Times New Roman" w:cs="Times New Roman"/>
                <w:color w:val="auto"/>
                <w:sz w:val="24"/>
                <w:highlight w:val="none"/>
              </w:rPr>
              <w:t>危废贮存库</w:t>
            </w:r>
            <w:r>
              <w:rPr>
                <w:rFonts w:hint="default" w:ascii="Times New Roman" w:hAnsi="Times New Roman" w:cs="Times New Roman"/>
                <w:color w:val="auto"/>
                <w:kern w:val="0"/>
                <w:sz w:val="24"/>
                <w:highlight w:val="none"/>
              </w:rPr>
              <w:t>内（占地面积约</w:t>
            </w:r>
            <w:r>
              <w:rPr>
                <w:rFonts w:hint="eastAsia"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p>
          <w:p w14:paraId="4AA4B58B">
            <w:pPr>
              <w:pStyle w:val="26"/>
              <w:widowControl w:val="0"/>
              <w:spacing w:before="0" w:beforeAutospacing="0" w:after="0" w:afterAutospacing="0" w:line="360" w:lineRule="auto"/>
              <w:ind w:firstLine="480" w:firstLineChars="200"/>
              <w:jc w:val="both"/>
              <w:rPr>
                <w:rFonts w:hint="default" w:ascii="Times New Roman" w:hAnsi="Times New Roman" w:cs="Times New Roman"/>
                <w:b/>
                <w:color w:val="auto"/>
                <w:highlight w:val="none"/>
              </w:rPr>
            </w:pPr>
            <w:r>
              <w:rPr>
                <w:rFonts w:hint="default" w:ascii="Times New Roman" w:hAnsi="Times New Roman" w:cs="Times New Roman"/>
                <w:color w:val="auto"/>
                <w:kern w:val="2"/>
                <w:szCs w:val="22"/>
                <w:highlight w:val="none"/>
                <w:lang w:val="en-US" w:eastAsia="zh-CN"/>
              </w:rPr>
              <w:t>项目</w:t>
            </w:r>
            <w:r>
              <w:rPr>
                <w:rFonts w:hint="default" w:ascii="Times New Roman" w:hAnsi="Times New Roman" w:cs="Times New Roman"/>
                <w:color w:val="auto"/>
                <w:kern w:val="2"/>
                <w:szCs w:val="22"/>
                <w:highlight w:val="none"/>
              </w:rPr>
              <w:t>固体废物产排特性见下表所示：</w:t>
            </w:r>
          </w:p>
          <w:p w14:paraId="2F8CE258">
            <w:pPr>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表4-1</w:t>
            </w: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 xml:space="preserve">  变动后全厂运营期固体废物产排特性表</w:t>
            </w:r>
          </w:p>
          <w:tbl>
            <w:tblPr>
              <w:tblStyle w:val="32"/>
              <w:tblW w:w="84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6"/>
              <w:gridCol w:w="713"/>
              <w:gridCol w:w="939"/>
              <w:gridCol w:w="850"/>
              <w:gridCol w:w="967"/>
              <w:gridCol w:w="1316"/>
              <w:gridCol w:w="1239"/>
              <w:gridCol w:w="1584"/>
            </w:tblGrid>
            <w:tr w14:paraId="31E06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vMerge w:val="restart"/>
                  <w:tcBorders>
                    <w:tl2br w:val="nil"/>
                    <w:tr2bl w:val="nil"/>
                  </w:tcBorders>
                  <w:vAlign w:val="center"/>
                </w:tcPr>
                <w:p w14:paraId="71BF2BEF">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产排</w:t>
                  </w:r>
                </w:p>
                <w:p w14:paraId="78342384">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特性</w:t>
                  </w:r>
                </w:p>
              </w:tc>
              <w:tc>
                <w:tcPr>
                  <w:tcW w:w="7608" w:type="dxa"/>
                  <w:gridSpan w:val="7"/>
                  <w:tcBorders>
                    <w:tl2br w:val="nil"/>
                    <w:tr2bl w:val="nil"/>
                  </w:tcBorders>
                  <w:vAlign w:val="center"/>
                </w:tcPr>
                <w:p w14:paraId="061CC21F">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污染物</w:t>
                  </w:r>
                </w:p>
              </w:tc>
            </w:tr>
            <w:tr w14:paraId="18D8B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vMerge w:val="continue"/>
                  <w:tcBorders>
                    <w:tl2br w:val="nil"/>
                    <w:tr2bl w:val="nil"/>
                  </w:tcBorders>
                  <w:vAlign w:val="center"/>
                </w:tcPr>
                <w:p w14:paraId="1FC0B4F4">
                  <w:pPr>
                    <w:rPr>
                      <w:rFonts w:hint="default" w:ascii="Times New Roman" w:hAnsi="Times New Roman" w:cs="Times New Roman"/>
                      <w:color w:val="auto"/>
                      <w:sz w:val="20"/>
                      <w:szCs w:val="20"/>
                      <w:highlight w:val="none"/>
                    </w:rPr>
                  </w:pPr>
                </w:p>
              </w:tc>
              <w:tc>
                <w:tcPr>
                  <w:tcW w:w="713" w:type="dxa"/>
                  <w:tcBorders>
                    <w:tl2br w:val="nil"/>
                    <w:tr2bl w:val="nil"/>
                  </w:tcBorders>
                  <w:vAlign w:val="center"/>
                </w:tcPr>
                <w:p w14:paraId="0F09039E">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生活</w:t>
                  </w:r>
                </w:p>
                <w:p w14:paraId="0EB39533">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垃圾</w:t>
                  </w:r>
                </w:p>
              </w:tc>
              <w:tc>
                <w:tcPr>
                  <w:tcW w:w="939" w:type="dxa"/>
                  <w:tcBorders>
                    <w:tl2br w:val="nil"/>
                    <w:tr2bl w:val="nil"/>
                  </w:tcBorders>
                  <w:vAlign w:val="center"/>
                </w:tcPr>
                <w:p w14:paraId="7639AE64">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收集尘</w:t>
                  </w:r>
                </w:p>
              </w:tc>
              <w:tc>
                <w:tcPr>
                  <w:tcW w:w="850" w:type="dxa"/>
                  <w:tcBorders>
                    <w:tl2br w:val="nil"/>
                    <w:tr2bl w:val="nil"/>
                  </w:tcBorders>
                  <w:vAlign w:val="center"/>
                </w:tcPr>
                <w:p w14:paraId="765ED643">
                  <w:pPr>
                    <w:pStyle w:val="26"/>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泥饼</w:t>
                  </w:r>
                </w:p>
              </w:tc>
              <w:tc>
                <w:tcPr>
                  <w:tcW w:w="967" w:type="dxa"/>
                  <w:tcBorders>
                    <w:tl2br w:val="nil"/>
                    <w:tr2bl w:val="nil"/>
                  </w:tcBorders>
                  <w:vAlign w:val="center"/>
                </w:tcPr>
                <w:p w14:paraId="3F54F6AF">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废编织袋</w:t>
                  </w:r>
                </w:p>
              </w:tc>
              <w:tc>
                <w:tcPr>
                  <w:tcW w:w="1316" w:type="dxa"/>
                  <w:tcBorders>
                    <w:tl2br w:val="nil"/>
                    <w:tr2bl w:val="nil"/>
                  </w:tcBorders>
                  <w:vAlign w:val="center"/>
                </w:tcPr>
                <w:p w14:paraId="61DE3ED8">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废润滑油</w:t>
                  </w:r>
                </w:p>
              </w:tc>
              <w:tc>
                <w:tcPr>
                  <w:tcW w:w="1239" w:type="dxa"/>
                  <w:tcBorders>
                    <w:tl2br w:val="nil"/>
                    <w:tr2bl w:val="nil"/>
                  </w:tcBorders>
                  <w:vAlign w:val="center"/>
                </w:tcPr>
                <w:p w14:paraId="4BDBC9DA">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废油桶</w:t>
                  </w:r>
                </w:p>
              </w:tc>
              <w:tc>
                <w:tcPr>
                  <w:tcW w:w="1584" w:type="dxa"/>
                  <w:tcBorders>
                    <w:tl2br w:val="nil"/>
                    <w:tr2bl w:val="nil"/>
                  </w:tcBorders>
                  <w:vAlign w:val="center"/>
                </w:tcPr>
                <w:p w14:paraId="27A80D52">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含油手套</w:t>
                  </w:r>
                </w:p>
              </w:tc>
            </w:tr>
            <w:tr w14:paraId="4A855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6554942E">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产生</w:t>
                  </w:r>
                </w:p>
                <w:p w14:paraId="34C6FC71">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环节</w:t>
                  </w:r>
                </w:p>
              </w:tc>
              <w:tc>
                <w:tcPr>
                  <w:tcW w:w="713" w:type="dxa"/>
                  <w:tcBorders>
                    <w:tl2br w:val="nil"/>
                    <w:tr2bl w:val="nil"/>
                  </w:tcBorders>
                  <w:vAlign w:val="center"/>
                </w:tcPr>
                <w:p w14:paraId="333A2FA6">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员工</w:t>
                  </w:r>
                </w:p>
                <w:p w14:paraId="378FBF12">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生活</w:t>
                  </w:r>
                </w:p>
              </w:tc>
              <w:tc>
                <w:tcPr>
                  <w:tcW w:w="939" w:type="dxa"/>
                  <w:tcBorders>
                    <w:tl2br w:val="nil"/>
                    <w:tr2bl w:val="nil"/>
                  </w:tcBorders>
                  <w:vAlign w:val="center"/>
                </w:tcPr>
                <w:p w14:paraId="5874B112">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除尘</w:t>
                  </w:r>
                </w:p>
              </w:tc>
              <w:tc>
                <w:tcPr>
                  <w:tcW w:w="850" w:type="dxa"/>
                  <w:tcBorders>
                    <w:tl2br w:val="nil"/>
                    <w:tr2bl w:val="nil"/>
                  </w:tcBorders>
                  <w:vAlign w:val="center"/>
                </w:tcPr>
                <w:p w14:paraId="78443B7C">
                  <w:pPr>
                    <w:pStyle w:val="26"/>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压滤</w:t>
                  </w:r>
                </w:p>
              </w:tc>
              <w:tc>
                <w:tcPr>
                  <w:tcW w:w="967" w:type="dxa"/>
                  <w:tcBorders>
                    <w:tl2br w:val="nil"/>
                    <w:tr2bl w:val="nil"/>
                  </w:tcBorders>
                  <w:vAlign w:val="center"/>
                </w:tcPr>
                <w:p w14:paraId="4018DB5F">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包装</w:t>
                  </w:r>
                </w:p>
              </w:tc>
              <w:tc>
                <w:tcPr>
                  <w:tcW w:w="4139" w:type="dxa"/>
                  <w:gridSpan w:val="3"/>
                  <w:tcBorders>
                    <w:tl2br w:val="nil"/>
                    <w:tr2bl w:val="nil"/>
                  </w:tcBorders>
                  <w:vAlign w:val="center"/>
                </w:tcPr>
                <w:p w14:paraId="0026540E">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设备维护保养</w:t>
                  </w:r>
                </w:p>
              </w:tc>
            </w:tr>
            <w:tr w14:paraId="1B974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4B37D773">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属性</w:t>
                  </w:r>
                </w:p>
              </w:tc>
              <w:tc>
                <w:tcPr>
                  <w:tcW w:w="713" w:type="dxa"/>
                  <w:tcBorders>
                    <w:tl2br w:val="nil"/>
                    <w:tr2bl w:val="nil"/>
                  </w:tcBorders>
                  <w:vAlign w:val="center"/>
                </w:tcPr>
                <w:p w14:paraId="6D15EA06">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生活</w:t>
                  </w:r>
                </w:p>
                <w:p w14:paraId="5573367B">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垃圾</w:t>
                  </w:r>
                </w:p>
              </w:tc>
              <w:tc>
                <w:tcPr>
                  <w:tcW w:w="2756" w:type="dxa"/>
                  <w:gridSpan w:val="3"/>
                  <w:tcBorders>
                    <w:tl2br w:val="nil"/>
                    <w:tr2bl w:val="nil"/>
                  </w:tcBorders>
                  <w:vAlign w:val="center"/>
                </w:tcPr>
                <w:p w14:paraId="7C21B90B">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一般工业固体废物</w:t>
                  </w:r>
                </w:p>
              </w:tc>
              <w:tc>
                <w:tcPr>
                  <w:tcW w:w="1316" w:type="dxa"/>
                  <w:tcBorders>
                    <w:tl2br w:val="nil"/>
                    <w:tr2bl w:val="nil"/>
                  </w:tcBorders>
                  <w:vAlign w:val="center"/>
                </w:tcPr>
                <w:p w14:paraId="6C10E909">
                  <w:pPr>
                    <w:pStyle w:val="26"/>
                    <w:widowControl w:val="0"/>
                    <w:spacing w:before="0" w:beforeAutospacing="0" w:after="0" w:afterAutospacing="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21"/>
                      <w:szCs w:val="21"/>
                      <w:highlight w:val="none"/>
                    </w:rPr>
                    <w:t>危险废物分类</w:t>
                  </w:r>
                  <w:r>
                    <w:rPr>
                      <w:rFonts w:hint="default" w:ascii="Times New Roman" w:hAnsi="Times New Roman" w:cs="Times New Roman"/>
                      <w:color w:val="auto"/>
                      <w:sz w:val="21"/>
                      <w:szCs w:val="21"/>
                      <w:highlight w:val="none"/>
                    </w:rPr>
                    <w:t>HW08</w:t>
                  </w:r>
                </w:p>
                <w:p w14:paraId="764780BB">
                  <w:pPr>
                    <w:pStyle w:val="26"/>
                    <w:widowControl w:val="0"/>
                    <w:spacing w:before="0" w:beforeAutospacing="0" w:after="0" w:afterAutospacing="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21"/>
                      <w:szCs w:val="21"/>
                      <w:highlight w:val="none"/>
                    </w:rPr>
                    <w:t>危险代码900-214-08</w:t>
                  </w:r>
                </w:p>
              </w:tc>
              <w:tc>
                <w:tcPr>
                  <w:tcW w:w="2823" w:type="dxa"/>
                  <w:gridSpan w:val="2"/>
                  <w:tcBorders>
                    <w:tl2br w:val="nil"/>
                    <w:tr2bl w:val="nil"/>
                  </w:tcBorders>
                  <w:vAlign w:val="center"/>
                </w:tcPr>
                <w:p w14:paraId="59FC6A45">
                  <w:pPr>
                    <w:pStyle w:val="26"/>
                    <w:widowControl w:val="0"/>
                    <w:spacing w:before="0" w:beforeAutospacing="0" w:after="0" w:afterAutospacing="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21"/>
                      <w:szCs w:val="21"/>
                      <w:highlight w:val="none"/>
                    </w:rPr>
                    <w:t>危险废物分类</w:t>
                  </w:r>
                  <w:r>
                    <w:rPr>
                      <w:rFonts w:hint="default" w:ascii="Times New Roman" w:hAnsi="Times New Roman" w:cs="Times New Roman"/>
                      <w:color w:val="auto"/>
                      <w:sz w:val="21"/>
                      <w:szCs w:val="21"/>
                      <w:highlight w:val="none"/>
                    </w:rPr>
                    <w:t>HW49</w:t>
                  </w:r>
                </w:p>
                <w:p w14:paraId="119CDCC0">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危险代码900-041-49</w:t>
                  </w:r>
                </w:p>
              </w:tc>
            </w:tr>
            <w:tr w14:paraId="0DE15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013AAFD5">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主要有毒有害物质</w:t>
                  </w:r>
                </w:p>
              </w:tc>
              <w:tc>
                <w:tcPr>
                  <w:tcW w:w="713" w:type="dxa"/>
                  <w:tcBorders>
                    <w:tl2br w:val="nil"/>
                    <w:tr2bl w:val="nil"/>
                  </w:tcBorders>
                  <w:vAlign w:val="center"/>
                </w:tcPr>
                <w:p w14:paraId="244F79DF">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w:t>
                  </w:r>
                </w:p>
              </w:tc>
              <w:tc>
                <w:tcPr>
                  <w:tcW w:w="939" w:type="dxa"/>
                  <w:tcBorders>
                    <w:tl2br w:val="nil"/>
                    <w:tr2bl w:val="nil"/>
                  </w:tcBorders>
                  <w:vAlign w:val="center"/>
                </w:tcPr>
                <w:p w14:paraId="45334914">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850" w:type="dxa"/>
                  <w:tcBorders>
                    <w:tl2br w:val="nil"/>
                    <w:tr2bl w:val="nil"/>
                  </w:tcBorders>
                  <w:vAlign w:val="center"/>
                </w:tcPr>
                <w:p w14:paraId="67C1F23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67" w:type="dxa"/>
                  <w:tcBorders>
                    <w:tl2br w:val="nil"/>
                    <w:tr2bl w:val="nil"/>
                  </w:tcBorders>
                  <w:vAlign w:val="center"/>
                </w:tcPr>
                <w:p w14:paraId="4EE91AD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16" w:type="dxa"/>
                  <w:tcBorders>
                    <w:tl2br w:val="nil"/>
                    <w:tr2bl w:val="nil"/>
                  </w:tcBorders>
                  <w:vAlign w:val="center"/>
                </w:tcPr>
                <w:p w14:paraId="1C90EB59">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废矿物油</w:t>
                  </w:r>
                </w:p>
              </w:tc>
              <w:tc>
                <w:tcPr>
                  <w:tcW w:w="2823" w:type="dxa"/>
                  <w:gridSpan w:val="2"/>
                  <w:tcBorders>
                    <w:tl2br w:val="nil"/>
                    <w:tr2bl w:val="nil"/>
                  </w:tcBorders>
                  <w:vAlign w:val="center"/>
                </w:tcPr>
                <w:p w14:paraId="33E4895C">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废矿物油</w:t>
                  </w:r>
                </w:p>
              </w:tc>
            </w:tr>
            <w:tr w14:paraId="2D624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0EFE0321">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物理</w:t>
                  </w:r>
                </w:p>
                <w:p w14:paraId="60293110">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性状</w:t>
                  </w:r>
                </w:p>
              </w:tc>
              <w:tc>
                <w:tcPr>
                  <w:tcW w:w="713" w:type="dxa"/>
                  <w:tcBorders>
                    <w:tl2br w:val="nil"/>
                    <w:tr2bl w:val="nil"/>
                  </w:tcBorders>
                  <w:vAlign w:val="center"/>
                </w:tcPr>
                <w:p w14:paraId="5B0484FA">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固体</w:t>
                  </w:r>
                </w:p>
              </w:tc>
              <w:tc>
                <w:tcPr>
                  <w:tcW w:w="939" w:type="dxa"/>
                  <w:tcBorders>
                    <w:tl2br w:val="nil"/>
                    <w:tr2bl w:val="nil"/>
                  </w:tcBorders>
                  <w:vAlign w:val="center"/>
                </w:tcPr>
                <w:p w14:paraId="2F577019">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固体</w:t>
                  </w:r>
                </w:p>
              </w:tc>
              <w:tc>
                <w:tcPr>
                  <w:tcW w:w="850" w:type="dxa"/>
                  <w:tcBorders>
                    <w:tl2br w:val="nil"/>
                    <w:tr2bl w:val="nil"/>
                  </w:tcBorders>
                  <w:vAlign w:val="center"/>
                </w:tcPr>
                <w:p w14:paraId="3D18D3C3">
                  <w:pPr>
                    <w:pStyle w:val="26"/>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固液体</w:t>
                  </w:r>
                </w:p>
              </w:tc>
              <w:tc>
                <w:tcPr>
                  <w:tcW w:w="967" w:type="dxa"/>
                  <w:tcBorders>
                    <w:tl2br w:val="nil"/>
                    <w:tr2bl w:val="nil"/>
                  </w:tcBorders>
                  <w:vAlign w:val="center"/>
                </w:tcPr>
                <w:p w14:paraId="57D9C596">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固体</w:t>
                  </w:r>
                </w:p>
              </w:tc>
              <w:tc>
                <w:tcPr>
                  <w:tcW w:w="1316" w:type="dxa"/>
                  <w:tcBorders>
                    <w:tl2br w:val="nil"/>
                    <w:tr2bl w:val="nil"/>
                  </w:tcBorders>
                  <w:vAlign w:val="center"/>
                </w:tcPr>
                <w:p w14:paraId="42DAD3A2">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液体</w:t>
                  </w:r>
                </w:p>
              </w:tc>
              <w:tc>
                <w:tcPr>
                  <w:tcW w:w="2823" w:type="dxa"/>
                  <w:gridSpan w:val="2"/>
                  <w:tcBorders>
                    <w:tl2br w:val="nil"/>
                    <w:tr2bl w:val="nil"/>
                  </w:tcBorders>
                  <w:vAlign w:val="center"/>
                </w:tcPr>
                <w:p w14:paraId="2D09CDA7">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固体</w:t>
                  </w:r>
                </w:p>
              </w:tc>
            </w:tr>
            <w:tr w14:paraId="07A6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10325228">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环境危险特性</w:t>
                  </w:r>
                </w:p>
              </w:tc>
              <w:tc>
                <w:tcPr>
                  <w:tcW w:w="713" w:type="dxa"/>
                  <w:tcBorders>
                    <w:tl2br w:val="nil"/>
                    <w:tr2bl w:val="nil"/>
                  </w:tcBorders>
                  <w:vAlign w:val="center"/>
                </w:tcPr>
                <w:p w14:paraId="5AB42616">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w:t>
                  </w:r>
                </w:p>
              </w:tc>
              <w:tc>
                <w:tcPr>
                  <w:tcW w:w="939" w:type="dxa"/>
                  <w:tcBorders>
                    <w:tl2br w:val="nil"/>
                    <w:tr2bl w:val="nil"/>
                  </w:tcBorders>
                  <w:vAlign w:val="center"/>
                </w:tcPr>
                <w:p w14:paraId="690636C4">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850" w:type="dxa"/>
                  <w:tcBorders>
                    <w:tl2br w:val="nil"/>
                    <w:tr2bl w:val="nil"/>
                  </w:tcBorders>
                  <w:vAlign w:val="center"/>
                </w:tcPr>
                <w:p w14:paraId="660F062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67" w:type="dxa"/>
                  <w:tcBorders>
                    <w:tl2br w:val="nil"/>
                    <w:tr2bl w:val="nil"/>
                  </w:tcBorders>
                  <w:vAlign w:val="center"/>
                </w:tcPr>
                <w:p w14:paraId="50A17EB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16" w:type="dxa"/>
                  <w:tcBorders>
                    <w:tl2br w:val="nil"/>
                    <w:tr2bl w:val="nil"/>
                  </w:tcBorders>
                  <w:vAlign w:val="center"/>
                </w:tcPr>
                <w:p w14:paraId="0894DE38">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T</w:t>
                  </w:r>
                  <w:r>
                    <w:rPr>
                      <w:rFonts w:hint="eastAsia" w:ascii="Times New Roman" w:hAnsi="Times New Roman" w:cs="Times New Roman"/>
                      <w:color w:val="auto"/>
                      <w:kern w:val="2"/>
                      <w:sz w:val="21"/>
                      <w:szCs w:val="21"/>
                      <w:highlight w:val="none"/>
                      <w:lang w:eastAsia="zh-CN"/>
                    </w:rPr>
                    <w:t xml:space="preserve">, </w:t>
                  </w:r>
                  <w:r>
                    <w:rPr>
                      <w:rFonts w:hint="default" w:ascii="Times New Roman" w:hAnsi="Times New Roman" w:cs="Times New Roman"/>
                      <w:color w:val="auto"/>
                      <w:kern w:val="2"/>
                      <w:sz w:val="21"/>
                      <w:szCs w:val="21"/>
                      <w:highlight w:val="none"/>
                    </w:rPr>
                    <w:t>I</w:t>
                  </w:r>
                </w:p>
              </w:tc>
              <w:tc>
                <w:tcPr>
                  <w:tcW w:w="2823" w:type="dxa"/>
                  <w:gridSpan w:val="2"/>
                  <w:tcBorders>
                    <w:tl2br w:val="nil"/>
                    <w:tr2bl w:val="nil"/>
                  </w:tcBorders>
                  <w:vAlign w:val="center"/>
                </w:tcPr>
                <w:p w14:paraId="49A6F9F0">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T/In</w:t>
                  </w:r>
                </w:p>
              </w:tc>
            </w:tr>
            <w:tr w14:paraId="613E3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74FF64E2">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年产</w:t>
                  </w:r>
                </w:p>
                <w:p w14:paraId="4D37E25A">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生量</w:t>
                  </w:r>
                </w:p>
              </w:tc>
              <w:tc>
                <w:tcPr>
                  <w:tcW w:w="713" w:type="dxa"/>
                  <w:tcBorders>
                    <w:tl2br w:val="nil"/>
                    <w:tr2bl w:val="nil"/>
                  </w:tcBorders>
                  <w:vAlign w:val="center"/>
                </w:tcPr>
                <w:p w14:paraId="5036A0D4">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rPr>
                    <w:t>2.2</w:t>
                  </w:r>
                  <w:r>
                    <w:rPr>
                      <w:rFonts w:hint="default" w:ascii="Times New Roman" w:hAnsi="Times New Roman" w:cs="Times New Roman"/>
                      <w:color w:val="auto"/>
                      <w:kern w:val="2"/>
                      <w:sz w:val="21"/>
                      <w:szCs w:val="21"/>
                      <w:highlight w:val="none"/>
                    </w:rPr>
                    <w:t>8t/a</w:t>
                  </w:r>
                </w:p>
              </w:tc>
              <w:tc>
                <w:tcPr>
                  <w:tcW w:w="939" w:type="dxa"/>
                  <w:tcBorders>
                    <w:tl2br w:val="nil"/>
                    <w:tr2bl w:val="nil"/>
                  </w:tcBorders>
                  <w:vAlign w:val="center"/>
                </w:tcPr>
                <w:p w14:paraId="463031E1">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2755</w:t>
                  </w:r>
                  <w:r>
                    <w:rPr>
                      <w:rFonts w:hint="default" w:ascii="Times New Roman" w:hAnsi="Times New Roman" w:cs="Times New Roman"/>
                      <w:color w:val="auto"/>
                      <w:kern w:val="2"/>
                      <w:sz w:val="21"/>
                      <w:szCs w:val="21"/>
                      <w:highlight w:val="none"/>
                    </w:rPr>
                    <w:t>t/a</w:t>
                  </w:r>
                </w:p>
              </w:tc>
              <w:tc>
                <w:tcPr>
                  <w:tcW w:w="850" w:type="dxa"/>
                  <w:tcBorders>
                    <w:tl2br w:val="nil"/>
                    <w:tr2bl w:val="nil"/>
                  </w:tcBorders>
                  <w:vAlign w:val="center"/>
                </w:tcPr>
                <w:p w14:paraId="355714A3">
                  <w:pPr>
                    <w:pStyle w:val="26"/>
                    <w:widowControl w:val="0"/>
                    <w:spacing w:before="0" w:beforeAutospacing="0" w:after="0" w:afterAutospacing="0"/>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val="en-US" w:eastAsia="zh-CN"/>
                    </w:rPr>
                    <w:t>7.14</w:t>
                  </w:r>
                  <w:r>
                    <w:rPr>
                      <w:rFonts w:hint="default" w:ascii="Times New Roman" w:hAnsi="Times New Roman" w:cs="Times New Roman"/>
                      <w:color w:val="auto"/>
                      <w:kern w:val="2"/>
                      <w:sz w:val="21"/>
                      <w:szCs w:val="21"/>
                      <w:highlight w:val="none"/>
                      <w:lang w:val="en-US" w:eastAsia="zh-CN"/>
                    </w:rPr>
                    <w:t xml:space="preserve">万 </w:t>
                  </w:r>
                  <w:r>
                    <w:rPr>
                      <w:rFonts w:hint="default" w:ascii="Times New Roman" w:hAnsi="Times New Roman" w:cs="Times New Roman"/>
                      <w:color w:val="auto"/>
                      <w:kern w:val="2"/>
                      <w:sz w:val="21"/>
                      <w:szCs w:val="21"/>
                      <w:highlight w:val="none"/>
                    </w:rPr>
                    <w:t>t/a</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含水率30%</w:t>
                  </w:r>
                  <w:r>
                    <w:rPr>
                      <w:rFonts w:hint="eastAsia" w:ascii="Times New Roman" w:hAnsi="Times New Roman" w:cs="Times New Roman"/>
                      <w:color w:val="auto"/>
                      <w:kern w:val="2"/>
                      <w:sz w:val="21"/>
                      <w:szCs w:val="21"/>
                      <w:highlight w:val="none"/>
                      <w:lang w:eastAsia="zh-CN"/>
                    </w:rPr>
                    <w:t>）</w:t>
                  </w:r>
                </w:p>
              </w:tc>
              <w:tc>
                <w:tcPr>
                  <w:tcW w:w="967" w:type="dxa"/>
                  <w:tcBorders>
                    <w:tl2br w:val="nil"/>
                    <w:tr2bl w:val="nil"/>
                  </w:tcBorders>
                  <w:vAlign w:val="center"/>
                </w:tcPr>
                <w:p w14:paraId="1182DFDE">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 xml:space="preserve">50 </w:t>
                  </w:r>
                  <w:r>
                    <w:rPr>
                      <w:rFonts w:hint="default" w:ascii="Times New Roman" w:hAnsi="Times New Roman" w:cs="Times New Roman"/>
                      <w:color w:val="auto"/>
                      <w:kern w:val="2"/>
                      <w:sz w:val="21"/>
                      <w:szCs w:val="21"/>
                      <w:highlight w:val="none"/>
                    </w:rPr>
                    <w:t>kg/a</w:t>
                  </w:r>
                </w:p>
              </w:tc>
              <w:tc>
                <w:tcPr>
                  <w:tcW w:w="1316" w:type="dxa"/>
                  <w:tcBorders>
                    <w:tl2br w:val="nil"/>
                    <w:tr2bl w:val="nil"/>
                  </w:tcBorders>
                  <w:vAlign w:val="center"/>
                </w:tcPr>
                <w:p w14:paraId="06C09954">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0.</w:t>
                  </w:r>
                  <w:r>
                    <w:rPr>
                      <w:rFonts w:hint="default" w:ascii="Times New Roman" w:hAnsi="Times New Roman" w:cs="Times New Roman"/>
                      <w:color w:val="auto"/>
                      <w:kern w:val="2"/>
                      <w:sz w:val="21"/>
                      <w:szCs w:val="21"/>
                      <w:highlight w:val="none"/>
                      <w:lang w:val="en-US" w:eastAsia="zh-CN"/>
                    </w:rPr>
                    <w:t xml:space="preserve">1 </w:t>
                  </w:r>
                  <w:r>
                    <w:rPr>
                      <w:rFonts w:hint="default" w:ascii="Times New Roman" w:hAnsi="Times New Roman" w:cs="Times New Roman"/>
                      <w:color w:val="auto"/>
                      <w:kern w:val="2"/>
                      <w:sz w:val="21"/>
                      <w:szCs w:val="21"/>
                      <w:highlight w:val="none"/>
                    </w:rPr>
                    <w:t>t/a</w:t>
                  </w:r>
                </w:p>
              </w:tc>
              <w:tc>
                <w:tcPr>
                  <w:tcW w:w="1239" w:type="dxa"/>
                  <w:tcBorders>
                    <w:tl2br w:val="nil"/>
                    <w:tr2bl w:val="nil"/>
                  </w:tcBorders>
                  <w:vAlign w:val="center"/>
                </w:tcPr>
                <w:p w14:paraId="584FB825">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 xml:space="preserve">5 </w:t>
                  </w:r>
                  <w:r>
                    <w:rPr>
                      <w:rFonts w:hint="default" w:ascii="Times New Roman" w:hAnsi="Times New Roman" w:cs="Times New Roman"/>
                      <w:color w:val="auto"/>
                      <w:sz w:val="21"/>
                      <w:szCs w:val="21"/>
                      <w:highlight w:val="none"/>
                    </w:rPr>
                    <w:t>t/a</w:t>
                  </w:r>
                </w:p>
              </w:tc>
              <w:tc>
                <w:tcPr>
                  <w:tcW w:w="1584" w:type="dxa"/>
                  <w:tcBorders>
                    <w:tl2br w:val="nil"/>
                    <w:tr2bl w:val="nil"/>
                  </w:tcBorders>
                  <w:vAlign w:val="center"/>
                </w:tcPr>
                <w:p w14:paraId="75117BB0">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w:t>
                  </w:r>
                  <w:r>
                    <w:rPr>
                      <w:rFonts w:hint="default" w:ascii="Times New Roman" w:hAnsi="Times New Roman" w:cs="Times New Roman"/>
                      <w:color w:val="auto"/>
                      <w:kern w:val="2"/>
                      <w:sz w:val="21"/>
                      <w:szCs w:val="21"/>
                      <w:highlight w:val="none"/>
                      <w:lang w:val="en-US" w:eastAsia="zh-CN"/>
                    </w:rPr>
                    <w:t xml:space="preserve">3 </w:t>
                  </w:r>
                  <w:r>
                    <w:rPr>
                      <w:rFonts w:hint="default" w:ascii="Times New Roman" w:hAnsi="Times New Roman" w:cs="Times New Roman"/>
                      <w:color w:val="auto"/>
                      <w:kern w:val="2"/>
                      <w:sz w:val="21"/>
                      <w:szCs w:val="21"/>
                      <w:highlight w:val="none"/>
                    </w:rPr>
                    <w:t>t/a</w:t>
                  </w:r>
                </w:p>
              </w:tc>
            </w:tr>
            <w:tr w14:paraId="5A2D1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3E61B741">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贮存</w:t>
                  </w:r>
                </w:p>
                <w:p w14:paraId="29605993">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方式</w:t>
                  </w:r>
                </w:p>
              </w:tc>
              <w:tc>
                <w:tcPr>
                  <w:tcW w:w="713" w:type="dxa"/>
                  <w:tcBorders>
                    <w:tl2br w:val="nil"/>
                    <w:tr2bl w:val="nil"/>
                  </w:tcBorders>
                  <w:vAlign w:val="center"/>
                </w:tcPr>
                <w:p w14:paraId="09815AD0">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袋盖塑料垃圾桶收集</w:t>
                  </w:r>
                </w:p>
              </w:tc>
              <w:tc>
                <w:tcPr>
                  <w:tcW w:w="939" w:type="dxa"/>
                  <w:tcBorders>
                    <w:tl2br w:val="nil"/>
                    <w:tr2bl w:val="nil"/>
                  </w:tcBorders>
                  <w:vAlign w:val="center"/>
                </w:tcPr>
                <w:p w14:paraId="13033FE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收集暂存于生产车间闲置区域</w:t>
                  </w:r>
                </w:p>
              </w:tc>
              <w:tc>
                <w:tcPr>
                  <w:tcW w:w="850" w:type="dxa"/>
                  <w:tcBorders>
                    <w:tl2br w:val="nil"/>
                    <w:tr2bl w:val="nil"/>
                  </w:tcBorders>
                  <w:vAlign w:val="center"/>
                </w:tcPr>
                <w:p w14:paraId="25DB4A6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暂存于</w:t>
                  </w:r>
                  <w:r>
                    <w:rPr>
                      <w:rFonts w:hint="default" w:ascii="Times New Roman" w:hAnsi="Times New Roman" w:cs="Times New Roman"/>
                      <w:color w:val="auto"/>
                      <w:szCs w:val="21"/>
                      <w:highlight w:val="none"/>
                      <w:lang w:val="en-US" w:eastAsia="zh-CN"/>
                    </w:rPr>
                    <w:t>一般固废暂存区</w:t>
                  </w:r>
                  <w:r>
                    <w:rPr>
                      <w:rFonts w:hint="default" w:ascii="Times New Roman" w:hAnsi="Times New Roman" w:cs="Times New Roman"/>
                      <w:color w:val="auto"/>
                      <w:szCs w:val="21"/>
                      <w:highlight w:val="none"/>
                    </w:rPr>
                    <w:t>域</w:t>
                  </w:r>
                </w:p>
              </w:tc>
              <w:tc>
                <w:tcPr>
                  <w:tcW w:w="967" w:type="dxa"/>
                  <w:tcBorders>
                    <w:tl2br w:val="nil"/>
                    <w:tr2bl w:val="nil"/>
                  </w:tcBorders>
                  <w:vAlign w:val="center"/>
                </w:tcPr>
                <w:p w14:paraId="0CC5483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袋装收集暂存于生产车间闲置区域</w:t>
                  </w:r>
                </w:p>
              </w:tc>
              <w:tc>
                <w:tcPr>
                  <w:tcW w:w="1316" w:type="dxa"/>
                  <w:tcBorders>
                    <w:tl2br w:val="nil"/>
                    <w:tr2bl w:val="nil"/>
                  </w:tcBorders>
                  <w:vAlign w:val="center"/>
                </w:tcPr>
                <w:p w14:paraId="3A57D003">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钢质桶收集后置于危废贮存库内</w:t>
                  </w:r>
                </w:p>
              </w:tc>
              <w:tc>
                <w:tcPr>
                  <w:tcW w:w="2823" w:type="dxa"/>
                  <w:gridSpan w:val="2"/>
                  <w:tcBorders>
                    <w:tl2br w:val="nil"/>
                    <w:tr2bl w:val="nil"/>
                  </w:tcBorders>
                  <w:vAlign w:val="center"/>
                </w:tcPr>
                <w:p w14:paraId="71B9DF28">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含油手套采用塑料桶收集后与废油桶一起放置在危废贮存库内</w:t>
                  </w:r>
                </w:p>
              </w:tc>
            </w:tr>
            <w:tr w14:paraId="292FF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4564143A">
                  <w:pPr>
                    <w:pStyle w:val="26"/>
                    <w:widowControl w:val="0"/>
                    <w:spacing w:before="0" w:beforeAutospacing="0" w:after="0" w:afterAutospacing="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利用处置方式</w:t>
                  </w:r>
                </w:p>
                <w:p w14:paraId="06031CA1">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1"/>
                      <w:sz w:val="21"/>
                      <w:szCs w:val="21"/>
                      <w:highlight w:val="none"/>
                    </w:rPr>
                    <w:t>和去向</w:t>
                  </w:r>
                </w:p>
              </w:tc>
              <w:tc>
                <w:tcPr>
                  <w:tcW w:w="713" w:type="dxa"/>
                  <w:tcBorders>
                    <w:tl2br w:val="nil"/>
                    <w:tr2bl w:val="nil"/>
                  </w:tcBorders>
                  <w:vAlign w:val="center"/>
                </w:tcPr>
                <w:p w14:paraId="76EF87F4">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交环卫部门</w:t>
                  </w:r>
                </w:p>
                <w:p w14:paraId="16531273">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处置</w:t>
                  </w:r>
                </w:p>
              </w:tc>
              <w:tc>
                <w:tcPr>
                  <w:tcW w:w="939" w:type="dxa"/>
                  <w:tcBorders>
                    <w:tl2br w:val="nil"/>
                    <w:tr2bl w:val="nil"/>
                  </w:tcBorders>
                  <w:vAlign w:val="center"/>
                </w:tcPr>
                <w:p w14:paraId="4152DF8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作为生产原料再利用</w:t>
                  </w:r>
                </w:p>
              </w:tc>
              <w:tc>
                <w:tcPr>
                  <w:tcW w:w="850" w:type="dxa"/>
                  <w:tcBorders>
                    <w:tl2br w:val="nil"/>
                    <w:tr2bl w:val="nil"/>
                  </w:tcBorders>
                  <w:vAlign w:val="center"/>
                </w:tcPr>
                <w:p w14:paraId="50A0F90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szCs w:val="21"/>
                      <w:lang w:bidi="ar"/>
                    </w:rPr>
                    <w:t>外</w:t>
                  </w:r>
                  <w:r>
                    <w:rPr>
                      <w:rFonts w:hint="default" w:ascii="Times New Roman" w:hAnsi="Times New Roman" w:cs="Times New Roman"/>
                      <w:szCs w:val="21"/>
                      <w:lang w:val="en-US" w:eastAsia="zh-CN" w:bidi="ar"/>
                    </w:rPr>
                    <w:t>运综合利用</w:t>
                  </w:r>
                </w:p>
              </w:tc>
              <w:tc>
                <w:tcPr>
                  <w:tcW w:w="967" w:type="dxa"/>
                  <w:tcBorders>
                    <w:tl2br w:val="nil"/>
                    <w:tr2bl w:val="nil"/>
                  </w:tcBorders>
                  <w:vAlign w:val="center"/>
                </w:tcPr>
                <w:p w14:paraId="58DC76B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交由当地废品回收站处置</w:t>
                  </w:r>
                </w:p>
              </w:tc>
              <w:tc>
                <w:tcPr>
                  <w:tcW w:w="4139" w:type="dxa"/>
                  <w:gridSpan w:val="3"/>
                  <w:tcBorders>
                    <w:tl2br w:val="nil"/>
                    <w:tr2bl w:val="nil"/>
                  </w:tcBorders>
                  <w:vAlign w:val="center"/>
                </w:tcPr>
                <w:p w14:paraId="2E833DC5">
                  <w:pPr>
                    <w:pStyle w:val="26"/>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交由有</w:t>
                  </w:r>
                  <w:r>
                    <w:rPr>
                      <w:rFonts w:hint="default" w:ascii="Times New Roman" w:hAnsi="Times New Roman" w:cs="Times New Roman"/>
                      <w:color w:val="auto"/>
                      <w:kern w:val="2"/>
                      <w:sz w:val="21"/>
                      <w:szCs w:val="21"/>
                      <w:highlight w:val="none"/>
                      <w:lang w:val="en-US" w:eastAsia="zh-CN"/>
                    </w:rPr>
                    <w:t>危废</w:t>
                  </w:r>
                  <w:r>
                    <w:rPr>
                      <w:rFonts w:hint="default" w:ascii="Times New Roman" w:hAnsi="Times New Roman" w:cs="Times New Roman"/>
                      <w:color w:val="auto"/>
                      <w:kern w:val="2"/>
                      <w:sz w:val="21"/>
                      <w:szCs w:val="21"/>
                      <w:highlight w:val="none"/>
                    </w:rPr>
                    <w:t>资质单位处置</w:t>
                  </w:r>
                </w:p>
              </w:tc>
            </w:tr>
            <w:tr w14:paraId="3619A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314EFE81">
                  <w:pPr>
                    <w:pStyle w:val="26"/>
                    <w:widowControl w:val="0"/>
                    <w:spacing w:before="0" w:beforeAutospacing="0" w:after="0" w:afterAutospacing="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利用或处置量</w:t>
                  </w:r>
                </w:p>
              </w:tc>
              <w:tc>
                <w:tcPr>
                  <w:tcW w:w="7608" w:type="dxa"/>
                  <w:gridSpan w:val="7"/>
                  <w:tcBorders>
                    <w:tl2br w:val="nil"/>
                    <w:tr2bl w:val="nil"/>
                  </w:tcBorders>
                  <w:vAlign w:val="center"/>
                </w:tcPr>
                <w:p w14:paraId="0E0F924F">
                  <w:pPr>
                    <w:pStyle w:val="26"/>
                    <w:widowControl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100%处置</w:t>
                  </w:r>
                </w:p>
              </w:tc>
            </w:tr>
          </w:tbl>
          <w:p w14:paraId="37FA14A5">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综上，建设单位在采取上述措施后，</w:t>
            </w:r>
            <w:r>
              <w:rPr>
                <w:rFonts w:hint="eastAsia" w:ascii="Times New Roman" w:hAnsi="Times New Roman" w:eastAsia="宋体" w:cs="Times New Roman"/>
                <w:color w:val="auto"/>
                <w:sz w:val="24"/>
                <w:highlight w:val="none"/>
                <w:lang w:eastAsia="zh-CN"/>
              </w:rPr>
              <w:t>项目运营期固废均可实现资源化或无害化处置，</w:t>
            </w:r>
            <w:r>
              <w:rPr>
                <w:rFonts w:hint="default" w:ascii="Times New Roman" w:hAnsi="Times New Roman" w:eastAsia="宋体" w:cs="Times New Roman"/>
                <w:color w:val="auto"/>
                <w:sz w:val="24"/>
                <w:highlight w:val="none"/>
              </w:rPr>
              <w:t>产生的固体废物对周围环境影响较小。</w:t>
            </w:r>
          </w:p>
          <w:p w14:paraId="15F42455">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（五）地下水及土壤</w:t>
            </w:r>
          </w:p>
          <w:p w14:paraId="5F8221F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1、影响途径和污染物类型</w:t>
            </w:r>
          </w:p>
          <w:p w14:paraId="43EE83B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地下水和土壤污染源主要为：化粪池、沉淀池以及危废贮存库；</w:t>
            </w:r>
          </w:p>
          <w:p w14:paraId="66BECAD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途径：</w:t>
            </w:r>
            <w:r>
              <w:rPr>
                <w:rFonts w:hint="default" w:ascii="Times New Roman" w:hAnsi="Times New Roman" w:cs="Times New Roman"/>
                <w:color w:val="auto"/>
                <w:sz w:val="24"/>
                <w:highlight w:val="none"/>
                <w:lang w:val="en-US" w:eastAsia="zh-CN"/>
              </w:rPr>
              <w:t>沉淀池</w:t>
            </w:r>
            <w:r>
              <w:rPr>
                <w:rFonts w:hint="default" w:ascii="Times New Roman" w:hAnsi="Times New Roman" w:cs="Times New Roman"/>
                <w:color w:val="auto"/>
                <w:sz w:val="24"/>
                <w:highlight w:val="none"/>
              </w:rPr>
              <w:t>渗漏，危废遗撒下渗，从而造成土壤和地下水污染；</w:t>
            </w:r>
          </w:p>
          <w:p w14:paraId="0C89169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污染物类型：</w:t>
            </w:r>
            <w:r>
              <w:rPr>
                <w:rFonts w:hint="default" w:ascii="Times New Roman" w:hAnsi="Times New Roman" w:cs="Times New Roman"/>
                <w:color w:val="auto"/>
                <w:sz w:val="24"/>
                <w:highlight w:val="none"/>
                <w:lang w:val="en-US" w:eastAsia="zh-CN"/>
              </w:rPr>
              <w:t>洗砂废水、</w:t>
            </w:r>
            <w:r>
              <w:rPr>
                <w:rFonts w:hint="default" w:ascii="Times New Roman" w:hAnsi="Times New Roman" w:cs="Times New Roman"/>
                <w:color w:val="auto"/>
                <w:sz w:val="24"/>
                <w:highlight w:val="none"/>
              </w:rPr>
              <w:t>车辆冲洗废水污染物主要为SS，生活污水污染物主要为氨氮、COD、总磷等，危险废物污染物主要为石油类。</w:t>
            </w:r>
          </w:p>
          <w:p w14:paraId="7EDBD0A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2、防控措施</w:t>
            </w:r>
          </w:p>
          <w:p w14:paraId="71FE4A1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根据现场调查，厂区</w:t>
            </w:r>
            <w:r>
              <w:rPr>
                <w:rFonts w:hint="default" w:ascii="Times New Roman" w:hAnsi="Times New Roman" w:cs="Times New Roman"/>
                <w:color w:val="auto"/>
                <w:sz w:val="24"/>
                <w:highlight w:val="none"/>
                <w:lang w:val="en-US" w:eastAsia="zh-CN"/>
              </w:rPr>
              <w:t>现有</w:t>
            </w:r>
            <w:r>
              <w:rPr>
                <w:rFonts w:hint="default" w:ascii="Times New Roman" w:hAnsi="Times New Roman" w:cs="Times New Roman"/>
                <w:color w:val="auto"/>
                <w:sz w:val="24"/>
                <w:highlight w:val="none"/>
              </w:rPr>
              <w:t>化粪池已按要求进行防渗处理，截至目前一直正常运行，未出现意外破损等现象。</w:t>
            </w:r>
            <w:r>
              <w:rPr>
                <w:rFonts w:hint="eastAsia" w:ascii="Times New Roman" w:hAnsi="Times New Roman" w:eastAsia="宋体" w:cs="Times New Roman"/>
                <w:color w:val="auto"/>
                <w:sz w:val="24"/>
                <w:highlight w:val="none"/>
                <w:lang w:eastAsia="zh-CN"/>
              </w:rPr>
              <w:t>危废贮存库</w:t>
            </w:r>
            <w:r>
              <w:rPr>
                <w:rFonts w:hint="default" w:ascii="Times New Roman" w:hAnsi="Times New Roman" w:cs="Times New Roman"/>
                <w:color w:val="auto"/>
                <w:sz w:val="24"/>
                <w:highlight w:val="none"/>
              </w:rPr>
              <w:t>地面</w:t>
            </w:r>
            <w:r>
              <w:rPr>
                <w:rFonts w:hint="eastAsia" w:cs="Times New Roman"/>
                <w:color w:val="auto"/>
                <w:sz w:val="24"/>
                <w:highlight w:val="none"/>
                <w:lang w:val="en-US" w:eastAsia="zh-CN"/>
              </w:rPr>
              <w:t>将采取重点防渗处理，</w:t>
            </w:r>
            <w:r>
              <w:rPr>
                <w:rFonts w:hint="default" w:ascii="Times New Roman" w:hAnsi="Times New Roman" w:cs="Times New Roman"/>
                <w:color w:val="auto"/>
                <w:sz w:val="24"/>
                <w:highlight w:val="none"/>
              </w:rPr>
              <w:t>设置托盘，因此环评要求建设单位应及时按照《危险废物贮存污染控制标准》（GB</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18597-2023），铺设符合渗透系数要求的防渗材料，并在收集容器底部设置托盘，防止危险废物渗漏，并做好定期巡检。</w:t>
            </w:r>
          </w:p>
          <w:p w14:paraId="04BD5F5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通过采取以上措施并加强管理后，正常工况下不会对项目区地下水和土壤产生影响。</w:t>
            </w:r>
          </w:p>
          <w:p w14:paraId="089D4996">
            <w:pPr>
              <w:numPr>
                <w:ilvl w:val="0"/>
                <w:numId w:val="6"/>
              </w:num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环境风险</w:t>
            </w:r>
          </w:p>
          <w:p w14:paraId="6A06C5E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（1）环境风险物质：</w:t>
            </w:r>
            <w:r>
              <w:rPr>
                <w:rFonts w:hint="default" w:ascii="Times New Roman" w:hAnsi="Times New Roman" w:cs="Times New Roman"/>
                <w:color w:val="auto"/>
                <w:sz w:val="24"/>
                <w:highlight w:val="none"/>
                <w:lang w:eastAsia="zh-CN"/>
              </w:rPr>
              <w:t>润滑油和</w:t>
            </w:r>
            <w:r>
              <w:rPr>
                <w:rFonts w:hint="default" w:ascii="Times New Roman" w:hAnsi="Times New Roman" w:cs="Times New Roman"/>
                <w:color w:val="auto"/>
                <w:sz w:val="24"/>
                <w:highlight w:val="none"/>
              </w:rPr>
              <w:t>废润滑油。</w:t>
            </w:r>
          </w:p>
          <w:p w14:paraId="6174DA33">
            <w:pPr>
              <w:adjustRightInd w:val="0"/>
              <w:snapToGrid w:val="0"/>
              <w:spacing w:line="360" w:lineRule="auto"/>
              <w:ind w:firstLine="48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sz w:val="24"/>
                <w:highlight w:val="none"/>
              </w:rPr>
              <w:t>根据《建设项目环境风险评价技术导则》（HJ</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169-2018）附录B，对本项目环境风险物质的Q值计算如下：</w:t>
            </w:r>
          </w:p>
          <w:p w14:paraId="67C27057">
            <w:pPr>
              <w:pStyle w:val="41"/>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表4-1</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 xml:space="preserve">  风险物质及Q值计算一览表</w:t>
            </w:r>
          </w:p>
          <w:tbl>
            <w:tblPr>
              <w:tblStyle w:val="32"/>
              <w:tblW w:w="8381"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1858"/>
              <w:gridCol w:w="1300"/>
              <w:gridCol w:w="1681"/>
              <w:gridCol w:w="1742"/>
              <w:gridCol w:w="1800"/>
            </w:tblGrid>
            <w:tr w14:paraId="18CB71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97" w:hRule="exact"/>
              </w:trPr>
              <w:tc>
                <w:tcPr>
                  <w:tcW w:w="1858" w:type="dxa"/>
                  <w:tcBorders>
                    <w:tl2br w:val="nil"/>
                    <w:tr2bl w:val="nil"/>
                  </w:tcBorders>
                  <w:vAlign w:val="center"/>
                </w:tcPr>
                <w:p w14:paraId="21FB2271">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风险物质</w:t>
                  </w:r>
                </w:p>
              </w:tc>
              <w:tc>
                <w:tcPr>
                  <w:tcW w:w="1300" w:type="dxa"/>
                  <w:tcBorders>
                    <w:tl2br w:val="nil"/>
                    <w:tr2bl w:val="nil"/>
                  </w:tcBorders>
                  <w:vAlign w:val="center"/>
                </w:tcPr>
                <w:p w14:paraId="4DCE4858">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CAS</w:t>
                  </w:r>
                </w:p>
              </w:tc>
              <w:tc>
                <w:tcPr>
                  <w:tcW w:w="1681" w:type="dxa"/>
                  <w:tcBorders>
                    <w:tl2br w:val="nil"/>
                    <w:tr2bl w:val="nil"/>
                  </w:tcBorders>
                  <w:vAlign w:val="center"/>
                </w:tcPr>
                <w:p w14:paraId="3E60E5C9">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临界量t</w:t>
                  </w:r>
                </w:p>
              </w:tc>
              <w:tc>
                <w:tcPr>
                  <w:tcW w:w="1742" w:type="dxa"/>
                  <w:tcBorders>
                    <w:tl2br w:val="nil"/>
                    <w:tr2bl w:val="nil"/>
                  </w:tcBorders>
                  <w:vAlign w:val="center"/>
                </w:tcPr>
                <w:p w14:paraId="50C2D8BC">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最大储存量t</w:t>
                  </w:r>
                </w:p>
              </w:tc>
              <w:tc>
                <w:tcPr>
                  <w:tcW w:w="1800" w:type="dxa"/>
                  <w:tcBorders>
                    <w:tl2br w:val="nil"/>
                    <w:tr2bl w:val="nil"/>
                  </w:tcBorders>
                  <w:vAlign w:val="center"/>
                </w:tcPr>
                <w:p w14:paraId="23258E40">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i</w:t>
                  </w:r>
                </w:p>
              </w:tc>
            </w:tr>
            <w:tr w14:paraId="595757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97" w:hRule="exact"/>
              </w:trPr>
              <w:tc>
                <w:tcPr>
                  <w:tcW w:w="1858" w:type="dxa"/>
                  <w:tcBorders>
                    <w:tl2br w:val="nil"/>
                    <w:tr2bl w:val="nil"/>
                  </w:tcBorders>
                  <w:vAlign w:val="center"/>
                </w:tcPr>
                <w:p w14:paraId="413FFD4B">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润滑油</w:t>
                  </w:r>
                </w:p>
              </w:tc>
              <w:tc>
                <w:tcPr>
                  <w:tcW w:w="1300" w:type="dxa"/>
                  <w:tcBorders>
                    <w:tl2br w:val="nil"/>
                    <w:tr2bl w:val="nil"/>
                  </w:tcBorders>
                  <w:vAlign w:val="center"/>
                </w:tcPr>
                <w:p w14:paraId="19771DFD">
                  <w:pPr>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681" w:type="dxa"/>
                  <w:tcBorders>
                    <w:tl2br w:val="nil"/>
                    <w:tr2bl w:val="nil"/>
                  </w:tcBorders>
                  <w:vAlign w:val="center"/>
                </w:tcPr>
                <w:p w14:paraId="79991FED">
                  <w:pPr>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2500</w:t>
                  </w:r>
                </w:p>
              </w:tc>
              <w:tc>
                <w:tcPr>
                  <w:tcW w:w="1742" w:type="dxa"/>
                  <w:tcBorders>
                    <w:tl2br w:val="nil"/>
                    <w:tr2bl w:val="nil"/>
                  </w:tcBorders>
                  <w:vAlign w:val="center"/>
                </w:tcPr>
                <w:p w14:paraId="75D646C4">
                  <w:pPr>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0.5</w:t>
                  </w:r>
                </w:p>
              </w:tc>
              <w:tc>
                <w:tcPr>
                  <w:tcW w:w="1800" w:type="dxa"/>
                  <w:tcBorders>
                    <w:tl2br w:val="nil"/>
                    <w:tr2bl w:val="nil"/>
                  </w:tcBorders>
                  <w:vAlign w:val="center"/>
                </w:tcPr>
                <w:p w14:paraId="052D9BBA">
                  <w:pPr>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0.0002</w:t>
                  </w:r>
                </w:p>
              </w:tc>
            </w:tr>
            <w:tr w14:paraId="68982A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97" w:hRule="exact"/>
              </w:trPr>
              <w:tc>
                <w:tcPr>
                  <w:tcW w:w="1858" w:type="dxa"/>
                  <w:tcBorders>
                    <w:tl2br w:val="nil"/>
                    <w:tr2bl w:val="nil"/>
                  </w:tcBorders>
                  <w:vAlign w:val="center"/>
                </w:tcPr>
                <w:p w14:paraId="3A87D444">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废润滑油</w:t>
                  </w:r>
                </w:p>
              </w:tc>
              <w:tc>
                <w:tcPr>
                  <w:tcW w:w="1300" w:type="dxa"/>
                  <w:tcBorders>
                    <w:tl2br w:val="nil"/>
                    <w:tr2bl w:val="nil"/>
                  </w:tcBorders>
                  <w:vAlign w:val="center"/>
                </w:tcPr>
                <w:p w14:paraId="1D7FE0D1">
                  <w:pPr>
                    <w:snapToGrid w:val="0"/>
                    <w:spacing w:beforeLines="30" w:afterLines="3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81" w:type="dxa"/>
                  <w:tcBorders>
                    <w:tl2br w:val="nil"/>
                    <w:tr2bl w:val="nil"/>
                  </w:tcBorders>
                  <w:vAlign w:val="center"/>
                </w:tcPr>
                <w:p w14:paraId="5C6D16A6">
                  <w:pPr>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50</w:t>
                  </w:r>
                </w:p>
              </w:tc>
              <w:tc>
                <w:tcPr>
                  <w:tcW w:w="1742" w:type="dxa"/>
                  <w:tcBorders>
                    <w:tl2br w:val="nil"/>
                    <w:tr2bl w:val="nil"/>
                  </w:tcBorders>
                  <w:vAlign w:val="center"/>
                </w:tcPr>
                <w:p w14:paraId="3DCCE6FB">
                  <w:pPr>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w:t>
                  </w:r>
                </w:p>
              </w:tc>
              <w:tc>
                <w:tcPr>
                  <w:tcW w:w="1800" w:type="dxa"/>
                  <w:tcBorders>
                    <w:tl2br w:val="nil"/>
                    <w:tr2bl w:val="nil"/>
                  </w:tcBorders>
                  <w:vAlign w:val="center"/>
                </w:tcPr>
                <w:p w14:paraId="4A32AF29">
                  <w:pPr>
                    <w:snapToGrid w:val="0"/>
                    <w:spacing w:beforeLines="30" w:afterLines="3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0.002</w:t>
                  </w:r>
                </w:p>
              </w:tc>
            </w:tr>
          </w:tbl>
          <w:p w14:paraId="161AE82D">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上表可见，全厂区风险物质Q=</w:t>
            </w:r>
            <w:r>
              <w:rPr>
                <w:rFonts w:hint="default" w:ascii="Times New Roman" w:hAnsi="Times New Roman" w:cs="Times New Roman"/>
                <w:color w:val="auto"/>
                <w:sz w:val="24"/>
                <w:highlight w:val="none"/>
                <w:lang w:val="en-US" w:eastAsia="zh-CN"/>
              </w:rPr>
              <w:t>0.0022</w:t>
            </w:r>
            <w:r>
              <w:rPr>
                <w:rFonts w:hint="default" w:ascii="Times New Roman" w:hAnsi="Times New Roman" w:cs="Times New Roman"/>
                <w:color w:val="auto"/>
                <w:sz w:val="24"/>
                <w:highlight w:val="none"/>
              </w:rPr>
              <w:t>&lt;1，故本项目风险潜势为Ⅰ，环境风险较低。</w:t>
            </w:r>
          </w:p>
          <w:p w14:paraId="18E5653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（2）影响途径：</w:t>
            </w:r>
            <w:r>
              <w:rPr>
                <w:rStyle w:val="38"/>
                <w:rFonts w:hint="default" w:ascii="Times New Roman" w:hAnsi="Times New Roman" w:cs="Times New Roman"/>
                <w:color w:val="auto"/>
                <w:kern w:val="0"/>
                <w:sz w:val="24"/>
                <w:highlight w:val="none"/>
              </w:rPr>
              <w:t>油类物质发生泄漏渗入地下，会给周边土壤及地下水环境带来污染隐患</w:t>
            </w:r>
            <w:r>
              <w:rPr>
                <w:rFonts w:hint="default" w:ascii="Times New Roman" w:hAnsi="Times New Roman" w:cs="Times New Roman"/>
                <w:color w:val="auto"/>
                <w:sz w:val="24"/>
                <w:highlight w:val="none"/>
              </w:rPr>
              <w:t>。</w:t>
            </w:r>
          </w:p>
          <w:p w14:paraId="6C9363F6">
            <w:pPr>
              <w:adjustRightInd w:val="0"/>
              <w:snapToGrid w:val="0"/>
              <w:spacing w:line="360" w:lineRule="auto"/>
              <w:ind w:firstLine="480" w:firstLineChars="200"/>
              <w:rPr>
                <w:rFonts w:hint="default" w:ascii="Times New Roman" w:hAnsi="Times New Roman" w:cs="Times New Roman"/>
                <w:bCs/>
                <w:color w:val="auto"/>
                <w:kern w:val="21"/>
                <w:szCs w:val="21"/>
                <w:highlight w:val="none"/>
              </w:rPr>
            </w:pPr>
            <w:r>
              <w:rPr>
                <w:rFonts w:hint="default" w:ascii="Times New Roman" w:hAnsi="Times New Roman" w:cs="Times New Roman"/>
                <w:color w:val="auto"/>
                <w:sz w:val="24"/>
                <w:highlight w:val="none"/>
              </w:rPr>
              <w:t>（3）防范措施：</w:t>
            </w:r>
            <w:r>
              <w:rPr>
                <w:rFonts w:hint="default" w:ascii="Times New Roman" w:hAnsi="Times New Roman" w:cs="Times New Roman"/>
                <w:color w:val="auto"/>
                <w:sz w:val="24"/>
                <w:highlight w:val="none"/>
                <w:lang w:eastAsia="zh-CN"/>
              </w:rPr>
              <w:t>由于本项目厂区靠近城区，便于采购润滑油，运营期可做到随用随购，不在厂区内进行暂存。使用过程产生的</w:t>
            </w:r>
            <w:r>
              <w:rPr>
                <w:rFonts w:hint="default" w:ascii="Times New Roman" w:hAnsi="Times New Roman" w:cs="Times New Roman"/>
                <w:color w:val="auto"/>
                <w:sz w:val="24"/>
                <w:highlight w:val="none"/>
              </w:rPr>
              <w:t>废润滑油</w:t>
            </w:r>
            <w:r>
              <w:rPr>
                <w:rFonts w:hint="default" w:ascii="Times New Roman" w:hAnsi="Times New Roman" w:cs="Times New Roman"/>
                <w:color w:val="auto"/>
                <w:sz w:val="24"/>
                <w:highlight w:val="none"/>
                <w:lang w:eastAsia="zh-CN"/>
              </w:rPr>
              <w:t>由于</w:t>
            </w:r>
            <w:r>
              <w:rPr>
                <w:rFonts w:hint="default" w:ascii="Times New Roman" w:hAnsi="Times New Roman" w:cs="Times New Roman"/>
                <w:color w:val="auto"/>
                <w:sz w:val="24"/>
                <w:highlight w:val="none"/>
              </w:rPr>
              <w:t>堆存量少，均盛装有包装设施，即使发生泄漏，其影响范围也大多集中在</w:t>
            </w:r>
            <w:r>
              <w:rPr>
                <w:rFonts w:hint="default" w:ascii="Times New Roman" w:hAnsi="Times New Roman" w:cs="Times New Roman"/>
                <w:color w:val="auto"/>
                <w:sz w:val="24"/>
                <w:highlight w:val="none"/>
                <w:lang w:eastAsia="zh-CN"/>
              </w:rPr>
              <w:t>危废贮存库内；危废贮存库</w:t>
            </w:r>
            <w:r>
              <w:rPr>
                <w:rFonts w:hint="eastAsia" w:cs="Times New Roman"/>
                <w:color w:val="auto"/>
                <w:sz w:val="24"/>
                <w:highlight w:val="none"/>
                <w:lang w:val="en-US" w:eastAsia="zh-CN"/>
              </w:rPr>
              <w:t>采取重点防渗处理</w:t>
            </w:r>
            <w:r>
              <w:rPr>
                <w:rFonts w:hint="default" w:ascii="Times New Roman" w:hAnsi="Times New Roman" w:cs="Times New Roman"/>
                <w:color w:val="auto"/>
                <w:sz w:val="24"/>
                <w:highlight w:val="none"/>
                <w:lang w:eastAsia="zh-CN"/>
              </w:rPr>
              <w:t>后</w:t>
            </w:r>
            <w:r>
              <w:rPr>
                <w:rFonts w:hint="default" w:ascii="Times New Roman" w:hAnsi="Times New Roman" w:cs="Times New Roman"/>
                <w:color w:val="auto"/>
                <w:sz w:val="24"/>
                <w:highlight w:val="none"/>
              </w:rPr>
              <w:t>，运营期</w:t>
            </w:r>
            <w:r>
              <w:rPr>
                <w:rFonts w:hint="default" w:ascii="Times New Roman" w:hAnsi="Times New Roman" w:cs="Times New Roman"/>
                <w:color w:val="auto"/>
                <w:sz w:val="24"/>
                <w:highlight w:val="none"/>
                <w:lang w:eastAsia="zh-CN"/>
              </w:rPr>
              <w:t>内</w:t>
            </w:r>
            <w:r>
              <w:rPr>
                <w:rFonts w:hint="default" w:ascii="Times New Roman" w:hAnsi="Times New Roman" w:cs="Times New Roman"/>
                <w:color w:val="auto"/>
                <w:sz w:val="24"/>
                <w:highlight w:val="none"/>
              </w:rPr>
              <w:t>废润滑油发生泄漏的可能性很小，同时若是因事故原因发生泄漏时，因储存区的防渗措施阻隔，及时收集后不会下渗至地下，影响区域土壤与地下水环境。</w:t>
            </w:r>
          </w:p>
          <w:p w14:paraId="791CECED">
            <w:pPr>
              <w:adjustRightInd w:val="0"/>
              <w:snapToGrid w:val="0"/>
              <w:spacing w:line="360" w:lineRule="auto"/>
              <w:ind w:firstLine="480" w:firstLineChars="200"/>
              <w:rPr>
                <w:rFonts w:hint="default"/>
              </w:rPr>
            </w:pPr>
            <w:r>
              <w:rPr>
                <w:rFonts w:hint="default" w:ascii="Times New Roman" w:hAnsi="Times New Roman" w:cs="Times New Roman"/>
                <w:color w:val="auto"/>
                <w:sz w:val="24"/>
                <w:highlight w:val="none"/>
              </w:rPr>
              <w:t>综上，通过采取上述措施后，可以有效减少废润滑油对环境造成的影响。</w:t>
            </w:r>
          </w:p>
        </w:tc>
      </w:tr>
    </w:tbl>
    <w:p w14:paraId="6735B5F5">
      <w:pPr>
        <w:pStyle w:val="26"/>
        <w:spacing w:before="0" w:beforeAutospacing="0" w:after="0" w:afterAutospacing="0" w:line="360" w:lineRule="auto"/>
        <w:jc w:val="center"/>
        <w:outlineLvl w:val="0"/>
        <w:rPr>
          <w:rFonts w:hint="eastAsia" w:ascii="黑体" w:hAnsi="黑体" w:eastAsia="黑体" w:cs="Times New Roman"/>
          <w:snapToGrid w:val="0"/>
          <w:color w:val="auto"/>
          <w:sz w:val="30"/>
          <w:szCs w:val="30"/>
          <w:highlight w:val="none"/>
        </w:rPr>
      </w:pPr>
      <w:r>
        <w:rPr>
          <w:rFonts w:hint="eastAsia" w:ascii="黑体" w:hAnsi="黑体" w:eastAsia="黑体" w:cs="Times New Roman"/>
          <w:snapToGrid w:val="0"/>
          <w:color w:val="auto"/>
          <w:sz w:val="30"/>
          <w:szCs w:val="30"/>
          <w:highlight w:val="none"/>
        </w:rPr>
        <w:t>五、</w:t>
      </w:r>
      <w:bookmarkStart w:id="3" w:name="_Hlk54167917"/>
      <w:r>
        <w:rPr>
          <w:rFonts w:hint="eastAsia" w:ascii="黑体" w:hAnsi="黑体" w:eastAsia="黑体" w:cs="Times New Roman"/>
          <w:snapToGrid w:val="0"/>
          <w:color w:val="auto"/>
          <w:sz w:val="30"/>
          <w:szCs w:val="30"/>
          <w:highlight w:val="none"/>
        </w:rPr>
        <w:t>环境保护措施监督检查清单</w:t>
      </w:r>
      <w:bookmarkEnd w:id="3"/>
      <w:bookmarkStart w:id="4" w:name="_GoBack"/>
      <w:bookmarkEnd w:id="4"/>
    </w:p>
    <w:tbl>
      <w:tblPr>
        <w:tblStyle w:val="32"/>
        <w:tblW w:w="85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75"/>
        <w:gridCol w:w="1128"/>
        <w:gridCol w:w="2505"/>
        <w:gridCol w:w="1804"/>
      </w:tblGrid>
      <w:tr w14:paraId="50D20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tcBorders>
              <w:tl2br w:val="single" w:color="auto" w:sz="4" w:space="0"/>
            </w:tcBorders>
          </w:tcPr>
          <w:p w14:paraId="12F2B2D9">
            <w:pPr>
              <w:adjustRightInd w:val="0"/>
              <w:snapToGrid w:val="0"/>
              <w:jc w:val="right"/>
              <w:rPr>
                <w:color w:val="auto"/>
                <w:szCs w:val="21"/>
                <w:highlight w:val="none"/>
              </w:rPr>
            </w:pPr>
            <w:r>
              <w:rPr>
                <w:color w:val="auto"/>
                <w:szCs w:val="21"/>
                <w:highlight w:val="none"/>
              </w:rPr>
              <w:t>内容</w:t>
            </w:r>
          </w:p>
          <w:p w14:paraId="2FED846D">
            <w:pPr>
              <w:adjustRightInd w:val="0"/>
              <w:snapToGrid w:val="0"/>
              <w:rPr>
                <w:color w:val="auto"/>
                <w:szCs w:val="21"/>
                <w:highlight w:val="none"/>
              </w:rPr>
            </w:pPr>
            <w:r>
              <w:rPr>
                <w:rFonts w:hint="eastAsia"/>
                <w:color w:val="auto"/>
                <w:szCs w:val="21"/>
                <w:highlight w:val="none"/>
              </w:rPr>
              <w:t>要素</w:t>
            </w:r>
          </w:p>
        </w:tc>
        <w:tc>
          <w:tcPr>
            <w:tcW w:w="1575" w:type="dxa"/>
            <w:vAlign w:val="center"/>
          </w:tcPr>
          <w:p w14:paraId="79C89C04">
            <w:pPr>
              <w:adjustRightInd w:val="0"/>
              <w:snapToGrid w:val="0"/>
              <w:jc w:val="center"/>
              <w:rPr>
                <w:color w:val="auto"/>
                <w:szCs w:val="21"/>
                <w:highlight w:val="none"/>
              </w:rPr>
            </w:pPr>
            <w:r>
              <w:rPr>
                <w:color w:val="auto"/>
                <w:szCs w:val="21"/>
                <w:highlight w:val="none"/>
              </w:rPr>
              <w:t>排放口</w:t>
            </w:r>
            <w:r>
              <w:rPr>
                <w:rFonts w:hint="eastAsia"/>
                <w:color w:val="auto"/>
                <w:szCs w:val="21"/>
                <w:highlight w:val="none"/>
                <w:lang w:eastAsia="zh-CN"/>
              </w:rPr>
              <w:t>（</w:t>
            </w:r>
            <w:r>
              <w:rPr>
                <w:color w:val="auto"/>
                <w:szCs w:val="21"/>
                <w:highlight w:val="none"/>
              </w:rPr>
              <w:t>编号、</w:t>
            </w:r>
          </w:p>
          <w:p w14:paraId="7BD69920">
            <w:pPr>
              <w:adjustRightInd w:val="0"/>
              <w:snapToGrid w:val="0"/>
              <w:jc w:val="center"/>
              <w:rPr>
                <w:color w:val="auto"/>
                <w:szCs w:val="21"/>
                <w:highlight w:val="none"/>
              </w:rPr>
            </w:pPr>
            <w:r>
              <w:rPr>
                <w:color w:val="auto"/>
                <w:szCs w:val="21"/>
                <w:highlight w:val="none"/>
              </w:rPr>
              <w:t>名称</w:t>
            </w:r>
            <w:r>
              <w:rPr>
                <w:rFonts w:hint="eastAsia"/>
                <w:color w:val="auto"/>
                <w:szCs w:val="21"/>
                <w:highlight w:val="none"/>
                <w:lang w:eastAsia="zh-CN"/>
              </w:rPr>
              <w:t>）</w:t>
            </w:r>
            <w:r>
              <w:rPr>
                <w:color w:val="auto"/>
                <w:szCs w:val="21"/>
                <w:highlight w:val="none"/>
              </w:rPr>
              <w:t>/污染源</w:t>
            </w:r>
          </w:p>
        </w:tc>
        <w:tc>
          <w:tcPr>
            <w:tcW w:w="1128" w:type="dxa"/>
            <w:vAlign w:val="center"/>
          </w:tcPr>
          <w:p w14:paraId="1038684D">
            <w:pPr>
              <w:adjustRightInd w:val="0"/>
              <w:snapToGrid w:val="0"/>
              <w:jc w:val="center"/>
              <w:rPr>
                <w:color w:val="auto"/>
                <w:szCs w:val="21"/>
                <w:highlight w:val="none"/>
              </w:rPr>
            </w:pPr>
            <w:r>
              <w:rPr>
                <w:color w:val="auto"/>
                <w:szCs w:val="21"/>
                <w:highlight w:val="none"/>
              </w:rPr>
              <w:t>污染物</w:t>
            </w:r>
          </w:p>
          <w:p w14:paraId="2BFE938F">
            <w:pPr>
              <w:adjustRightInd w:val="0"/>
              <w:snapToGrid w:val="0"/>
              <w:jc w:val="center"/>
              <w:rPr>
                <w:color w:val="auto"/>
                <w:szCs w:val="21"/>
                <w:highlight w:val="none"/>
              </w:rPr>
            </w:pPr>
            <w:r>
              <w:rPr>
                <w:color w:val="auto"/>
                <w:szCs w:val="21"/>
                <w:highlight w:val="none"/>
              </w:rPr>
              <w:t>项目</w:t>
            </w:r>
          </w:p>
        </w:tc>
        <w:tc>
          <w:tcPr>
            <w:tcW w:w="2505" w:type="dxa"/>
            <w:vAlign w:val="center"/>
          </w:tcPr>
          <w:p w14:paraId="35C69FAD">
            <w:pPr>
              <w:adjustRightInd w:val="0"/>
              <w:snapToGrid w:val="0"/>
              <w:jc w:val="center"/>
              <w:rPr>
                <w:color w:val="auto"/>
                <w:szCs w:val="21"/>
                <w:highlight w:val="none"/>
              </w:rPr>
            </w:pPr>
            <w:r>
              <w:rPr>
                <w:color w:val="auto"/>
                <w:szCs w:val="21"/>
                <w:highlight w:val="none"/>
              </w:rPr>
              <w:t>环境保护措施</w:t>
            </w:r>
          </w:p>
        </w:tc>
        <w:tc>
          <w:tcPr>
            <w:tcW w:w="1804" w:type="dxa"/>
            <w:vAlign w:val="center"/>
          </w:tcPr>
          <w:p w14:paraId="0EC4F7E4">
            <w:pPr>
              <w:adjustRightInd w:val="0"/>
              <w:snapToGrid w:val="0"/>
              <w:jc w:val="center"/>
              <w:rPr>
                <w:color w:val="auto"/>
                <w:szCs w:val="21"/>
                <w:highlight w:val="none"/>
              </w:rPr>
            </w:pPr>
            <w:r>
              <w:rPr>
                <w:rFonts w:hint="eastAsia"/>
                <w:color w:val="auto"/>
                <w:szCs w:val="21"/>
                <w:highlight w:val="none"/>
              </w:rPr>
              <w:t>执行标准</w:t>
            </w:r>
          </w:p>
        </w:tc>
      </w:tr>
      <w:tr w14:paraId="5F168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4B74F9A9">
            <w:pPr>
              <w:adjustRightInd w:val="0"/>
              <w:snapToGrid w:val="0"/>
              <w:jc w:val="center"/>
              <w:rPr>
                <w:color w:val="auto"/>
                <w:szCs w:val="21"/>
                <w:highlight w:val="none"/>
              </w:rPr>
            </w:pPr>
            <w:r>
              <w:rPr>
                <w:rFonts w:hint="eastAsia"/>
                <w:color w:val="auto"/>
                <w:szCs w:val="21"/>
                <w:highlight w:val="none"/>
              </w:rPr>
              <w:t>大气环境</w:t>
            </w:r>
          </w:p>
        </w:tc>
        <w:tc>
          <w:tcPr>
            <w:tcW w:w="1575" w:type="dxa"/>
            <w:vAlign w:val="center"/>
          </w:tcPr>
          <w:p w14:paraId="416FA4AF">
            <w:pPr>
              <w:adjustRightInd w:val="0"/>
              <w:snapToGrid w:val="0"/>
              <w:jc w:val="center"/>
              <w:rPr>
                <w:color w:val="auto"/>
                <w:szCs w:val="21"/>
                <w:highlight w:val="none"/>
              </w:rPr>
            </w:pPr>
            <w:r>
              <w:rPr>
                <w:rFonts w:hint="eastAsia"/>
                <w:color w:val="auto"/>
                <w:szCs w:val="21"/>
                <w:highlight w:val="none"/>
              </w:rPr>
              <w:t>装卸</w:t>
            </w:r>
          </w:p>
          <w:p w14:paraId="5E23B129">
            <w:pPr>
              <w:adjustRightInd w:val="0"/>
              <w:snapToGrid w:val="0"/>
              <w:jc w:val="center"/>
              <w:rPr>
                <w:color w:val="auto"/>
                <w:szCs w:val="21"/>
                <w:highlight w:val="none"/>
              </w:rPr>
            </w:pPr>
            <w:r>
              <w:rPr>
                <w:rFonts w:hint="eastAsia"/>
                <w:color w:val="auto"/>
                <w:szCs w:val="21"/>
                <w:highlight w:val="none"/>
              </w:rPr>
              <w:t>堆存</w:t>
            </w:r>
          </w:p>
        </w:tc>
        <w:tc>
          <w:tcPr>
            <w:tcW w:w="1128" w:type="dxa"/>
            <w:vAlign w:val="center"/>
          </w:tcPr>
          <w:p w14:paraId="5E1782BE">
            <w:pPr>
              <w:adjustRightInd w:val="0"/>
              <w:snapToGrid w:val="0"/>
              <w:jc w:val="center"/>
              <w:rPr>
                <w:color w:val="auto"/>
                <w:szCs w:val="21"/>
                <w:highlight w:val="none"/>
              </w:rPr>
            </w:pPr>
            <w:r>
              <w:rPr>
                <w:rFonts w:hint="eastAsia"/>
                <w:color w:val="auto"/>
                <w:szCs w:val="21"/>
                <w:highlight w:val="none"/>
              </w:rPr>
              <w:t>颗粒物</w:t>
            </w:r>
          </w:p>
        </w:tc>
        <w:tc>
          <w:tcPr>
            <w:tcW w:w="2505" w:type="dxa"/>
            <w:vAlign w:val="center"/>
          </w:tcPr>
          <w:p w14:paraId="0AA4B38C">
            <w:pPr>
              <w:adjustRightInd w:val="0"/>
              <w:snapToGrid w:val="0"/>
              <w:rPr>
                <w:color w:val="auto"/>
                <w:szCs w:val="21"/>
                <w:highlight w:val="none"/>
              </w:rPr>
            </w:pPr>
            <w:r>
              <w:rPr>
                <w:rFonts w:hint="eastAsia"/>
                <w:color w:val="auto"/>
                <w:szCs w:val="21"/>
                <w:highlight w:val="none"/>
              </w:rPr>
              <w:t>合理控制装卸料高度、原料</w:t>
            </w:r>
            <w:r>
              <w:rPr>
                <w:rFonts w:hint="eastAsia"/>
                <w:color w:val="auto"/>
                <w:szCs w:val="21"/>
                <w:highlight w:val="none"/>
                <w:lang w:val="en-US" w:eastAsia="zh-CN"/>
              </w:rPr>
              <w:t>及成品</w:t>
            </w:r>
            <w:r>
              <w:rPr>
                <w:rFonts w:hint="eastAsia"/>
                <w:color w:val="auto"/>
                <w:szCs w:val="21"/>
                <w:highlight w:val="none"/>
              </w:rPr>
              <w:t>区进行三面封闭+顶棚处理</w:t>
            </w:r>
            <w:r>
              <w:rPr>
                <w:rFonts w:hint="eastAsia"/>
                <w:color w:val="auto"/>
                <w:szCs w:val="21"/>
                <w:highlight w:val="none"/>
                <w:lang w:eastAsia="zh-CN"/>
              </w:rPr>
              <w:t>，</w:t>
            </w:r>
            <w:r>
              <w:rPr>
                <w:rFonts w:hint="eastAsia"/>
                <w:color w:val="auto"/>
                <w:szCs w:val="21"/>
                <w:highlight w:val="none"/>
              </w:rPr>
              <w:t>水泥储罐仓配备仓顶除尘设施</w:t>
            </w:r>
          </w:p>
        </w:tc>
        <w:tc>
          <w:tcPr>
            <w:tcW w:w="1804" w:type="dxa"/>
            <w:vMerge w:val="restart"/>
            <w:vAlign w:val="center"/>
          </w:tcPr>
          <w:p w14:paraId="3803AF0F">
            <w:pPr>
              <w:adjustRightInd w:val="0"/>
              <w:snapToGrid w:val="0"/>
              <w:jc w:val="center"/>
              <w:rPr>
                <w:color w:val="auto"/>
                <w:szCs w:val="21"/>
                <w:highlight w:val="none"/>
              </w:rPr>
            </w:pPr>
            <w:r>
              <w:rPr>
                <w:rFonts w:hint="eastAsia"/>
                <w:color w:val="auto"/>
                <w:highlight w:val="none"/>
              </w:rPr>
              <w:t>《水泥工业大气污染物排放标准》（GB4915-2013）中排放标准</w:t>
            </w:r>
          </w:p>
        </w:tc>
      </w:tr>
      <w:tr w14:paraId="3CF1F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59A938DF">
            <w:pPr>
              <w:adjustRightInd w:val="0"/>
              <w:snapToGrid w:val="0"/>
              <w:jc w:val="center"/>
              <w:rPr>
                <w:color w:val="auto"/>
                <w:szCs w:val="21"/>
                <w:highlight w:val="none"/>
              </w:rPr>
            </w:pPr>
          </w:p>
        </w:tc>
        <w:tc>
          <w:tcPr>
            <w:tcW w:w="1575" w:type="dxa"/>
            <w:vAlign w:val="center"/>
          </w:tcPr>
          <w:p w14:paraId="78D2504C">
            <w:pPr>
              <w:adjustRightInd w:val="0"/>
              <w:snapToGrid w:val="0"/>
              <w:jc w:val="center"/>
              <w:rPr>
                <w:color w:val="auto"/>
                <w:szCs w:val="21"/>
                <w:highlight w:val="none"/>
              </w:rPr>
            </w:pPr>
            <w:r>
              <w:rPr>
                <w:rFonts w:hint="eastAsia"/>
                <w:color w:val="auto"/>
                <w:szCs w:val="21"/>
                <w:highlight w:val="none"/>
              </w:rPr>
              <w:t>运输</w:t>
            </w:r>
          </w:p>
        </w:tc>
        <w:tc>
          <w:tcPr>
            <w:tcW w:w="1128" w:type="dxa"/>
            <w:vAlign w:val="center"/>
          </w:tcPr>
          <w:p w14:paraId="7F9CC81E">
            <w:pPr>
              <w:adjustRightInd w:val="0"/>
              <w:snapToGrid w:val="0"/>
              <w:jc w:val="center"/>
              <w:rPr>
                <w:color w:val="auto"/>
                <w:szCs w:val="21"/>
                <w:highlight w:val="none"/>
              </w:rPr>
            </w:pPr>
            <w:r>
              <w:rPr>
                <w:rFonts w:hint="eastAsia"/>
                <w:color w:val="auto"/>
                <w:szCs w:val="21"/>
                <w:highlight w:val="none"/>
              </w:rPr>
              <w:t>颗粒物</w:t>
            </w:r>
          </w:p>
        </w:tc>
        <w:tc>
          <w:tcPr>
            <w:tcW w:w="2505" w:type="dxa"/>
            <w:vAlign w:val="center"/>
          </w:tcPr>
          <w:p w14:paraId="1A4E14B0">
            <w:pPr>
              <w:adjustRightInd w:val="0"/>
              <w:snapToGrid w:val="0"/>
              <w:rPr>
                <w:color w:val="auto"/>
                <w:szCs w:val="21"/>
                <w:highlight w:val="none"/>
              </w:rPr>
            </w:pPr>
            <w:r>
              <w:rPr>
                <w:rFonts w:hint="eastAsia"/>
                <w:color w:val="auto"/>
                <w:szCs w:val="21"/>
                <w:highlight w:val="none"/>
              </w:rPr>
              <w:t>采取密闭、篷布遮盖，以及车辆冲洗、道路洒水等措施</w:t>
            </w:r>
          </w:p>
        </w:tc>
        <w:tc>
          <w:tcPr>
            <w:tcW w:w="1804" w:type="dxa"/>
            <w:vMerge w:val="continue"/>
            <w:vAlign w:val="center"/>
          </w:tcPr>
          <w:p w14:paraId="1FCB25CE">
            <w:pPr>
              <w:adjustRightInd w:val="0"/>
              <w:snapToGrid w:val="0"/>
              <w:jc w:val="center"/>
              <w:rPr>
                <w:color w:val="auto"/>
                <w:kern w:val="0"/>
                <w:szCs w:val="21"/>
                <w:highlight w:val="none"/>
              </w:rPr>
            </w:pPr>
          </w:p>
        </w:tc>
      </w:tr>
      <w:tr w14:paraId="7036D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640D93C0">
            <w:pPr>
              <w:adjustRightInd w:val="0"/>
              <w:snapToGrid w:val="0"/>
              <w:jc w:val="center"/>
              <w:rPr>
                <w:color w:val="auto"/>
                <w:szCs w:val="21"/>
                <w:highlight w:val="none"/>
              </w:rPr>
            </w:pPr>
          </w:p>
        </w:tc>
        <w:tc>
          <w:tcPr>
            <w:tcW w:w="1575" w:type="dxa"/>
            <w:vAlign w:val="center"/>
          </w:tcPr>
          <w:p w14:paraId="65B64214">
            <w:pPr>
              <w:adjustRightInd w:val="0"/>
              <w:snapToGrid w:val="0"/>
              <w:jc w:val="center"/>
              <w:rPr>
                <w:rFonts w:hint="default"/>
                <w:color w:val="auto"/>
                <w:szCs w:val="21"/>
                <w:highlight w:val="none"/>
                <w:lang w:val="en-US"/>
              </w:rPr>
            </w:pPr>
            <w:r>
              <w:rPr>
                <w:rFonts w:hint="eastAsia"/>
                <w:color w:val="auto"/>
                <w:szCs w:val="21"/>
                <w:highlight w:val="none"/>
                <w:lang w:val="en-US" w:eastAsia="zh-CN"/>
              </w:rPr>
              <w:t>砂石骨料破碎、筛分</w:t>
            </w:r>
          </w:p>
        </w:tc>
        <w:tc>
          <w:tcPr>
            <w:tcW w:w="1128" w:type="dxa"/>
            <w:vAlign w:val="center"/>
          </w:tcPr>
          <w:p w14:paraId="0270009D">
            <w:pPr>
              <w:adjustRightInd w:val="0"/>
              <w:snapToGrid w:val="0"/>
              <w:jc w:val="center"/>
              <w:rPr>
                <w:rFonts w:hint="eastAsia"/>
                <w:color w:val="auto"/>
                <w:szCs w:val="21"/>
                <w:highlight w:val="none"/>
              </w:rPr>
            </w:pPr>
            <w:r>
              <w:rPr>
                <w:rFonts w:hint="eastAsia"/>
                <w:color w:val="auto"/>
                <w:szCs w:val="21"/>
                <w:highlight w:val="none"/>
              </w:rPr>
              <w:t>颗粒物</w:t>
            </w:r>
          </w:p>
        </w:tc>
        <w:tc>
          <w:tcPr>
            <w:tcW w:w="2505" w:type="dxa"/>
            <w:vAlign w:val="center"/>
          </w:tcPr>
          <w:p w14:paraId="51800F40">
            <w:pPr>
              <w:adjustRightInd w:val="0"/>
              <w:snapToGrid w:val="0"/>
              <w:rPr>
                <w:rFonts w:hint="default" w:eastAsia="宋体"/>
                <w:color w:val="auto"/>
                <w:szCs w:val="21"/>
                <w:highlight w:val="none"/>
                <w:lang w:val="en-US" w:eastAsia="zh-CN"/>
              </w:rPr>
            </w:pPr>
            <w:r>
              <w:rPr>
                <w:rFonts w:hint="eastAsia"/>
                <w:color w:val="auto"/>
                <w:szCs w:val="21"/>
                <w:highlight w:val="none"/>
              </w:rPr>
              <w:t>各产尘点布置集气设施，统一收集后经车间</w:t>
            </w:r>
            <w:r>
              <w:rPr>
                <w:color w:val="auto"/>
                <w:szCs w:val="21"/>
                <w:highlight w:val="none"/>
              </w:rPr>
              <w:t>中央布袋除尘器</w:t>
            </w:r>
            <w:r>
              <w:rPr>
                <w:rFonts w:hint="eastAsia"/>
                <w:color w:val="auto"/>
                <w:szCs w:val="21"/>
                <w:highlight w:val="none"/>
              </w:rPr>
              <w:t>处理后通过</w:t>
            </w:r>
            <w:r>
              <w:rPr>
                <w:color w:val="auto"/>
                <w:szCs w:val="21"/>
                <w:highlight w:val="none"/>
              </w:rPr>
              <w:t>1根</w:t>
            </w:r>
            <w:r>
              <w:rPr>
                <w:rFonts w:hint="eastAsia"/>
                <w:color w:val="auto"/>
                <w:szCs w:val="21"/>
                <w:highlight w:val="none"/>
                <w:lang w:val="en-US" w:eastAsia="zh-CN"/>
              </w:rPr>
              <w:t>17</w:t>
            </w:r>
            <w:r>
              <w:rPr>
                <w:color w:val="auto"/>
                <w:szCs w:val="21"/>
                <w:highlight w:val="none"/>
              </w:rPr>
              <w:t>m排气筒</w:t>
            </w:r>
            <w:r>
              <w:rPr>
                <w:rFonts w:hint="eastAsia"/>
                <w:color w:val="auto"/>
                <w:szCs w:val="21"/>
                <w:highlight w:val="none"/>
              </w:rPr>
              <w:t>（DA001）</w:t>
            </w:r>
            <w:r>
              <w:rPr>
                <w:color w:val="auto"/>
                <w:szCs w:val="21"/>
                <w:highlight w:val="none"/>
              </w:rPr>
              <w:t>排放</w:t>
            </w:r>
          </w:p>
        </w:tc>
        <w:tc>
          <w:tcPr>
            <w:tcW w:w="1804" w:type="dxa"/>
            <w:vMerge w:val="restart"/>
            <w:vAlign w:val="center"/>
          </w:tcPr>
          <w:p w14:paraId="4EFCA2EB">
            <w:pPr>
              <w:adjustRightInd w:val="0"/>
              <w:snapToGrid w:val="0"/>
              <w:jc w:val="center"/>
              <w:rPr>
                <w:color w:val="auto"/>
                <w:kern w:val="0"/>
                <w:szCs w:val="21"/>
                <w:highlight w:val="none"/>
              </w:rPr>
            </w:pPr>
            <w:r>
              <w:rPr>
                <w:color w:val="auto"/>
                <w:kern w:val="0"/>
                <w:szCs w:val="21"/>
                <w:highlight w:val="none"/>
              </w:rPr>
              <w:t>《大气污染物综合排放标准》（GB</w:t>
            </w:r>
            <w:r>
              <w:rPr>
                <w:rFonts w:hint="eastAsia"/>
                <w:color w:val="auto"/>
                <w:kern w:val="0"/>
                <w:szCs w:val="21"/>
                <w:highlight w:val="none"/>
                <w:lang w:val="en-US" w:eastAsia="zh-CN"/>
              </w:rPr>
              <w:t xml:space="preserve"> </w:t>
            </w:r>
            <w:r>
              <w:rPr>
                <w:color w:val="auto"/>
                <w:kern w:val="0"/>
                <w:szCs w:val="21"/>
                <w:highlight w:val="none"/>
              </w:rPr>
              <w:t>16297-1996）中</w:t>
            </w:r>
            <w:r>
              <w:rPr>
                <w:rFonts w:hint="eastAsia"/>
                <w:color w:val="auto"/>
                <w:kern w:val="0"/>
                <w:szCs w:val="21"/>
                <w:highlight w:val="none"/>
              </w:rPr>
              <w:t>排放标准</w:t>
            </w:r>
          </w:p>
        </w:tc>
      </w:tr>
      <w:tr w14:paraId="0E03B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66B33686">
            <w:pPr>
              <w:adjustRightInd w:val="0"/>
              <w:snapToGrid w:val="0"/>
              <w:jc w:val="center"/>
              <w:rPr>
                <w:color w:val="auto"/>
                <w:szCs w:val="21"/>
                <w:highlight w:val="none"/>
              </w:rPr>
            </w:pPr>
          </w:p>
        </w:tc>
        <w:tc>
          <w:tcPr>
            <w:tcW w:w="1575" w:type="dxa"/>
            <w:vAlign w:val="center"/>
          </w:tcPr>
          <w:p w14:paraId="4F9C685E">
            <w:pPr>
              <w:adjustRightInd w:val="0"/>
              <w:snapToGrid w:val="0"/>
              <w:jc w:val="center"/>
              <w:rPr>
                <w:color w:val="auto"/>
                <w:szCs w:val="21"/>
                <w:highlight w:val="none"/>
              </w:rPr>
            </w:pPr>
            <w:r>
              <w:rPr>
                <w:rFonts w:hint="eastAsia"/>
                <w:color w:val="auto"/>
                <w:szCs w:val="21"/>
                <w:highlight w:val="none"/>
              </w:rPr>
              <w:t>破碎</w:t>
            </w:r>
            <w:r>
              <w:rPr>
                <w:rFonts w:hint="eastAsia"/>
                <w:color w:val="auto"/>
                <w:szCs w:val="21"/>
                <w:highlight w:val="none"/>
                <w:lang w:eastAsia="zh-CN"/>
              </w:rPr>
              <w:t>、</w:t>
            </w:r>
            <w:r>
              <w:rPr>
                <w:rFonts w:hint="eastAsia"/>
                <w:color w:val="auto"/>
                <w:szCs w:val="21"/>
                <w:highlight w:val="none"/>
                <w:lang w:val="en-US" w:eastAsia="zh-CN"/>
              </w:rPr>
              <w:t>筛分</w:t>
            </w:r>
            <w:r>
              <w:rPr>
                <w:rFonts w:hint="eastAsia"/>
                <w:color w:val="auto"/>
                <w:szCs w:val="21"/>
                <w:highlight w:val="none"/>
              </w:rPr>
              <w:t>、制砂（彩砂生产线）</w:t>
            </w:r>
          </w:p>
        </w:tc>
        <w:tc>
          <w:tcPr>
            <w:tcW w:w="1128" w:type="dxa"/>
            <w:vAlign w:val="center"/>
          </w:tcPr>
          <w:p w14:paraId="79D17598">
            <w:pPr>
              <w:adjustRightInd w:val="0"/>
              <w:snapToGrid w:val="0"/>
              <w:jc w:val="center"/>
              <w:rPr>
                <w:color w:val="auto"/>
                <w:szCs w:val="21"/>
                <w:highlight w:val="none"/>
              </w:rPr>
            </w:pPr>
            <w:r>
              <w:rPr>
                <w:rFonts w:hint="eastAsia"/>
                <w:color w:val="auto"/>
                <w:szCs w:val="21"/>
                <w:highlight w:val="none"/>
              </w:rPr>
              <w:t>颗粒物</w:t>
            </w:r>
          </w:p>
        </w:tc>
        <w:tc>
          <w:tcPr>
            <w:tcW w:w="2505" w:type="dxa"/>
            <w:vAlign w:val="center"/>
          </w:tcPr>
          <w:p w14:paraId="2D6D09E3">
            <w:pPr>
              <w:adjustRightInd w:val="0"/>
              <w:snapToGrid w:val="0"/>
              <w:rPr>
                <w:rFonts w:ascii="宋体" w:hAnsi="宋体" w:cs="宋体"/>
                <w:color w:val="auto"/>
                <w:szCs w:val="21"/>
                <w:highlight w:val="none"/>
              </w:rPr>
            </w:pPr>
            <w:r>
              <w:rPr>
                <w:rFonts w:hint="eastAsia"/>
                <w:color w:val="auto"/>
                <w:szCs w:val="21"/>
                <w:highlight w:val="none"/>
              </w:rPr>
              <w:t>各产尘点布置集气设施，统一收集后经车间</w:t>
            </w:r>
            <w:r>
              <w:rPr>
                <w:color w:val="auto"/>
                <w:szCs w:val="21"/>
                <w:highlight w:val="none"/>
              </w:rPr>
              <w:t>中央布袋除尘器</w:t>
            </w:r>
            <w:r>
              <w:rPr>
                <w:rFonts w:hint="eastAsia"/>
                <w:color w:val="auto"/>
                <w:szCs w:val="21"/>
                <w:highlight w:val="none"/>
              </w:rPr>
              <w:t>处理后通过</w:t>
            </w:r>
            <w:r>
              <w:rPr>
                <w:color w:val="auto"/>
                <w:szCs w:val="21"/>
                <w:highlight w:val="none"/>
              </w:rPr>
              <w:t>1根</w:t>
            </w:r>
            <w:r>
              <w:rPr>
                <w:rFonts w:hint="eastAsia"/>
                <w:color w:val="auto"/>
                <w:szCs w:val="21"/>
                <w:highlight w:val="none"/>
                <w:lang w:val="en-US" w:eastAsia="zh-CN"/>
              </w:rPr>
              <w:t>17</w:t>
            </w:r>
            <w:r>
              <w:rPr>
                <w:color w:val="auto"/>
                <w:szCs w:val="21"/>
                <w:highlight w:val="none"/>
              </w:rPr>
              <w:t>m排气筒</w:t>
            </w:r>
            <w:r>
              <w:rPr>
                <w:rFonts w:hint="eastAsia"/>
                <w:color w:val="auto"/>
                <w:szCs w:val="21"/>
                <w:highlight w:val="none"/>
              </w:rPr>
              <w:t>（DA0</w:t>
            </w:r>
            <w:r>
              <w:rPr>
                <w:rFonts w:hint="eastAsia"/>
                <w:color w:val="auto"/>
                <w:szCs w:val="21"/>
                <w:highlight w:val="none"/>
                <w:lang w:val="en-US" w:eastAsia="zh-CN"/>
              </w:rPr>
              <w:t>02</w:t>
            </w:r>
            <w:r>
              <w:rPr>
                <w:rFonts w:hint="eastAsia"/>
                <w:color w:val="auto"/>
                <w:szCs w:val="21"/>
                <w:highlight w:val="none"/>
              </w:rPr>
              <w:t>）</w:t>
            </w:r>
            <w:r>
              <w:rPr>
                <w:color w:val="auto"/>
                <w:szCs w:val="21"/>
                <w:highlight w:val="none"/>
              </w:rPr>
              <w:t>排放</w:t>
            </w:r>
          </w:p>
        </w:tc>
        <w:tc>
          <w:tcPr>
            <w:tcW w:w="1804" w:type="dxa"/>
            <w:vMerge w:val="continue"/>
            <w:vAlign w:val="center"/>
          </w:tcPr>
          <w:p w14:paraId="6327987A">
            <w:pPr>
              <w:adjustRightInd w:val="0"/>
              <w:snapToGrid w:val="0"/>
              <w:jc w:val="center"/>
              <w:rPr>
                <w:color w:val="auto"/>
                <w:kern w:val="0"/>
                <w:szCs w:val="21"/>
                <w:highlight w:val="none"/>
              </w:rPr>
            </w:pPr>
          </w:p>
        </w:tc>
      </w:tr>
      <w:tr w14:paraId="2B0B4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0837E7D8">
            <w:pPr>
              <w:adjustRightInd w:val="0"/>
              <w:snapToGrid w:val="0"/>
              <w:jc w:val="center"/>
              <w:rPr>
                <w:color w:val="auto"/>
                <w:szCs w:val="21"/>
                <w:highlight w:val="none"/>
              </w:rPr>
            </w:pPr>
          </w:p>
        </w:tc>
        <w:tc>
          <w:tcPr>
            <w:tcW w:w="1575" w:type="dxa"/>
            <w:vAlign w:val="center"/>
          </w:tcPr>
          <w:p w14:paraId="7A677959">
            <w:pPr>
              <w:adjustRightInd w:val="0"/>
              <w:snapToGrid w:val="0"/>
              <w:jc w:val="center"/>
              <w:rPr>
                <w:color w:val="auto"/>
                <w:szCs w:val="21"/>
                <w:highlight w:val="none"/>
              </w:rPr>
            </w:pPr>
            <w:r>
              <w:rPr>
                <w:rFonts w:hint="eastAsia"/>
                <w:color w:val="auto"/>
                <w:szCs w:val="21"/>
                <w:highlight w:val="none"/>
              </w:rPr>
              <w:t>搅拌+包装（</w:t>
            </w:r>
            <w:r>
              <w:rPr>
                <w:rFonts w:hint="eastAsia"/>
                <w:color w:val="auto"/>
                <w:szCs w:val="21"/>
                <w:highlight w:val="none"/>
                <w:lang w:val="en-US" w:eastAsia="zh-CN"/>
              </w:rPr>
              <w:t>改性粉体</w:t>
            </w:r>
            <w:r>
              <w:rPr>
                <w:rFonts w:hint="eastAsia"/>
                <w:color w:val="auto"/>
                <w:szCs w:val="21"/>
                <w:highlight w:val="none"/>
              </w:rPr>
              <w:t>、</w:t>
            </w:r>
            <w:r>
              <w:rPr>
                <w:rFonts w:hint="eastAsia"/>
                <w:color w:val="auto"/>
                <w:szCs w:val="21"/>
                <w:highlight w:val="none"/>
                <w:lang w:val="en-US" w:eastAsia="zh-CN"/>
              </w:rPr>
              <w:t>干混</w:t>
            </w:r>
            <w:r>
              <w:rPr>
                <w:rFonts w:hint="eastAsia"/>
                <w:color w:val="auto"/>
                <w:szCs w:val="21"/>
                <w:highlight w:val="none"/>
              </w:rPr>
              <w:t>砂浆生产线）</w:t>
            </w:r>
          </w:p>
        </w:tc>
        <w:tc>
          <w:tcPr>
            <w:tcW w:w="1128" w:type="dxa"/>
            <w:vAlign w:val="center"/>
          </w:tcPr>
          <w:p w14:paraId="05C46FD5">
            <w:pPr>
              <w:adjustRightInd w:val="0"/>
              <w:snapToGrid w:val="0"/>
              <w:jc w:val="center"/>
              <w:rPr>
                <w:color w:val="auto"/>
                <w:szCs w:val="21"/>
                <w:highlight w:val="none"/>
              </w:rPr>
            </w:pPr>
            <w:r>
              <w:rPr>
                <w:rFonts w:hint="eastAsia"/>
                <w:color w:val="auto"/>
                <w:szCs w:val="21"/>
                <w:highlight w:val="none"/>
              </w:rPr>
              <w:t>颗粒物</w:t>
            </w:r>
          </w:p>
        </w:tc>
        <w:tc>
          <w:tcPr>
            <w:tcW w:w="2505" w:type="dxa"/>
            <w:vAlign w:val="center"/>
          </w:tcPr>
          <w:p w14:paraId="1330914C">
            <w:pPr>
              <w:adjustRightInd w:val="0"/>
              <w:snapToGrid w:val="0"/>
              <w:rPr>
                <w:color w:val="auto"/>
                <w:szCs w:val="21"/>
                <w:highlight w:val="none"/>
              </w:rPr>
            </w:pPr>
            <w:r>
              <w:rPr>
                <w:rFonts w:hint="eastAsia"/>
                <w:color w:val="auto"/>
                <w:szCs w:val="21"/>
                <w:highlight w:val="none"/>
              </w:rPr>
              <w:t>粉尘经集气设施收集后，统一通过中央布袋除尘器处理后经</w:t>
            </w:r>
            <w:r>
              <w:rPr>
                <w:color w:val="auto"/>
                <w:szCs w:val="21"/>
                <w:highlight w:val="none"/>
              </w:rPr>
              <w:t>1根1</w:t>
            </w:r>
            <w:r>
              <w:rPr>
                <w:rFonts w:hint="eastAsia"/>
                <w:color w:val="auto"/>
                <w:szCs w:val="21"/>
                <w:highlight w:val="none"/>
                <w:lang w:val="en-US" w:eastAsia="zh-CN"/>
              </w:rPr>
              <w:t xml:space="preserve">5 </w:t>
            </w:r>
            <w:r>
              <w:rPr>
                <w:color w:val="auto"/>
                <w:szCs w:val="21"/>
                <w:highlight w:val="none"/>
              </w:rPr>
              <w:t>m排气筒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zCs w:val="21"/>
                <w:highlight w:val="none"/>
              </w:rPr>
              <w:t>排放</w:t>
            </w:r>
          </w:p>
        </w:tc>
        <w:tc>
          <w:tcPr>
            <w:tcW w:w="1804" w:type="dxa"/>
            <w:vAlign w:val="center"/>
          </w:tcPr>
          <w:p w14:paraId="2CE60687">
            <w:pPr>
              <w:adjustRightInd w:val="0"/>
              <w:snapToGrid w:val="0"/>
              <w:jc w:val="center"/>
              <w:rPr>
                <w:color w:val="auto"/>
                <w:szCs w:val="21"/>
                <w:highlight w:val="none"/>
              </w:rPr>
            </w:pPr>
            <w:r>
              <w:rPr>
                <w:rFonts w:hint="eastAsia"/>
                <w:color w:val="auto"/>
                <w:highlight w:val="none"/>
              </w:rPr>
              <w:t>《水泥工业大气污染物排放标准》（GB4915-2013）中排放标准</w:t>
            </w:r>
          </w:p>
        </w:tc>
      </w:tr>
      <w:tr w14:paraId="249EB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701ECBA0">
            <w:pPr>
              <w:adjustRightInd w:val="0"/>
              <w:snapToGrid w:val="0"/>
              <w:jc w:val="center"/>
              <w:rPr>
                <w:color w:val="auto"/>
                <w:szCs w:val="21"/>
                <w:highlight w:val="none"/>
              </w:rPr>
            </w:pPr>
            <w:r>
              <w:rPr>
                <w:rFonts w:hint="eastAsia"/>
                <w:color w:val="auto"/>
                <w:szCs w:val="21"/>
                <w:highlight w:val="none"/>
              </w:rPr>
              <w:t>地表水环境</w:t>
            </w:r>
          </w:p>
        </w:tc>
        <w:tc>
          <w:tcPr>
            <w:tcW w:w="1575" w:type="dxa"/>
            <w:vAlign w:val="center"/>
          </w:tcPr>
          <w:p w14:paraId="24BDE20D">
            <w:pPr>
              <w:adjustRightInd w:val="0"/>
              <w:snapToGrid w:val="0"/>
              <w:jc w:val="center"/>
              <w:rPr>
                <w:color w:val="auto"/>
                <w:szCs w:val="21"/>
                <w:highlight w:val="none"/>
              </w:rPr>
            </w:pPr>
            <w:r>
              <w:rPr>
                <w:rFonts w:hint="eastAsia"/>
                <w:color w:val="auto"/>
                <w:szCs w:val="21"/>
                <w:highlight w:val="none"/>
              </w:rPr>
              <w:t>车辆冲洗</w:t>
            </w:r>
          </w:p>
        </w:tc>
        <w:tc>
          <w:tcPr>
            <w:tcW w:w="1128" w:type="dxa"/>
            <w:vAlign w:val="center"/>
          </w:tcPr>
          <w:p w14:paraId="1DF4E7ED">
            <w:pPr>
              <w:adjustRightInd w:val="0"/>
              <w:snapToGrid w:val="0"/>
              <w:jc w:val="center"/>
              <w:rPr>
                <w:color w:val="auto"/>
                <w:szCs w:val="21"/>
                <w:highlight w:val="none"/>
              </w:rPr>
            </w:pPr>
            <w:r>
              <w:rPr>
                <w:rFonts w:hint="eastAsia"/>
                <w:color w:val="auto"/>
                <w:szCs w:val="21"/>
                <w:highlight w:val="none"/>
              </w:rPr>
              <w:t>洗车废水</w:t>
            </w:r>
          </w:p>
        </w:tc>
        <w:tc>
          <w:tcPr>
            <w:tcW w:w="2505" w:type="dxa"/>
            <w:vAlign w:val="center"/>
          </w:tcPr>
          <w:p w14:paraId="6F9C1B5A">
            <w:pPr>
              <w:adjustRightInd w:val="0"/>
              <w:snapToGrid w:val="0"/>
              <w:rPr>
                <w:color w:val="auto"/>
                <w:szCs w:val="21"/>
                <w:highlight w:val="none"/>
              </w:rPr>
            </w:pPr>
            <w:r>
              <w:rPr>
                <w:rFonts w:hint="eastAsia"/>
                <w:color w:val="auto"/>
                <w:szCs w:val="21"/>
                <w:highlight w:val="none"/>
              </w:rPr>
              <w:t>出入厂道路硬化，经洗车台+沉淀池（</w:t>
            </w:r>
            <w:r>
              <w:rPr>
                <w:rFonts w:hint="eastAsia"/>
                <w:color w:val="auto"/>
                <w:szCs w:val="21"/>
                <w:highlight w:val="none"/>
                <w:lang w:val="en-US" w:eastAsia="zh-CN"/>
              </w:rPr>
              <w:t xml:space="preserve">25 </w:t>
            </w:r>
            <w:r>
              <w:rPr>
                <w:color w:val="auto"/>
                <w:szCs w:val="21"/>
                <w:highlight w:val="none"/>
              </w:rPr>
              <w:t>m</w:t>
            </w:r>
            <w:r>
              <w:rPr>
                <w:color w:val="auto"/>
                <w:szCs w:val="21"/>
                <w:highlight w:val="none"/>
                <w:vertAlign w:val="superscript"/>
              </w:rPr>
              <w:t>3</w:t>
            </w:r>
            <w:r>
              <w:rPr>
                <w:rFonts w:hint="eastAsia"/>
                <w:color w:val="auto"/>
                <w:szCs w:val="21"/>
                <w:highlight w:val="none"/>
              </w:rPr>
              <w:t>）处理后回用</w:t>
            </w:r>
          </w:p>
        </w:tc>
        <w:tc>
          <w:tcPr>
            <w:tcW w:w="1804" w:type="dxa"/>
            <w:vAlign w:val="center"/>
          </w:tcPr>
          <w:p w14:paraId="542B4D12">
            <w:pPr>
              <w:adjustRightInd w:val="0"/>
              <w:snapToGrid w:val="0"/>
              <w:jc w:val="center"/>
              <w:rPr>
                <w:color w:val="auto"/>
                <w:szCs w:val="21"/>
                <w:highlight w:val="none"/>
              </w:rPr>
            </w:pPr>
            <w:r>
              <w:rPr>
                <w:rFonts w:hint="eastAsia"/>
                <w:color w:val="auto"/>
                <w:szCs w:val="21"/>
                <w:highlight w:val="none"/>
              </w:rPr>
              <w:t>循环利用不外排</w:t>
            </w:r>
          </w:p>
        </w:tc>
      </w:tr>
      <w:tr w14:paraId="71616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6867B6D7">
            <w:pPr>
              <w:adjustRightInd w:val="0"/>
              <w:snapToGrid w:val="0"/>
              <w:jc w:val="center"/>
              <w:rPr>
                <w:rFonts w:hint="eastAsia"/>
                <w:color w:val="auto"/>
                <w:szCs w:val="21"/>
                <w:highlight w:val="none"/>
              </w:rPr>
            </w:pPr>
          </w:p>
        </w:tc>
        <w:tc>
          <w:tcPr>
            <w:tcW w:w="1575" w:type="dxa"/>
            <w:vAlign w:val="center"/>
          </w:tcPr>
          <w:p w14:paraId="494CB14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洗砂</w:t>
            </w:r>
          </w:p>
        </w:tc>
        <w:tc>
          <w:tcPr>
            <w:tcW w:w="1128" w:type="dxa"/>
            <w:vAlign w:val="center"/>
          </w:tcPr>
          <w:p w14:paraId="746E9EEE">
            <w:pPr>
              <w:adjustRightInd w:val="0"/>
              <w:snapToGrid w:val="0"/>
              <w:jc w:val="center"/>
              <w:rPr>
                <w:rFonts w:hint="eastAsia"/>
                <w:color w:val="auto"/>
                <w:szCs w:val="21"/>
                <w:highlight w:val="none"/>
              </w:rPr>
            </w:pPr>
            <w:r>
              <w:rPr>
                <w:rFonts w:hint="eastAsia"/>
                <w:color w:val="auto"/>
                <w:szCs w:val="21"/>
                <w:highlight w:val="none"/>
              </w:rPr>
              <w:t>洗</w:t>
            </w:r>
            <w:r>
              <w:rPr>
                <w:rFonts w:hint="eastAsia"/>
                <w:color w:val="auto"/>
                <w:szCs w:val="21"/>
                <w:highlight w:val="none"/>
                <w:lang w:val="en-US" w:eastAsia="zh-CN"/>
              </w:rPr>
              <w:t>砂</w:t>
            </w:r>
            <w:r>
              <w:rPr>
                <w:rFonts w:hint="eastAsia"/>
                <w:color w:val="auto"/>
                <w:szCs w:val="21"/>
                <w:highlight w:val="none"/>
              </w:rPr>
              <w:t>废水</w:t>
            </w:r>
          </w:p>
        </w:tc>
        <w:tc>
          <w:tcPr>
            <w:tcW w:w="2505" w:type="dxa"/>
            <w:vAlign w:val="center"/>
          </w:tcPr>
          <w:p w14:paraId="62CCAACB">
            <w:pPr>
              <w:adjustRightInd w:val="0"/>
              <w:snapToGrid w:val="0"/>
              <w:rPr>
                <w:rFonts w:hint="default" w:eastAsia="宋体"/>
                <w:color w:val="auto"/>
                <w:szCs w:val="21"/>
                <w:highlight w:val="none"/>
                <w:lang w:val="en-US" w:eastAsia="zh-CN"/>
              </w:rPr>
            </w:pPr>
            <w:r>
              <w:rPr>
                <w:rFonts w:hint="eastAsia"/>
                <w:szCs w:val="21"/>
                <w:lang w:bidi="ar"/>
              </w:rPr>
              <w:t>经</w:t>
            </w:r>
            <w:r>
              <w:rPr>
                <w:lang w:bidi="ar"/>
              </w:rPr>
              <w:t>混凝沉淀（</w:t>
            </w:r>
            <w:r>
              <w:rPr>
                <w:rFonts w:hint="eastAsia"/>
                <w:szCs w:val="21"/>
                <w:lang w:val="en-US" w:eastAsia="zh-CN"/>
              </w:rPr>
              <w:t>沉淀</w:t>
            </w:r>
            <w:r>
              <w:rPr>
                <w:szCs w:val="21"/>
              </w:rPr>
              <w:t>池</w:t>
            </w:r>
            <w:r>
              <w:rPr>
                <w:rFonts w:hint="eastAsia"/>
                <w:szCs w:val="21"/>
                <w:lang w:val="en-US" w:eastAsia="zh-CN"/>
              </w:rPr>
              <w:t>2</w:t>
            </w:r>
            <w:r>
              <w:rPr>
                <w:szCs w:val="21"/>
              </w:rPr>
              <w:t>00</w:t>
            </w:r>
            <w:r>
              <w:rPr>
                <w:rFonts w:hint="eastAsia"/>
                <w:szCs w:val="21"/>
              </w:rPr>
              <w:t xml:space="preserve"> </w:t>
            </w:r>
            <w:r>
              <w:rPr>
                <w:szCs w:val="21"/>
              </w:rPr>
              <w:t>m</w:t>
            </w:r>
            <w:r>
              <w:rPr>
                <w:szCs w:val="21"/>
                <w:vertAlign w:val="superscript"/>
              </w:rPr>
              <w:t>3</w:t>
            </w:r>
            <w:r>
              <w:rPr>
                <w:szCs w:val="21"/>
              </w:rPr>
              <w:t>+混凝罐</w:t>
            </w:r>
            <w:r>
              <w:rPr>
                <w:rFonts w:hint="eastAsia"/>
                <w:szCs w:val="21"/>
                <w:lang w:val="en-US" w:eastAsia="zh-CN"/>
              </w:rPr>
              <w:t>1</w:t>
            </w:r>
            <w:r>
              <w:rPr>
                <w:rFonts w:hint="eastAsia"/>
                <w:szCs w:val="21"/>
              </w:rPr>
              <w:t>0</w:t>
            </w:r>
            <w:r>
              <w:rPr>
                <w:szCs w:val="21"/>
              </w:rPr>
              <w:t>0 m</w:t>
            </w:r>
            <w:r>
              <w:rPr>
                <w:szCs w:val="21"/>
                <w:vertAlign w:val="superscript"/>
              </w:rPr>
              <w:t>3</w:t>
            </w:r>
            <w:r>
              <w:t>）处理</w:t>
            </w:r>
            <w:r>
              <w:rPr>
                <w:lang w:bidi="ar"/>
              </w:rPr>
              <w:t>后</w:t>
            </w:r>
            <w:r>
              <w:rPr>
                <w:szCs w:val="21"/>
              </w:rPr>
              <w:t>循环利用</w:t>
            </w:r>
          </w:p>
        </w:tc>
        <w:tc>
          <w:tcPr>
            <w:tcW w:w="1804" w:type="dxa"/>
            <w:vAlign w:val="center"/>
          </w:tcPr>
          <w:p w14:paraId="1B9CAB30">
            <w:pPr>
              <w:adjustRightInd w:val="0"/>
              <w:snapToGrid w:val="0"/>
              <w:jc w:val="center"/>
              <w:rPr>
                <w:rFonts w:hint="eastAsia"/>
                <w:color w:val="auto"/>
                <w:szCs w:val="21"/>
                <w:highlight w:val="none"/>
              </w:rPr>
            </w:pPr>
            <w:r>
              <w:rPr>
                <w:rFonts w:hint="eastAsia"/>
                <w:color w:val="auto"/>
                <w:szCs w:val="21"/>
                <w:highlight w:val="none"/>
              </w:rPr>
              <w:t>循环利用不外排</w:t>
            </w:r>
          </w:p>
        </w:tc>
      </w:tr>
      <w:tr w14:paraId="785C2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1B124066">
            <w:pPr>
              <w:adjustRightInd w:val="0"/>
              <w:snapToGrid w:val="0"/>
              <w:jc w:val="center"/>
              <w:rPr>
                <w:rFonts w:hint="eastAsia"/>
                <w:color w:val="auto"/>
                <w:szCs w:val="21"/>
                <w:highlight w:val="none"/>
              </w:rPr>
            </w:pPr>
          </w:p>
        </w:tc>
        <w:tc>
          <w:tcPr>
            <w:tcW w:w="1575" w:type="dxa"/>
            <w:vAlign w:val="center"/>
          </w:tcPr>
          <w:p w14:paraId="358DF772">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彩砂清洗</w:t>
            </w:r>
          </w:p>
        </w:tc>
        <w:tc>
          <w:tcPr>
            <w:tcW w:w="1128" w:type="dxa"/>
            <w:vAlign w:val="center"/>
          </w:tcPr>
          <w:p w14:paraId="5C74A967">
            <w:pPr>
              <w:adjustRightInd w:val="0"/>
              <w:snapToGrid w:val="0"/>
              <w:jc w:val="center"/>
              <w:rPr>
                <w:rFonts w:hint="default"/>
                <w:color w:val="auto"/>
                <w:szCs w:val="21"/>
                <w:highlight w:val="none"/>
                <w:lang w:val="en-US"/>
              </w:rPr>
            </w:pPr>
            <w:r>
              <w:rPr>
                <w:rFonts w:hint="eastAsia"/>
                <w:color w:val="auto"/>
                <w:szCs w:val="21"/>
                <w:highlight w:val="none"/>
                <w:lang w:val="en-US" w:eastAsia="zh-CN"/>
              </w:rPr>
              <w:t>彩砂清洗废水</w:t>
            </w:r>
          </w:p>
        </w:tc>
        <w:tc>
          <w:tcPr>
            <w:tcW w:w="2505" w:type="dxa"/>
            <w:vAlign w:val="center"/>
          </w:tcPr>
          <w:p w14:paraId="0FE121FD">
            <w:pPr>
              <w:adjustRightInd w:val="0"/>
              <w:snapToGrid w:val="0"/>
              <w:rPr>
                <w:rFonts w:hint="eastAsia"/>
                <w:szCs w:val="21"/>
                <w:lang w:bidi="ar"/>
              </w:rPr>
            </w:pPr>
            <w:r>
              <w:rPr>
                <w:rFonts w:hint="eastAsia"/>
                <w:szCs w:val="21"/>
                <w:lang w:bidi="ar"/>
              </w:rPr>
              <w:t>经</w:t>
            </w:r>
            <w:r>
              <w:rPr>
                <w:lang w:bidi="ar"/>
              </w:rPr>
              <w:t>混凝沉淀（</w:t>
            </w:r>
            <w:r>
              <w:rPr>
                <w:rFonts w:hint="eastAsia"/>
                <w:szCs w:val="21"/>
                <w:lang w:val="en-US" w:eastAsia="zh-CN"/>
              </w:rPr>
              <w:t>沉淀</w:t>
            </w:r>
            <w:r>
              <w:rPr>
                <w:szCs w:val="21"/>
              </w:rPr>
              <w:t>池</w:t>
            </w:r>
            <w:r>
              <w:rPr>
                <w:rFonts w:hint="eastAsia"/>
                <w:szCs w:val="21"/>
                <w:lang w:val="en-US" w:eastAsia="zh-CN"/>
              </w:rPr>
              <w:t>3</w:t>
            </w:r>
            <w:r>
              <w:rPr>
                <w:szCs w:val="21"/>
              </w:rPr>
              <w:t>00</w:t>
            </w:r>
            <w:r>
              <w:rPr>
                <w:rFonts w:hint="eastAsia"/>
                <w:szCs w:val="21"/>
              </w:rPr>
              <w:t xml:space="preserve"> </w:t>
            </w:r>
            <w:r>
              <w:rPr>
                <w:szCs w:val="21"/>
              </w:rPr>
              <w:t>m</w:t>
            </w:r>
            <w:r>
              <w:rPr>
                <w:szCs w:val="21"/>
                <w:vertAlign w:val="superscript"/>
              </w:rPr>
              <w:t>3</w:t>
            </w:r>
            <w:r>
              <w:rPr>
                <w:szCs w:val="21"/>
              </w:rPr>
              <w:t>+混凝罐</w:t>
            </w:r>
            <w:r>
              <w:rPr>
                <w:rFonts w:hint="eastAsia"/>
                <w:szCs w:val="21"/>
                <w:lang w:val="en-US" w:eastAsia="zh-CN"/>
              </w:rPr>
              <w:t>1</w:t>
            </w:r>
            <w:r>
              <w:rPr>
                <w:rFonts w:hint="eastAsia"/>
                <w:szCs w:val="21"/>
              </w:rPr>
              <w:t>0</w:t>
            </w:r>
            <w:r>
              <w:rPr>
                <w:szCs w:val="21"/>
              </w:rPr>
              <w:t>0 m</w:t>
            </w:r>
            <w:r>
              <w:rPr>
                <w:szCs w:val="21"/>
                <w:vertAlign w:val="superscript"/>
              </w:rPr>
              <w:t>3</w:t>
            </w:r>
            <w:r>
              <w:t>）处理</w:t>
            </w:r>
            <w:r>
              <w:rPr>
                <w:lang w:bidi="ar"/>
              </w:rPr>
              <w:t>后</w:t>
            </w:r>
            <w:r>
              <w:rPr>
                <w:szCs w:val="21"/>
              </w:rPr>
              <w:t>循环利用</w:t>
            </w:r>
          </w:p>
        </w:tc>
        <w:tc>
          <w:tcPr>
            <w:tcW w:w="1804" w:type="dxa"/>
            <w:vAlign w:val="center"/>
          </w:tcPr>
          <w:p w14:paraId="04A0F5EF">
            <w:pPr>
              <w:adjustRightInd w:val="0"/>
              <w:snapToGrid w:val="0"/>
              <w:jc w:val="center"/>
              <w:rPr>
                <w:rFonts w:hint="eastAsia"/>
                <w:color w:val="auto"/>
                <w:szCs w:val="21"/>
                <w:highlight w:val="none"/>
              </w:rPr>
            </w:pPr>
            <w:r>
              <w:rPr>
                <w:rFonts w:hint="eastAsia"/>
                <w:color w:val="auto"/>
                <w:szCs w:val="21"/>
                <w:highlight w:val="none"/>
              </w:rPr>
              <w:t>循环利用不外排</w:t>
            </w:r>
          </w:p>
        </w:tc>
      </w:tr>
      <w:tr w14:paraId="795BD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620D0B4C">
            <w:pPr>
              <w:adjustRightInd w:val="0"/>
              <w:snapToGrid w:val="0"/>
              <w:jc w:val="center"/>
              <w:rPr>
                <w:color w:val="auto"/>
                <w:szCs w:val="21"/>
                <w:highlight w:val="none"/>
              </w:rPr>
            </w:pPr>
          </w:p>
        </w:tc>
        <w:tc>
          <w:tcPr>
            <w:tcW w:w="1575" w:type="dxa"/>
            <w:vAlign w:val="center"/>
          </w:tcPr>
          <w:p w14:paraId="74DF43D8">
            <w:pPr>
              <w:adjustRightInd w:val="0"/>
              <w:snapToGrid w:val="0"/>
              <w:jc w:val="center"/>
              <w:rPr>
                <w:color w:val="auto"/>
                <w:szCs w:val="21"/>
                <w:highlight w:val="none"/>
              </w:rPr>
            </w:pPr>
            <w:r>
              <w:rPr>
                <w:rFonts w:hint="eastAsia"/>
                <w:color w:val="auto"/>
                <w:szCs w:val="21"/>
                <w:highlight w:val="none"/>
              </w:rPr>
              <w:t>办公区</w:t>
            </w:r>
          </w:p>
        </w:tc>
        <w:tc>
          <w:tcPr>
            <w:tcW w:w="1128" w:type="dxa"/>
            <w:vAlign w:val="center"/>
          </w:tcPr>
          <w:p w14:paraId="3C69395D">
            <w:pPr>
              <w:adjustRightInd w:val="0"/>
              <w:snapToGrid w:val="0"/>
              <w:jc w:val="center"/>
              <w:rPr>
                <w:color w:val="auto"/>
                <w:szCs w:val="21"/>
                <w:highlight w:val="none"/>
              </w:rPr>
            </w:pPr>
            <w:r>
              <w:rPr>
                <w:rFonts w:hint="eastAsia"/>
                <w:color w:val="auto"/>
                <w:szCs w:val="21"/>
                <w:highlight w:val="none"/>
              </w:rPr>
              <w:t>生活污水</w:t>
            </w:r>
          </w:p>
        </w:tc>
        <w:tc>
          <w:tcPr>
            <w:tcW w:w="2505" w:type="dxa"/>
            <w:vAlign w:val="center"/>
          </w:tcPr>
          <w:p w14:paraId="4C65C679">
            <w:pPr>
              <w:pStyle w:val="8"/>
              <w:ind w:firstLine="0"/>
              <w:rPr>
                <w:color w:val="auto"/>
                <w:szCs w:val="21"/>
                <w:highlight w:val="none"/>
              </w:rPr>
            </w:pPr>
            <w:r>
              <w:rPr>
                <w:rFonts w:hint="eastAsia"/>
                <w:color w:val="auto"/>
                <w:sz w:val="21"/>
                <w:szCs w:val="21"/>
                <w:highlight w:val="none"/>
                <w:lang w:val="en-US" w:eastAsia="zh-CN"/>
              </w:rPr>
              <w:t>经</w:t>
            </w:r>
            <w:r>
              <w:rPr>
                <w:color w:val="auto"/>
                <w:sz w:val="21"/>
                <w:szCs w:val="21"/>
                <w:highlight w:val="none"/>
              </w:rPr>
              <w:t>厂区化粪池</w:t>
            </w:r>
            <w:r>
              <w:rPr>
                <w:rFonts w:hint="eastAsia"/>
                <w:color w:val="auto"/>
                <w:sz w:val="21"/>
                <w:szCs w:val="21"/>
                <w:highlight w:val="none"/>
              </w:rPr>
              <w:t>（</w:t>
            </w:r>
            <w:r>
              <w:rPr>
                <w:rFonts w:hint="eastAsia"/>
                <w:color w:val="auto"/>
                <w:sz w:val="21"/>
                <w:szCs w:val="21"/>
                <w:highlight w:val="none"/>
                <w:lang w:val="en-US" w:eastAsia="zh-CN"/>
              </w:rPr>
              <w:t>20</w:t>
            </w:r>
            <w:r>
              <w:rPr>
                <w:rFonts w:hint="eastAsia" w:ascii="Times New Roman" w:hAnsi="Times New Roman" w:eastAsia="宋体" w:cs="Times New Roman"/>
                <w:bCs w:val="0"/>
                <w:kern w:val="2"/>
                <w:sz w:val="21"/>
                <w:szCs w:val="21"/>
                <w:lang w:val="en-US" w:eastAsia="zh-CN" w:bidi="ar-SA"/>
              </w:rPr>
              <w:t xml:space="preserve"> </w:t>
            </w:r>
            <w:r>
              <w:rPr>
                <w:rFonts w:ascii="Times New Roman" w:hAnsi="Times New Roman" w:eastAsia="宋体" w:cs="Times New Roman"/>
                <w:bCs w:val="0"/>
                <w:kern w:val="2"/>
                <w:sz w:val="21"/>
                <w:szCs w:val="21"/>
                <w:lang w:val="en-US" w:eastAsia="zh-CN" w:bidi="ar-SA"/>
              </w:rPr>
              <w:t>m</w:t>
            </w:r>
            <w:r>
              <w:rPr>
                <w:color w:val="auto"/>
                <w:szCs w:val="21"/>
                <w:highlight w:val="none"/>
                <w:vertAlign w:val="superscript"/>
              </w:rPr>
              <w:t>3</w:t>
            </w:r>
            <w:r>
              <w:rPr>
                <w:rFonts w:hint="eastAsia"/>
                <w:color w:val="auto"/>
                <w:sz w:val="21"/>
                <w:szCs w:val="21"/>
                <w:highlight w:val="none"/>
              </w:rPr>
              <w:t>）</w:t>
            </w:r>
            <w:r>
              <w:rPr>
                <w:color w:val="auto"/>
                <w:sz w:val="21"/>
                <w:szCs w:val="21"/>
                <w:highlight w:val="none"/>
              </w:rPr>
              <w:t>处理后用于周边</w:t>
            </w:r>
            <w:r>
              <w:rPr>
                <w:rFonts w:hint="eastAsia"/>
                <w:color w:val="auto"/>
                <w:sz w:val="21"/>
                <w:szCs w:val="21"/>
                <w:highlight w:val="none"/>
              </w:rPr>
              <w:t>农田施肥</w:t>
            </w:r>
          </w:p>
        </w:tc>
        <w:tc>
          <w:tcPr>
            <w:tcW w:w="1804" w:type="dxa"/>
            <w:vAlign w:val="center"/>
          </w:tcPr>
          <w:p w14:paraId="2C3D6D5A">
            <w:pPr>
              <w:adjustRightInd w:val="0"/>
              <w:snapToGrid w:val="0"/>
              <w:jc w:val="center"/>
              <w:rPr>
                <w:color w:val="auto"/>
                <w:szCs w:val="21"/>
                <w:highlight w:val="none"/>
              </w:rPr>
            </w:pPr>
            <w:r>
              <w:rPr>
                <w:rFonts w:hint="eastAsia"/>
                <w:color w:val="auto"/>
                <w:szCs w:val="21"/>
                <w:highlight w:val="none"/>
              </w:rPr>
              <w:t>综合利用不外排</w:t>
            </w:r>
          </w:p>
        </w:tc>
      </w:tr>
      <w:tr w14:paraId="402C57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44AD07E9">
            <w:pPr>
              <w:adjustRightInd w:val="0"/>
              <w:snapToGrid w:val="0"/>
              <w:jc w:val="center"/>
              <w:rPr>
                <w:color w:val="auto"/>
                <w:szCs w:val="21"/>
                <w:highlight w:val="none"/>
              </w:rPr>
            </w:pPr>
            <w:r>
              <w:rPr>
                <w:rFonts w:hint="eastAsia"/>
                <w:color w:val="auto"/>
                <w:szCs w:val="21"/>
                <w:highlight w:val="none"/>
              </w:rPr>
              <w:t>声环境</w:t>
            </w:r>
          </w:p>
        </w:tc>
        <w:tc>
          <w:tcPr>
            <w:tcW w:w="1575" w:type="dxa"/>
            <w:vAlign w:val="center"/>
          </w:tcPr>
          <w:p w14:paraId="5181D69B">
            <w:pPr>
              <w:adjustRightInd w:val="0"/>
              <w:snapToGrid w:val="0"/>
              <w:jc w:val="center"/>
              <w:rPr>
                <w:color w:val="auto"/>
                <w:szCs w:val="21"/>
                <w:highlight w:val="none"/>
              </w:rPr>
            </w:pPr>
            <w:r>
              <w:rPr>
                <w:rFonts w:hint="eastAsia"/>
                <w:color w:val="auto"/>
                <w:szCs w:val="21"/>
                <w:highlight w:val="none"/>
              </w:rPr>
              <w:t>生产过程</w:t>
            </w:r>
          </w:p>
        </w:tc>
        <w:tc>
          <w:tcPr>
            <w:tcW w:w="1128" w:type="dxa"/>
            <w:vAlign w:val="center"/>
          </w:tcPr>
          <w:p w14:paraId="6437BB0E">
            <w:pPr>
              <w:adjustRightInd w:val="0"/>
              <w:snapToGrid w:val="0"/>
              <w:jc w:val="center"/>
              <w:rPr>
                <w:color w:val="auto"/>
                <w:szCs w:val="21"/>
                <w:highlight w:val="none"/>
              </w:rPr>
            </w:pPr>
            <w:r>
              <w:rPr>
                <w:rFonts w:hint="eastAsia"/>
                <w:color w:val="auto"/>
                <w:szCs w:val="21"/>
                <w:highlight w:val="none"/>
              </w:rPr>
              <w:t>生产噪声</w:t>
            </w:r>
          </w:p>
        </w:tc>
        <w:tc>
          <w:tcPr>
            <w:tcW w:w="2505" w:type="dxa"/>
            <w:vAlign w:val="center"/>
          </w:tcPr>
          <w:p w14:paraId="1D5039EE">
            <w:pPr>
              <w:adjustRightInd w:val="0"/>
              <w:snapToGrid w:val="0"/>
              <w:rPr>
                <w:color w:val="auto"/>
                <w:szCs w:val="21"/>
                <w:highlight w:val="none"/>
              </w:rPr>
            </w:pPr>
            <w:r>
              <w:rPr>
                <w:color w:val="auto"/>
                <w:szCs w:val="21"/>
                <w:highlight w:val="none"/>
              </w:rPr>
              <w:t>采用低噪声设备，</w:t>
            </w:r>
            <w:r>
              <w:rPr>
                <w:rFonts w:hint="eastAsia"/>
                <w:color w:val="auto"/>
                <w:szCs w:val="21"/>
                <w:highlight w:val="none"/>
              </w:rPr>
              <w:t>并</w:t>
            </w:r>
            <w:r>
              <w:rPr>
                <w:color w:val="auto"/>
                <w:szCs w:val="21"/>
                <w:highlight w:val="none"/>
              </w:rPr>
              <w:t>合理安排运行时间，</w:t>
            </w:r>
            <w:r>
              <w:rPr>
                <w:rFonts w:hint="eastAsia"/>
                <w:color w:val="auto"/>
                <w:szCs w:val="21"/>
                <w:highlight w:val="none"/>
              </w:rPr>
              <w:t>设备置于封闭车间内等针对性</w:t>
            </w:r>
            <w:r>
              <w:rPr>
                <w:color w:val="auto"/>
                <w:szCs w:val="21"/>
                <w:highlight w:val="none"/>
              </w:rPr>
              <w:t>隔声减振措施</w:t>
            </w:r>
          </w:p>
        </w:tc>
        <w:tc>
          <w:tcPr>
            <w:tcW w:w="1804" w:type="dxa"/>
            <w:vAlign w:val="center"/>
          </w:tcPr>
          <w:p w14:paraId="011DBF0F">
            <w:pPr>
              <w:adjustRightInd w:val="0"/>
              <w:snapToGrid w:val="0"/>
              <w:jc w:val="center"/>
              <w:rPr>
                <w:color w:val="auto"/>
                <w:szCs w:val="21"/>
                <w:highlight w:val="none"/>
              </w:rPr>
            </w:pPr>
            <w:r>
              <w:rPr>
                <w:rFonts w:hint="eastAsia"/>
                <w:color w:val="auto"/>
                <w:szCs w:val="21"/>
                <w:highlight w:val="none"/>
              </w:rPr>
              <w:t>执行</w:t>
            </w:r>
            <w:r>
              <w:rPr>
                <w:color w:val="auto"/>
                <w:szCs w:val="21"/>
                <w:highlight w:val="none"/>
              </w:rPr>
              <w:t>《工业企业厂界环境噪声排放标准》</w:t>
            </w:r>
            <w:r>
              <w:rPr>
                <w:rFonts w:hint="eastAsia"/>
                <w:color w:val="auto"/>
                <w:szCs w:val="21"/>
                <w:highlight w:val="none"/>
              </w:rPr>
              <w:t>（</w:t>
            </w:r>
            <w:r>
              <w:rPr>
                <w:color w:val="auto"/>
                <w:szCs w:val="21"/>
                <w:highlight w:val="none"/>
              </w:rPr>
              <w:t>GB</w:t>
            </w:r>
            <w:r>
              <w:rPr>
                <w:rFonts w:hint="eastAsia"/>
                <w:color w:val="auto"/>
                <w:szCs w:val="21"/>
                <w:highlight w:val="none"/>
                <w:lang w:val="en-US" w:eastAsia="zh-CN"/>
              </w:rPr>
              <w:t xml:space="preserve"> </w:t>
            </w:r>
            <w:r>
              <w:rPr>
                <w:color w:val="auto"/>
                <w:szCs w:val="21"/>
                <w:highlight w:val="none"/>
              </w:rPr>
              <w:t>12348-2008</w:t>
            </w:r>
            <w:r>
              <w:rPr>
                <w:rFonts w:hint="eastAsia"/>
                <w:color w:val="auto"/>
                <w:szCs w:val="21"/>
                <w:highlight w:val="none"/>
              </w:rPr>
              <w:t>）</w:t>
            </w:r>
            <w:r>
              <w:rPr>
                <w:color w:val="auto"/>
                <w:szCs w:val="21"/>
                <w:highlight w:val="none"/>
              </w:rPr>
              <w:t>中</w:t>
            </w:r>
            <w:r>
              <w:rPr>
                <w:rFonts w:hint="eastAsia"/>
                <w:color w:val="auto"/>
                <w:szCs w:val="21"/>
                <w:highlight w:val="none"/>
              </w:rPr>
              <w:t>3</w:t>
            </w:r>
            <w:r>
              <w:rPr>
                <w:color w:val="auto"/>
                <w:szCs w:val="21"/>
                <w:highlight w:val="none"/>
              </w:rPr>
              <w:t>类标准</w:t>
            </w:r>
          </w:p>
        </w:tc>
      </w:tr>
      <w:tr w14:paraId="4D652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0E1C9D7A">
            <w:pPr>
              <w:adjustRightInd w:val="0"/>
              <w:snapToGrid w:val="0"/>
              <w:jc w:val="center"/>
              <w:rPr>
                <w:color w:val="auto"/>
                <w:szCs w:val="21"/>
                <w:highlight w:val="none"/>
              </w:rPr>
            </w:pPr>
            <w:r>
              <w:rPr>
                <w:rFonts w:hint="eastAsia"/>
                <w:color w:val="auto"/>
                <w:szCs w:val="21"/>
                <w:highlight w:val="none"/>
              </w:rPr>
              <w:t>固体废物</w:t>
            </w:r>
          </w:p>
        </w:tc>
        <w:tc>
          <w:tcPr>
            <w:tcW w:w="7012" w:type="dxa"/>
            <w:gridSpan w:val="4"/>
            <w:vAlign w:val="center"/>
          </w:tcPr>
          <w:p w14:paraId="2025C85F">
            <w:pPr>
              <w:rPr>
                <w:color w:val="auto"/>
                <w:szCs w:val="21"/>
                <w:highlight w:val="none"/>
              </w:rPr>
            </w:pPr>
            <w:r>
              <w:rPr>
                <w:rFonts w:hint="eastAsia" w:ascii="宋体" w:hAnsi="宋体" w:cs="宋体"/>
                <w:color w:val="auto"/>
                <w:szCs w:val="21"/>
                <w:highlight w:val="none"/>
              </w:rPr>
              <w:t>①</w:t>
            </w:r>
            <w:r>
              <w:rPr>
                <w:rFonts w:hint="eastAsia" w:ascii="宋体" w:hAnsi="宋体"/>
                <w:bCs/>
                <w:color w:val="auto"/>
                <w:kern w:val="0"/>
                <w:szCs w:val="21"/>
                <w:highlight w:val="none"/>
              </w:rPr>
              <w:t>生活垃圾经垃圾桶收集后交由环卫部门处置</w:t>
            </w:r>
            <w:r>
              <w:rPr>
                <w:color w:val="auto"/>
                <w:szCs w:val="21"/>
                <w:highlight w:val="none"/>
              </w:rPr>
              <w:t>；</w:t>
            </w:r>
          </w:p>
          <w:p w14:paraId="1891AF48">
            <w:pPr>
              <w:rPr>
                <w:rFonts w:hAnsi="宋体"/>
                <w:snapToGrid w:val="0"/>
                <w:color w:val="auto"/>
                <w:spacing w:val="-6"/>
                <w:kern w:val="21"/>
                <w:szCs w:val="21"/>
                <w:highlight w:val="none"/>
              </w:rPr>
            </w:pPr>
            <w:r>
              <w:rPr>
                <w:rFonts w:hint="eastAsia" w:ascii="宋体" w:hAnsi="宋体" w:cs="宋体"/>
                <w:color w:val="auto"/>
                <w:szCs w:val="21"/>
                <w:highlight w:val="none"/>
              </w:rPr>
              <w:t>②</w:t>
            </w:r>
            <w:r>
              <w:rPr>
                <w:rFonts w:hint="eastAsia" w:hAnsi="宋体"/>
                <w:snapToGrid w:val="0"/>
                <w:color w:val="auto"/>
                <w:spacing w:val="-6"/>
                <w:kern w:val="21"/>
                <w:szCs w:val="21"/>
                <w:highlight w:val="none"/>
              </w:rPr>
              <w:t>收集尘统一收集后作为生产原料再利用；</w:t>
            </w:r>
          </w:p>
          <w:p w14:paraId="3E363A31">
            <w:pPr>
              <w:rPr>
                <w:color w:val="auto"/>
                <w:szCs w:val="21"/>
                <w:highlight w:val="none"/>
              </w:rPr>
            </w:pPr>
            <w:r>
              <w:rPr>
                <w:rFonts w:hint="eastAsia" w:ascii="宋体" w:hAnsi="宋体" w:cs="宋体"/>
                <w:color w:val="auto"/>
                <w:szCs w:val="21"/>
                <w:highlight w:val="none"/>
              </w:rPr>
              <w:t>③</w:t>
            </w:r>
            <w:r>
              <w:rPr>
                <w:rFonts w:hint="eastAsia"/>
                <w:color w:val="auto"/>
                <w:szCs w:val="21"/>
                <w:highlight w:val="none"/>
                <w:lang w:val="en-US" w:eastAsia="zh-CN"/>
              </w:rPr>
              <w:t>泥饼</w:t>
            </w:r>
            <w:r>
              <w:rPr>
                <w:color w:val="auto"/>
                <w:szCs w:val="21"/>
                <w:highlight w:val="none"/>
              </w:rPr>
              <w:t>收集后</w:t>
            </w:r>
            <w:r>
              <w:rPr>
                <w:rFonts w:hint="eastAsia"/>
                <w:color w:val="auto"/>
                <w:szCs w:val="21"/>
                <w:highlight w:val="none"/>
                <w:lang w:val="en-US" w:eastAsia="zh-CN"/>
              </w:rPr>
              <w:t>在一般固废暂存区暂存后</w:t>
            </w:r>
            <w:r>
              <w:rPr>
                <w:rFonts w:hint="eastAsia" w:hAnsi="宋体"/>
                <w:szCs w:val="21"/>
                <w:lang w:bidi="ar"/>
              </w:rPr>
              <w:t>定期</w:t>
            </w:r>
            <w:r>
              <w:rPr>
                <w:rFonts w:hint="eastAsia" w:hAnsi="宋体"/>
                <w:szCs w:val="21"/>
                <w:lang w:val="en-US" w:eastAsia="zh-CN" w:bidi="ar"/>
              </w:rPr>
              <w:t>外运综合利用</w:t>
            </w:r>
            <w:r>
              <w:rPr>
                <w:rFonts w:hint="eastAsia"/>
                <w:color w:val="auto"/>
                <w:szCs w:val="21"/>
                <w:highlight w:val="none"/>
              </w:rPr>
              <w:t>；</w:t>
            </w:r>
          </w:p>
          <w:p w14:paraId="097A37CF">
            <w:pPr>
              <w:rPr>
                <w:rFonts w:hint="eastAsia"/>
                <w:color w:val="auto"/>
                <w:szCs w:val="21"/>
                <w:highlight w:val="none"/>
              </w:rPr>
            </w:pPr>
            <w:r>
              <w:rPr>
                <w:color w:val="auto"/>
                <w:szCs w:val="21"/>
                <w:highlight w:val="none"/>
              </w:rPr>
              <w:t>④废编织袋</w:t>
            </w:r>
            <w:r>
              <w:rPr>
                <w:rFonts w:hint="eastAsia"/>
                <w:color w:val="auto"/>
                <w:szCs w:val="21"/>
                <w:highlight w:val="none"/>
                <w:lang w:val="en-US" w:eastAsia="zh-CN"/>
              </w:rPr>
              <w:t>在一般固废暂存区暂存后</w:t>
            </w:r>
            <w:r>
              <w:rPr>
                <w:color w:val="auto"/>
                <w:szCs w:val="21"/>
                <w:highlight w:val="none"/>
              </w:rPr>
              <w:t>交由当地废品回收站处置</w:t>
            </w:r>
            <w:r>
              <w:rPr>
                <w:rFonts w:hint="eastAsia"/>
                <w:color w:val="auto"/>
                <w:szCs w:val="21"/>
                <w:highlight w:val="none"/>
              </w:rPr>
              <w:t>。</w:t>
            </w:r>
          </w:p>
          <w:p w14:paraId="47208168">
            <w:pPr>
              <w:rPr>
                <w:rFonts w:hint="eastAsia" w:eastAsia="宋体"/>
                <w:color w:val="auto"/>
                <w:szCs w:val="21"/>
                <w:highlight w:val="none"/>
                <w:lang w:eastAsia="zh-CN"/>
              </w:rPr>
            </w:pPr>
            <w:r>
              <w:rPr>
                <w:rFonts w:hint="eastAsia" w:ascii="宋体" w:hAnsi="宋体" w:cs="宋体"/>
                <w:color w:val="auto"/>
                <w:szCs w:val="21"/>
                <w:highlight w:val="none"/>
              </w:rPr>
              <w:t>⑤</w:t>
            </w:r>
            <w:r>
              <w:rPr>
                <w:color w:val="auto"/>
                <w:szCs w:val="21"/>
                <w:highlight w:val="none"/>
              </w:rPr>
              <w:t>废</w:t>
            </w:r>
            <w:r>
              <w:rPr>
                <w:rFonts w:hint="eastAsia"/>
                <w:color w:val="auto"/>
                <w:szCs w:val="21"/>
                <w:highlight w:val="none"/>
              </w:rPr>
              <w:t>润滑油、废油桶、含油手套等</w:t>
            </w:r>
            <w:r>
              <w:rPr>
                <w:color w:val="auto"/>
                <w:szCs w:val="21"/>
                <w:highlight w:val="none"/>
              </w:rPr>
              <w:t>经专用容器收集后</w:t>
            </w:r>
            <w:r>
              <w:rPr>
                <w:rFonts w:hint="eastAsia"/>
                <w:color w:val="auto"/>
                <w:szCs w:val="21"/>
                <w:highlight w:val="none"/>
              </w:rPr>
              <w:t>，</w:t>
            </w:r>
            <w:r>
              <w:rPr>
                <w:rFonts w:hint="eastAsia"/>
                <w:color w:val="auto"/>
                <w:highlight w:val="none"/>
              </w:rPr>
              <w:t>暂存于危废贮存库内，</w:t>
            </w:r>
            <w:r>
              <w:rPr>
                <w:color w:val="auto"/>
                <w:szCs w:val="21"/>
                <w:highlight w:val="none"/>
              </w:rPr>
              <w:t>定期交由有</w:t>
            </w:r>
            <w:r>
              <w:rPr>
                <w:rFonts w:hint="eastAsia"/>
                <w:color w:val="auto"/>
                <w:szCs w:val="21"/>
                <w:highlight w:val="none"/>
                <w:lang w:val="en-US" w:eastAsia="zh-CN"/>
              </w:rPr>
              <w:t>危废</w:t>
            </w:r>
            <w:r>
              <w:rPr>
                <w:color w:val="auto"/>
                <w:szCs w:val="21"/>
                <w:highlight w:val="none"/>
              </w:rPr>
              <w:t>资质单位处理</w:t>
            </w:r>
            <w:r>
              <w:rPr>
                <w:rFonts w:hint="eastAsia"/>
                <w:color w:val="auto"/>
                <w:szCs w:val="21"/>
                <w:highlight w:val="none"/>
                <w:lang w:eastAsia="zh-CN"/>
              </w:rPr>
              <w:t>。</w:t>
            </w:r>
          </w:p>
        </w:tc>
      </w:tr>
      <w:tr w14:paraId="6A48E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741DAAFC">
            <w:pPr>
              <w:adjustRightInd w:val="0"/>
              <w:snapToGrid w:val="0"/>
              <w:jc w:val="center"/>
              <w:rPr>
                <w:color w:val="auto"/>
                <w:szCs w:val="21"/>
                <w:highlight w:val="none"/>
              </w:rPr>
            </w:pPr>
            <w:r>
              <w:rPr>
                <w:rFonts w:hint="eastAsia"/>
                <w:color w:val="auto"/>
                <w:szCs w:val="21"/>
                <w:highlight w:val="none"/>
              </w:rPr>
              <w:t>土壤及地下水</w:t>
            </w:r>
          </w:p>
          <w:p w14:paraId="53BD239B">
            <w:pPr>
              <w:adjustRightInd w:val="0"/>
              <w:snapToGrid w:val="0"/>
              <w:jc w:val="center"/>
              <w:rPr>
                <w:color w:val="auto"/>
                <w:szCs w:val="21"/>
                <w:highlight w:val="none"/>
              </w:rPr>
            </w:pPr>
            <w:r>
              <w:rPr>
                <w:rFonts w:hint="eastAsia"/>
                <w:color w:val="auto"/>
                <w:szCs w:val="21"/>
                <w:highlight w:val="none"/>
              </w:rPr>
              <w:t>污染防治措施</w:t>
            </w:r>
          </w:p>
        </w:tc>
        <w:tc>
          <w:tcPr>
            <w:tcW w:w="7012" w:type="dxa"/>
            <w:gridSpan w:val="4"/>
            <w:vAlign w:val="center"/>
          </w:tcPr>
          <w:p w14:paraId="366F4091">
            <w:pPr>
              <w:adjustRightInd w:val="0"/>
              <w:snapToGrid w:val="0"/>
              <w:rPr>
                <w:color w:val="auto"/>
                <w:szCs w:val="21"/>
                <w:highlight w:val="none"/>
              </w:rPr>
            </w:pPr>
            <w:r>
              <w:rPr>
                <w:rFonts w:hint="eastAsia"/>
                <w:color w:val="auto"/>
                <w:szCs w:val="21"/>
                <w:highlight w:val="none"/>
              </w:rPr>
              <w:t>生产车间</w:t>
            </w:r>
            <w:r>
              <w:rPr>
                <w:rFonts w:hint="eastAsia"/>
                <w:color w:val="auto"/>
                <w:szCs w:val="21"/>
                <w:highlight w:val="none"/>
                <w:lang w:eastAsia="zh-CN"/>
              </w:rPr>
              <w:t>、</w:t>
            </w:r>
            <w:r>
              <w:rPr>
                <w:rFonts w:hint="eastAsia"/>
                <w:color w:val="auto"/>
                <w:szCs w:val="21"/>
                <w:highlight w:val="none"/>
              </w:rPr>
              <w:t>成品区、原料区、化粪池及沉淀池等均采取一般防渗措施</w:t>
            </w:r>
            <w:r>
              <w:rPr>
                <w:rFonts w:hint="eastAsia"/>
                <w:color w:val="auto"/>
                <w:szCs w:val="21"/>
                <w:highlight w:val="none"/>
                <w:lang w:eastAsia="zh-CN"/>
              </w:rPr>
              <w:t>，对</w:t>
            </w:r>
            <w:r>
              <w:rPr>
                <w:rFonts w:hint="eastAsia"/>
                <w:color w:val="auto"/>
                <w:szCs w:val="21"/>
                <w:highlight w:val="none"/>
              </w:rPr>
              <w:t>危废贮存库采取重点防渗处理，并加强日常管理。</w:t>
            </w:r>
          </w:p>
        </w:tc>
      </w:tr>
      <w:tr w14:paraId="7E28F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4295B005">
            <w:pPr>
              <w:adjustRightInd w:val="0"/>
              <w:snapToGrid w:val="0"/>
              <w:jc w:val="center"/>
              <w:rPr>
                <w:color w:val="auto"/>
                <w:szCs w:val="21"/>
                <w:highlight w:val="none"/>
              </w:rPr>
            </w:pPr>
            <w:r>
              <w:rPr>
                <w:rFonts w:hint="eastAsia"/>
                <w:color w:val="auto"/>
                <w:szCs w:val="21"/>
                <w:highlight w:val="none"/>
              </w:rPr>
              <w:t>生态保护措施</w:t>
            </w:r>
          </w:p>
        </w:tc>
        <w:tc>
          <w:tcPr>
            <w:tcW w:w="7012" w:type="dxa"/>
            <w:gridSpan w:val="4"/>
            <w:vAlign w:val="center"/>
          </w:tcPr>
          <w:p w14:paraId="70E75D8F">
            <w:pPr>
              <w:pStyle w:val="41"/>
              <w:jc w:val="center"/>
              <w:rPr>
                <w:color w:val="auto"/>
                <w:highlight w:val="none"/>
              </w:rPr>
            </w:pPr>
            <w:r>
              <w:rPr>
                <w:rFonts w:ascii="Times New Roman" w:hAnsi="Times New Roman" w:cs="Times New Roman"/>
                <w:color w:val="auto"/>
                <w:highlight w:val="none"/>
              </w:rPr>
              <w:t>/</w:t>
            </w:r>
          </w:p>
        </w:tc>
      </w:tr>
      <w:tr w14:paraId="4254A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01BB91AD">
            <w:pPr>
              <w:adjustRightInd w:val="0"/>
              <w:snapToGrid w:val="0"/>
              <w:jc w:val="center"/>
              <w:rPr>
                <w:color w:val="auto"/>
                <w:szCs w:val="21"/>
                <w:highlight w:val="none"/>
              </w:rPr>
            </w:pPr>
            <w:r>
              <w:rPr>
                <w:rFonts w:hint="eastAsia"/>
                <w:color w:val="auto"/>
                <w:szCs w:val="21"/>
                <w:highlight w:val="none"/>
              </w:rPr>
              <w:t>环境风险</w:t>
            </w:r>
          </w:p>
          <w:p w14:paraId="51875CBD">
            <w:pPr>
              <w:adjustRightInd w:val="0"/>
              <w:snapToGrid w:val="0"/>
              <w:jc w:val="center"/>
              <w:rPr>
                <w:color w:val="auto"/>
                <w:szCs w:val="21"/>
                <w:highlight w:val="none"/>
              </w:rPr>
            </w:pPr>
            <w:r>
              <w:rPr>
                <w:rFonts w:hint="eastAsia"/>
                <w:color w:val="auto"/>
                <w:szCs w:val="21"/>
                <w:highlight w:val="none"/>
              </w:rPr>
              <w:t>防范措施</w:t>
            </w:r>
          </w:p>
        </w:tc>
        <w:tc>
          <w:tcPr>
            <w:tcW w:w="7012" w:type="dxa"/>
            <w:gridSpan w:val="4"/>
            <w:vAlign w:val="center"/>
          </w:tcPr>
          <w:p w14:paraId="34B110E1">
            <w:pPr>
              <w:adjustRightInd w:val="0"/>
              <w:snapToGrid w:val="0"/>
              <w:jc w:val="center"/>
              <w:rPr>
                <w:color w:val="auto"/>
                <w:szCs w:val="21"/>
                <w:highlight w:val="none"/>
              </w:rPr>
            </w:pPr>
            <w:r>
              <w:rPr>
                <w:color w:val="auto"/>
                <w:szCs w:val="21"/>
                <w:highlight w:val="none"/>
              </w:rPr>
              <w:t>加强风险物质</w:t>
            </w:r>
            <w:r>
              <w:rPr>
                <w:rFonts w:hint="eastAsia"/>
                <w:color w:val="auto"/>
                <w:szCs w:val="21"/>
                <w:highlight w:val="none"/>
              </w:rPr>
              <w:t>（</w:t>
            </w:r>
            <w:r>
              <w:rPr>
                <w:rFonts w:hint="eastAsia"/>
                <w:color w:val="auto"/>
                <w:szCs w:val="21"/>
                <w:highlight w:val="none"/>
                <w:lang w:eastAsia="zh-CN"/>
              </w:rPr>
              <w:t>润滑油、</w:t>
            </w:r>
            <w:r>
              <w:rPr>
                <w:rFonts w:hint="eastAsia"/>
                <w:color w:val="auto"/>
                <w:szCs w:val="21"/>
                <w:highlight w:val="none"/>
              </w:rPr>
              <w:t>废润滑油）</w:t>
            </w:r>
            <w:r>
              <w:rPr>
                <w:color w:val="auto"/>
                <w:szCs w:val="21"/>
                <w:highlight w:val="none"/>
              </w:rPr>
              <w:t>管理，安全操作</w:t>
            </w:r>
            <w:r>
              <w:rPr>
                <w:rFonts w:hint="eastAsia"/>
                <w:color w:val="auto"/>
                <w:szCs w:val="21"/>
                <w:highlight w:val="none"/>
              </w:rPr>
              <w:t>。</w:t>
            </w:r>
          </w:p>
        </w:tc>
      </w:tr>
      <w:tr w14:paraId="4595B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392A8262">
            <w:pPr>
              <w:adjustRightInd w:val="0"/>
              <w:snapToGrid w:val="0"/>
              <w:jc w:val="center"/>
              <w:rPr>
                <w:color w:val="auto"/>
                <w:szCs w:val="21"/>
                <w:highlight w:val="none"/>
              </w:rPr>
            </w:pPr>
            <w:r>
              <w:rPr>
                <w:rFonts w:hint="eastAsia"/>
                <w:color w:val="auto"/>
                <w:szCs w:val="21"/>
                <w:highlight w:val="none"/>
              </w:rPr>
              <w:t>其他环境</w:t>
            </w:r>
          </w:p>
          <w:p w14:paraId="7305DC62">
            <w:pPr>
              <w:adjustRightInd w:val="0"/>
              <w:snapToGrid w:val="0"/>
              <w:jc w:val="center"/>
              <w:rPr>
                <w:color w:val="auto"/>
                <w:szCs w:val="21"/>
                <w:highlight w:val="none"/>
              </w:rPr>
            </w:pPr>
            <w:r>
              <w:rPr>
                <w:rFonts w:hint="eastAsia"/>
                <w:color w:val="auto"/>
                <w:szCs w:val="21"/>
                <w:highlight w:val="none"/>
              </w:rPr>
              <w:t>管理要求</w:t>
            </w:r>
          </w:p>
        </w:tc>
        <w:tc>
          <w:tcPr>
            <w:tcW w:w="7012" w:type="dxa"/>
            <w:gridSpan w:val="4"/>
            <w:vAlign w:val="center"/>
          </w:tcPr>
          <w:p w14:paraId="52E9BF96">
            <w:pPr>
              <w:adjustRightInd w:val="0"/>
              <w:snapToGrid w:val="0"/>
              <w:rPr>
                <w:rFonts w:hint="eastAsia"/>
                <w:color w:val="auto"/>
                <w:szCs w:val="21"/>
                <w:highlight w:val="none"/>
              </w:rPr>
            </w:pPr>
            <w:r>
              <w:rPr>
                <w:rFonts w:hint="eastAsia"/>
                <w:color w:val="auto"/>
                <w:highlight w:val="none"/>
              </w:rPr>
              <w:t>项目建成后</w:t>
            </w:r>
            <w:r>
              <w:rPr>
                <w:rFonts w:hint="eastAsia"/>
                <w:color w:val="auto"/>
                <w:szCs w:val="21"/>
                <w:highlight w:val="none"/>
              </w:rPr>
              <w:t>要求开展竣工环保验收并办理排污许可手续，按照废气污染源监测要求和噪声排放监测要求，组织开展自行监测工作，监测工作可委托第三方具有检测认证资质的专业机构。</w:t>
            </w:r>
          </w:p>
          <w:p w14:paraId="6D8E9EFC">
            <w:pPr>
              <w:pStyle w:val="2"/>
              <w:rPr>
                <w:rFonts w:hint="eastAsia"/>
                <w:color w:val="auto"/>
                <w:szCs w:val="21"/>
                <w:highlight w:val="none"/>
              </w:rPr>
            </w:pPr>
          </w:p>
          <w:p w14:paraId="5F0FE34E">
            <w:pPr>
              <w:rPr>
                <w:rFonts w:hint="eastAsia"/>
                <w:color w:val="auto"/>
                <w:szCs w:val="21"/>
                <w:highlight w:val="none"/>
              </w:rPr>
            </w:pPr>
          </w:p>
          <w:p w14:paraId="00E4001D">
            <w:pPr>
              <w:pStyle w:val="2"/>
              <w:rPr>
                <w:rFonts w:hint="eastAsia"/>
                <w:color w:val="auto"/>
                <w:szCs w:val="21"/>
                <w:highlight w:val="none"/>
              </w:rPr>
            </w:pPr>
          </w:p>
          <w:p w14:paraId="1319A6BF">
            <w:pPr>
              <w:rPr>
                <w:rFonts w:hint="eastAsia"/>
                <w:color w:val="auto"/>
                <w:szCs w:val="21"/>
                <w:highlight w:val="none"/>
              </w:rPr>
            </w:pPr>
          </w:p>
          <w:p w14:paraId="5DD04F6E">
            <w:pPr>
              <w:pStyle w:val="2"/>
              <w:rPr>
                <w:rFonts w:hint="eastAsia"/>
                <w:color w:val="auto"/>
                <w:szCs w:val="21"/>
                <w:highlight w:val="none"/>
              </w:rPr>
            </w:pPr>
          </w:p>
          <w:p w14:paraId="4F86A07A">
            <w:pPr>
              <w:rPr>
                <w:rFonts w:hint="eastAsia"/>
                <w:color w:val="auto"/>
                <w:szCs w:val="21"/>
                <w:highlight w:val="none"/>
              </w:rPr>
            </w:pPr>
          </w:p>
          <w:p w14:paraId="1E9AC809">
            <w:pPr>
              <w:pStyle w:val="2"/>
              <w:rPr>
                <w:rFonts w:hint="eastAsia"/>
                <w:color w:val="auto"/>
                <w:szCs w:val="21"/>
                <w:highlight w:val="none"/>
              </w:rPr>
            </w:pPr>
          </w:p>
          <w:p w14:paraId="094819BC">
            <w:pPr>
              <w:rPr>
                <w:rFonts w:hint="eastAsia"/>
                <w:color w:val="auto"/>
                <w:szCs w:val="21"/>
                <w:highlight w:val="none"/>
              </w:rPr>
            </w:pPr>
          </w:p>
          <w:p w14:paraId="38454FC5">
            <w:pPr>
              <w:pStyle w:val="2"/>
              <w:rPr>
                <w:rFonts w:hint="eastAsia"/>
                <w:color w:val="auto"/>
                <w:szCs w:val="21"/>
                <w:highlight w:val="none"/>
              </w:rPr>
            </w:pPr>
          </w:p>
          <w:p w14:paraId="75EFC275">
            <w:pPr>
              <w:rPr>
                <w:rFonts w:hint="eastAsia"/>
                <w:color w:val="auto"/>
                <w:szCs w:val="21"/>
                <w:highlight w:val="none"/>
              </w:rPr>
            </w:pPr>
          </w:p>
          <w:p w14:paraId="120FFBD6">
            <w:pPr>
              <w:pStyle w:val="2"/>
              <w:rPr>
                <w:rFonts w:hint="eastAsia"/>
                <w:color w:val="auto"/>
                <w:szCs w:val="21"/>
                <w:highlight w:val="none"/>
              </w:rPr>
            </w:pPr>
          </w:p>
          <w:p w14:paraId="58E74C46">
            <w:pPr>
              <w:rPr>
                <w:rFonts w:hint="eastAsia"/>
                <w:color w:val="auto"/>
                <w:szCs w:val="21"/>
                <w:highlight w:val="none"/>
              </w:rPr>
            </w:pPr>
          </w:p>
          <w:p w14:paraId="2306ADCA">
            <w:pPr>
              <w:pStyle w:val="2"/>
              <w:rPr>
                <w:rFonts w:hint="eastAsia"/>
                <w:color w:val="auto"/>
                <w:szCs w:val="21"/>
                <w:highlight w:val="none"/>
              </w:rPr>
            </w:pPr>
          </w:p>
          <w:p w14:paraId="03BA9063">
            <w:pPr>
              <w:rPr>
                <w:rFonts w:hint="eastAsia"/>
                <w:color w:val="auto"/>
                <w:szCs w:val="21"/>
                <w:highlight w:val="none"/>
              </w:rPr>
            </w:pPr>
          </w:p>
          <w:p w14:paraId="660F605D">
            <w:pPr>
              <w:pStyle w:val="2"/>
              <w:rPr>
                <w:rFonts w:hint="eastAsia"/>
                <w:color w:val="auto"/>
                <w:szCs w:val="21"/>
                <w:highlight w:val="none"/>
              </w:rPr>
            </w:pPr>
          </w:p>
          <w:p w14:paraId="186E76D1">
            <w:pPr>
              <w:rPr>
                <w:rFonts w:hint="eastAsia"/>
                <w:color w:val="auto"/>
                <w:szCs w:val="21"/>
                <w:highlight w:val="none"/>
              </w:rPr>
            </w:pPr>
          </w:p>
          <w:p w14:paraId="7A91EF8D">
            <w:pPr>
              <w:pStyle w:val="2"/>
              <w:rPr>
                <w:rFonts w:hint="eastAsia"/>
                <w:color w:val="auto"/>
                <w:szCs w:val="21"/>
                <w:highlight w:val="none"/>
              </w:rPr>
            </w:pPr>
          </w:p>
          <w:p w14:paraId="35E657F8">
            <w:pPr>
              <w:rPr>
                <w:rFonts w:hint="eastAsia"/>
                <w:color w:val="auto"/>
                <w:szCs w:val="21"/>
                <w:highlight w:val="none"/>
              </w:rPr>
            </w:pPr>
          </w:p>
          <w:p w14:paraId="76D16680">
            <w:pPr>
              <w:pStyle w:val="2"/>
              <w:rPr>
                <w:rFonts w:hint="eastAsia"/>
                <w:color w:val="auto"/>
                <w:szCs w:val="21"/>
                <w:highlight w:val="none"/>
              </w:rPr>
            </w:pPr>
          </w:p>
          <w:p w14:paraId="546D918D">
            <w:pPr>
              <w:rPr>
                <w:rFonts w:hint="eastAsia"/>
                <w:color w:val="auto"/>
                <w:szCs w:val="21"/>
                <w:highlight w:val="none"/>
              </w:rPr>
            </w:pPr>
          </w:p>
          <w:p w14:paraId="480A90D6">
            <w:pPr>
              <w:pStyle w:val="2"/>
              <w:rPr>
                <w:rFonts w:hint="eastAsia"/>
                <w:color w:val="auto"/>
                <w:szCs w:val="21"/>
                <w:highlight w:val="none"/>
              </w:rPr>
            </w:pPr>
          </w:p>
          <w:p w14:paraId="3778432F">
            <w:pPr>
              <w:rPr>
                <w:rFonts w:hint="eastAsia"/>
                <w:color w:val="auto"/>
                <w:szCs w:val="21"/>
                <w:highlight w:val="none"/>
              </w:rPr>
            </w:pPr>
          </w:p>
          <w:p w14:paraId="612307E7">
            <w:pPr>
              <w:pStyle w:val="2"/>
              <w:rPr>
                <w:rFonts w:hint="eastAsia"/>
                <w:color w:val="auto"/>
                <w:szCs w:val="21"/>
                <w:highlight w:val="none"/>
              </w:rPr>
            </w:pPr>
          </w:p>
          <w:p w14:paraId="60797844">
            <w:pPr>
              <w:rPr>
                <w:rFonts w:hint="eastAsia"/>
                <w:color w:val="auto"/>
                <w:szCs w:val="21"/>
                <w:highlight w:val="none"/>
              </w:rPr>
            </w:pPr>
          </w:p>
          <w:p w14:paraId="1F1F2A10">
            <w:pPr>
              <w:pStyle w:val="2"/>
              <w:rPr>
                <w:rFonts w:hint="eastAsia"/>
                <w:color w:val="auto"/>
                <w:szCs w:val="21"/>
                <w:highlight w:val="none"/>
              </w:rPr>
            </w:pPr>
          </w:p>
          <w:p w14:paraId="1A25E563">
            <w:pPr>
              <w:rPr>
                <w:rFonts w:hint="eastAsia"/>
                <w:color w:val="auto"/>
                <w:szCs w:val="21"/>
                <w:highlight w:val="none"/>
              </w:rPr>
            </w:pPr>
          </w:p>
          <w:p w14:paraId="6FC33F47">
            <w:pPr>
              <w:pStyle w:val="2"/>
              <w:rPr>
                <w:rFonts w:hint="eastAsia"/>
                <w:color w:val="auto"/>
                <w:szCs w:val="21"/>
                <w:highlight w:val="none"/>
              </w:rPr>
            </w:pPr>
          </w:p>
          <w:p w14:paraId="2B9CB426">
            <w:pPr>
              <w:rPr>
                <w:rFonts w:hint="eastAsia"/>
                <w:color w:val="auto"/>
                <w:szCs w:val="21"/>
                <w:highlight w:val="none"/>
              </w:rPr>
            </w:pPr>
          </w:p>
          <w:p w14:paraId="290D1BB3">
            <w:pPr>
              <w:pStyle w:val="2"/>
              <w:rPr>
                <w:rFonts w:hint="eastAsia"/>
                <w:color w:val="auto"/>
                <w:szCs w:val="21"/>
                <w:highlight w:val="none"/>
              </w:rPr>
            </w:pPr>
          </w:p>
          <w:p w14:paraId="677FE684">
            <w:pPr>
              <w:rPr>
                <w:rFonts w:hint="eastAsia"/>
                <w:color w:val="auto"/>
                <w:szCs w:val="21"/>
                <w:highlight w:val="none"/>
              </w:rPr>
            </w:pPr>
          </w:p>
          <w:p w14:paraId="696027D1">
            <w:pPr>
              <w:pStyle w:val="2"/>
              <w:rPr>
                <w:rFonts w:hint="eastAsia"/>
                <w:color w:val="auto"/>
                <w:szCs w:val="21"/>
                <w:highlight w:val="none"/>
              </w:rPr>
            </w:pPr>
          </w:p>
          <w:p w14:paraId="074EB1AE">
            <w:pPr>
              <w:rPr>
                <w:rFonts w:hint="eastAsia"/>
                <w:color w:val="auto"/>
                <w:szCs w:val="21"/>
                <w:highlight w:val="none"/>
              </w:rPr>
            </w:pPr>
          </w:p>
          <w:p w14:paraId="3DC86D0B">
            <w:pPr>
              <w:pStyle w:val="2"/>
              <w:rPr>
                <w:rFonts w:hint="eastAsia"/>
                <w:color w:val="auto"/>
                <w:szCs w:val="21"/>
                <w:highlight w:val="none"/>
              </w:rPr>
            </w:pPr>
          </w:p>
          <w:p w14:paraId="0098D7DF">
            <w:pPr>
              <w:rPr>
                <w:rFonts w:hint="eastAsia"/>
                <w:color w:val="auto"/>
                <w:szCs w:val="21"/>
                <w:highlight w:val="none"/>
              </w:rPr>
            </w:pPr>
          </w:p>
          <w:p w14:paraId="569AA0A5">
            <w:pPr>
              <w:pStyle w:val="2"/>
              <w:rPr>
                <w:rFonts w:hint="eastAsia"/>
                <w:color w:val="auto"/>
                <w:szCs w:val="21"/>
                <w:highlight w:val="none"/>
              </w:rPr>
            </w:pPr>
          </w:p>
          <w:p w14:paraId="31D0B5D3">
            <w:pPr>
              <w:rPr>
                <w:rFonts w:hint="eastAsia"/>
                <w:color w:val="auto"/>
                <w:szCs w:val="21"/>
                <w:highlight w:val="none"/>
              </w:rPr>
            </w:pPr>
          </w:p>
          <w:p w14:paraId="63AB464E">
            <w:pPr>
              <w:pStyle w:val="2"/>
              <w:rPr>
                <w:rFonts w:hint="eastAsia"/>
                <w:color w:val="auto"/>
                <w:szCs w:val="21"/>
                <w:highlight w:val="none"/>
              </w:rPr>
            </w:pPr>
          </w:p>
          <w:p w14:paraId="44BF71D6">
            <w:pPr>
              <w:rPr>
                <w:rFonts w:hint="eastAsia"/>
                <w:color w:val="auto"/>
                <w:szCs w:val="21"/>
                <w:highlight w:val="none"/>
              </w:rPr>
            </w:pPr>
          </w:p>
          <w:p w14:paraId="5C059319">
            <w:pPr>
              <w:pStyle w:val="2"/>
              <w:rPr>
                <w:rFonts w:hint="eastAsia"/>
                <w:color w:val="auto"/>
                <w:szCs w:val="21"/>
                <w:highlight w:val="none"/>
              </w:rPr>
            </w:pPr>
          </w:p>
          <w:p w14:paraId="1987F998">
            <w:pPr>
              <w:rPr>
                <w:rFonts w:hint="eastAsia"/>
                <w:color w:val="auto"/>
                <w:szCs w:val="21"/>
                <w:highlight w:val="none"/>
              </w:rPr>
            </w:pPr>
          </w:p>
          <w:p w14:paraId="19A0F53C">
            <w:pPr>
              <w:pStyle w:val="2"/>
              <w:rPr>
                <w:rFonts w:hint="eastAsia"/>
                <w:color w:val="auto"/>
                <w:szCs w:val="21"/>
                <w:highlight w:val="none"/>
              </w:rPr>
            </w:pPr>
          </w:p>
          <w:p w14:paraId="423002CA"/>
        </w:tc>
      </w:tr>
    </w:tbl>
    <w:p w14:paraId="01D4A867">
      <w:pPr>
        <w:pStyle w:val="26"/>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3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EAB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7" w:hRule="atLeast"/>
          <w:jc w:val="center"/>
        </w:trPr>
        <w:tc>
          <w:tcPr>
            <w:tcW w:w="8865" w:type="dxa"/>
          </w:tcPr>
          <w:p w14:paraId="1AB83A8C">
            <w:pPr>
              <w:keepNext w:val="0"/>
              <w:keepLines w:val="0"/>
              <w:pageBreakBefore w:val="0"/>
              <w:widowControl w:val="0"/>
              <w:tabs>
                <w:tab w:val="left" w:pos="9460"/>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汉中迪瑞特实业投资有限公司开展的洋县超细重钙、高端彩砂、骨料碎石及水洗（机制）沙及特种干混砂浆深加工项目</w:t>
            </w:r>
            <w:r>
              <w:rPr>
                <w:rFonts w:hint="eastAsia"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一期</w:t>
            </w:r>
            <w:r>
              <w:rPr>
                <w:rFonts w:hint="eastAsia"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符合相关的生态环境保护法律法规要求，各污染源采取的环保措施合理有效，技术可行。建设方在落实本环评提出的各项污染防治措施后，废气能实现达标排放；</w:t>
            </w:r>
            <w:r>
              <w:rPr>
                <w:rFonts w:hint="eastAsia" w:cs="Times New Roman"/>
                <w:color w:val="auto"/>
                <w:kern w:val="0"/>
                <w:sz w:val="24"/>
                <w:szCs w:val="20"/>
                <w:highlight w:val="none"/>
                <w:lang w:val="en-US" w:eastAsia="zh-CN" w:bidi="ar-SA"/>
              </w:rPr>
              <w:t>生产废水循环利用</w:t>
            </w:r>
            <w:r>
              <w:rPr>
                <w:rFonts w:hint="eastAsia" w:ascii="Times New Roman" w:hAnsi="Times New Roman" w:eastAsia="宋体" w:cs="Times New Roman"/>
                <w:color w:val="auto"/>
                <w:kern w:val="0"/>
                <w:sz w:val="24"/>
                <w:szCs w:val="20"/>
                <w:highlight w:val="none"/>
                <w:lang w:val="en-US" w:eastAsia="zh-CN" w:bidi="ar-SA"/>
              </w:rPr>
              <w:t>不外排；生活污水经化粪池处理后用于周边农田施肥；噪声可达标排放；固废均能实现资源化或无害化处置，对评价区域环境质量的影响较小。</w:t>
            </w:r>
          </w:p>
          <w:p w14:paraId="415E1295">
            <w:pPr>
              <w:widowControl/>
              <w:spacing w:line="360" w:lineRule="auto"/>
              <w:ind w:firstLine="480" w:firstLineChars="200"/>
              <w:rPr>
                <w:color w:val="auto"/>
                <w:highlight w:val="none"/>
              </w:rPr>
            </w:pPr>
            <w:r>
              <w:rPr>
                <w:rFonts w:hint="eastAsia" w:ascii="宋体" w:hAnsi="宋体" w:cs="宋体"/>
                <w:color w:val="auto"/>
                <w:kern w:val="0"/>
                <w:sz w:val="24"/>
                <w:highlight w:val="none"/>
              </w:rPr>
              <w:t>综上，从环境保护角度分析，本</w:t>
            </w:r>
            <w:r>
              <w:rPr>
                <w:rFonts w:hint="eastAsia" w:ascii="宋体" w:hAnsi="宋体" w:cs="宋体"/>
                <w:color w:val="auto"/>
                <w:kern w:val="0"/>
                <w:sz w:val="24"/>
                <w:highlight w:val="none"/>
                <w:lang w:val="en-US" w:eastAsia="zh-CN"/>
              </w:rPr>
              <w:t>项目建设</w:t>
            </w:r>
            <w:r>
              <w:rPr>
                <w:rFonts w:hint="eastAsia" w:ascii="宋体" w:hAnsi="宋体" w:cs="宋体"/>
                <w:color w:val="auto"/>
                <w:kern w:val="0"/>
                <w:sz w:val="24"/>
                <w:highlight w:val="none"/>
              </w:rPr>
              <w:t>可行。</w:t>
            </w:r>
          </w:p>
          <w:p w14:paraId="7B744719">
            <w:pPr>
              <w:pStyle w:val="46"/>
              <w:spacing w:line="360" w:lineRule="auto"/>
              <w:ind w:firstLine="480"/>
              <w:rPr>
                <w:color w:val="auto"/>
                <w:highlight w:val="none"/>
              </w:rPr>
            </w:pPr>
          </w:p>
        </w:tc>
      </w:tr>
    </w:tbl>
    <w:p w14:paraId="3C89E898">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A4252D1">
      <w:pPr>
        <w:pStyle w:val="26"/>
        <w:adjustRightInd w:val="0"/>
        <w:snapToGrid w:val="0"/>
        <w:spacing w:before="0" w:beforeAutospacing="0" w:after="0" w:afterAutospacing="0" w:line="480" w:lineRule="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4ECD2957">
      <w:pPr>
        <w:pStyle w:val="26"/>
        <w:adjustRightInd w:val="0"/>
        <w:snapToGrid w:val="0"/>
        <w:spacing w:before="0" w:beforeAutospacing="0" w:after="0" w:afterAutospacing="0" w:line="276" w:lineRule="auto"/>
        <w:jc w:val="center"/>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6"/>
        <w:gridCol w:w="1322"/>
        <w:gridCol w:w="1486"/>
        <w:gridCol w:w="1446"/>
        <w:gridCol w:w="1405"/>
        <w:gridCol w:w="1827"/>
        <w:gridCol w:w="1701"/>
        <w:gridCol w:w="1427"/>
      </w:tblGrid>
      <w:tr w14:paraId="100ED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0970F784">
            <w:pPr>
              <w:pStyle w:val="87"/>
              <w:spacing w:beforeLines="0" w:afterLines="0" w:line="240" w:lineRule="auto"/>
              <w:jc w:val="righ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项目</w:t>
            </w:r>
          </w:p>
          <w:p w14:paraId="71586794">
            <w:pPr>
              <w:pStyle w:val="87"/>
              <w:spacing w:beforeLines="0" w:afterLines="0" w:line="240" w:lineRule="auto"/>
              <w:jc w:val="lef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分类</w:t>
            </w:r>
          </w:p>
        </w:tc>
        <w:tc>
          <w:tcPr>
            <w:tcW w:w="1586" w:type="dxa"/>
            <w:tcMar>
              <w:left w:w="28" w:type="dxa"/>
              <w:right w:w="28" w:type="dxa"/>
            </w:tcMar>
            <w:vAlign w:val="center"/>
          </w:tcPr>
          <w:p w14:paraId="72EBAFDE">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污染物名称</w:t>
            </w:r>
          </w:p>
        </w:tc>
        <w:tc>
          <w:tcPr>
            <w:tcW w:w="1322" w:type="dxa"/>
            <w:tcMar>
              <w:left w:w="28" w:type="dxa"/>
              <w:right w:w="28" w:type="dxa"/>
            </w:tcMar>
            <w:vAlign w:val="center"/>
          </w:tcPr>
          <w:p w14:paraId="2912943F">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6C9145B0">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①</w:t>
            </w:r>
            <w:r>
              <w:rPr>
                <w:rFonts w:ascii="Times New Roman" w:eastAsia="黑体"/>
                <w:snapToGrid w:val="0"/>
                <w:color w:val="auto"/>
                <w:spacing w:val="-6"/>
                <w:kern w:val="21"/>
                <w:szCs w:val="21"/>
                <w:highlight w:val="none"/>
              </w:rPr>
              <w:fldChar w:fldCharType="end"/>
            </w:r>
          </w:p>
        </w:tc>
        <w:tc>
          <w:tcPr>
            <w:tcW w:w="1486" w:type="dxa"/>
            <w:tcMar>
              <w:left w:w="28" w:type="dxa"/>
              <w:right w:w="28" w:type="dxa"/>
            </w:tcMar>
            <w:vAlign w:val="center"/>
          </w:tcPr>
          <w:p w14:paraId="7C43369D">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0756CA6D">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许可排放量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2 \* GB3 \* MERGEFORMAT </w:instrText>
            </w:r>
            <w:r>
              <w:rPr>
                <w:rFonts w:ascii="Times New Roman" w:eastAsia="黑体"/>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eastAsia="黑体"/>
                <w:snapToGrid w:val="0"/>
                <w:color w:val="auto"/>
                <w:spacing w:val="-6"/>
                <w:kern w:val="21"/>
                <w:szCs w:val="21"/>
                <w:highlight w:val="none"/>
              </w:rPr>
              <w:fldChar w:fldCharType="end"/>
            </w:r>
          </w:p>
        </w:tc>
        <w:tc>
          <w:tcPr>
            <w:tcW w:w="1446" w:type="dxa"/>
            <w:tcMar>
              <w:left w:w="28" w:type="dxa"/>
              <w:right w:w="28" w:type="dxa"/>
            </w:tcMar>
            <w:vAlign w:val="center"/>
          </w:tcPr>
          <w:p w14:paraId="0E306699">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在建工程</w:t>
            </w:r>
          </w:p>
          <w:p w14:paraId="4E197F54">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3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③</w:t>
            </w:r>
            <w:r>
              <w:rPr>
                <w:rFonts w:ascii="Times New Roman" w:eastAsia="黑体"/>
                <w:snapToGrid w:val="0"/>
                <w:color w:val="auto"/>
                <w:spacing w:val="-6"/>
                <w:kern w:val="21"/>
                <w:szCs w:val="21"/>
                <w:highlight w:val="none"/>
              </w:rPr>
              <w:fldChar w:fldCharType="end"/>
            </w:r>
          </w:p>
        </w:tc>
        <w:tc>
          <w:tcPr>
            <w:tcW w:w="1405" w:type="dxa"/>
            <w:tcMar>
              <w:left w:w="28" w:type="dxa"/>
              <w:right w:w="28" w:type="dxa"/>
            </w:tcMar>
            <w:vAlign w:val="center"/>
          </w:tcPr>
          <w:p w14:paraId="66F6A779">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本项目</w:t>
            </w:r>
          </w:p>
          <w:p w14:paraId="41A6746B">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4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④</w:t>
            </w:r>
            <w:r>
              <w:rPr>
                <w:rFonts w:ascii="Times New Roman" w:eastAsia="黑体"/>
                <w:snapToGrid w:val="0"/>
                <w:color w:val="auto"/>
                <w:spacing w:val="-6"/>
                <w:kern w:val="21"/>
                <w:szCs w:val="21"/>
                <w:highlight w:val="none"/>
              </w:rPr>
              <w:fldChar w:fldCharType="end"/>
            </w:r>
          </w:p>
        </w:tc>
        <w:tc>
          <w:tcPr>
            <w:tcW w:w="1827" w:type="dxa"/>
            <w:tcMar>
              <w:left w:w="28" w:type="dxa"/>
              <w:right w:w="28" w:type="dxa"/>
            </w:tcMar>
            <w:vAlign w:val="center"/>
          </w:tcPr>
          <w:p w14:paraId="01C7A0F2">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以新带老削减量</w:t>
            </w:r>
          </w:p>
          <w:p w14:paraId="230F1575">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（新建项目不填）</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5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⑤</w:t>
            </w:r>
            <w:r>
              <w:rPr>
                <w:rFonts w:ascii="Times New Roman" w:eastAsia="黑体"/>
                <w:snapToGrid w:val="0"/>
                <w:color w:val="auto"/>
                <w:spacing w:val="-16"/>
                <w:kern w:val="21"/>
                <w:szCs w:val="21"/>
                <w:highlight w:val="none"/>
              </w:rPr>
              <w:fldChar w:fldCharType="end"/>
            </w:r>
          </w:p>
        </w:tc>
        <w:tc>
          <w:tcPr>
            <w:tcW w:w="1701" w:type="dxa"/>
            <w:tcMar>
              <w:left w:w="28" w:type="dxa"/>
              <w:right w:w="28" w:type="dxa"/>
            </w:tcMar>
            <w:vAlign w:val="center"/>
          </w:tcPr>
          <w:p w14:paraId="689506F0">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本项目建成后</w:t>
            </w:r>
          </w:p>
          <w:p w14:paraId="0C552B9E">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全厂排放量</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6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⑥</w:t>
            </w:r>
            <w:r>
              <w:rPr>
                <w:rFonts w:ascii="Times New Roman" w:eastAsia="黑体"/>
                <w:snapToGrid w:val="0"/>
                <w:color w:val="auto"/>
                <w:spacing w:val="-16"/>
                <w:kern w:val="21"/>
                <w:szCs w:val="21"/>
                <w:highlight w:val="none"/>
              </w:rPr>
              <w:fldChar w:fldCharType="end"/>
            </w:r>
          </w:p>
        </w:tc>
        <w:tc>
          <w:tcPr>
            <w:tcW w:w="1427" w:type="dxa"/>
            <w:tcMar>
              <w:left w:w="28" w:type="dxa"/>
              <w:right w:w="28" w:type="dxa"/>
            </w:tcMar>
            <w:vAlign w:val="center"/>
          </w:tcPr>
          <w:p w14:paraId="497EBC7A">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变化量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7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⑦</w:t>
            </w:r>
            <w:r>
              <w:rPr>
                <w:rFonts w:ascii="Times New Roman" w:eastAsia="黑体"/>
                <w:snapToGrid w:val="0"/>
                <w:color w:val="auto"/>
                <w:spacing w:val="-6"/>
                <w:kern w:val="21"/>
                <w:szCs w:val="21"/>
                <w:highlight w:val="none"/>
              </w:rPr>
              <w:fldChar w:fldCharType="end"/>
            </w:r>
          </w:p>
        </w:tc>
      </w:tr>
      <w:tr w14:paraId="48932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Align w:val="center"/>
          </w:tcPr>
          <w:p w14:paraId="274824AE">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1586" w:type="dxa"/>
            <w:vAlign w:val="center"/>
          </w:tcPr>
          <w:p w14:paraId="5AF3FBC7">
            <w:pPr>
              <w:pStyle w:val="46"/>
              <w:autoSpaceDE/>
              <w:autoSpaceDN/>
              <w:jc w:val="center"/>
              <w:rPr>
                <w:rFonts w:ascii="Times New Roman"/>
                <w:snapToGrid w:val="0"/>
                <w:color w:val="auto"/>
                <w:kern w:val="21"/>
                <w:szCs w:val="21"/>
                <w:highlight w:val="none"/>
              </w:rPr>
            </w:pPr>
            <w:r>
              <w:rPr>
                <w:rFonts w:hint="eastAsia" w:ascii="Times New Roman" w:cs="Times New Roman"/>
                <w:color w:val="auto"/>
                <w:sz w:val="21"/>
                <w:szCs w:val="21"/>
                <w:highlight w:val="none"/>
              </w:rPr>
              <w:t>颗粒物</w:t>
            </w:r>
          </w:p>
        </w:tc>
        <w:tc>
          <w:tcPr>
            <w:tcW w:w="1322" w:type="dxa"/>
            <w:vAlign w:val="center"/>
          </w:tcPr>
          <w:p w14:paraId="1893B013">
            <w:pPr>
              <w:pStyle w:val="87"/>
              <w:spacing w:beforeLines="0" w:afterLines="0" w:line="240" w:lineRule="auto"/>
              <w:rPr>
                <w:snapToGrid w:val="0"/>
                <w:color w:val="auto"/>
                <w:kern w:val="21"/>
                <w:szCs w:val="21"/>
                <w:highlight w:val="none"/>
              </w:rPr>
            </w:pPr>
          </w:p>
        </w:tc>
        <w:tc>
          <w:tcPr>
            <w:tcW w:w="1486" w:type="dxa"/>
            <w:vAlign w:val="center"/>
          </w:tcPr>
          <w:p w14:paraId="63C3DADF">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2E6AD121">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517D44FE">
            <w:pPr>
              <w:jc w:val="center"/>
              <w:rPr>
                <w:snapToGrid w:val="0"/>
                <w:color w:val="auto"/>
                <w:kern w:val="21"/>
                <w:szCs w:val="21"/>
                <w:highlight w:val="none"/>
              </w:rPr>
            </w:pPr>
            <w:r>
              <w:rPr>
                <w:rFonts w:hint="eastAsia" w:eastAsia="等线"/>
                <w:bCs/>
                <w:color w:val="auto"/>
                <w:szCs w:val="21"/>
                <w:highlight w:val="none"/>
                <w:lang w:val="en-US" w:eastAsia="zh-CN"/>
              </w:rPr>
              <w:t xml:space="preserve">44.847 </w:t>
            </w:r>
            <w:r>
              <w:rPr>
                <w:rFonts w:hint="eastAsia" w:eastAsia="等线"/>
                <w:bCs/>
                <w:color w:val="auto"/>
                <w:szCs w:val="21"/>
                <w:highlight w:val="none"/>
              </w:rPr>
              <w:t>t</w:t>
            </w:r>
            <w:r>
              <w:rPr>
                <w:rFonts w:eastAsia="等线"/>
                <w:bCs/>
                <w:color w:val="auto"/>
                <w:szCs w:val="21"/>
                <w:highlight w:val="none"/>
              </w:rPr>
              <w:t>/a</w:t>
            </w:r>
          </w:p>
        </w:tc>
        <w:tc>
          <w:tcPr>
            <w:tcW w:w="1827" w:type="dxa"/>
            <w:vAlign w:val="center"/>
          </w:tcPr>
          <w:p w14:paraId="329F7666">
            <w:pPr>
              <w:jc w:val="center"/>
              <w:rPr>
                <w:snapToGrid w:val="0"/>
                <w:color w:val="auto"/>
                <w:kern w:val="21"/>
                <w:szCs w:val="21"/>
                <w:highlight w:val="none"/>
              </w:rPr>
            </w:pPr>
          </w:p>
        </w:tc>
        <w:tc>
          <w:tcPr>
            <w:tcW w:w="1701" w:type="dxa"/>
            <w:vAlign w:val="center"/>
          </w:tcPr>
          <w:p w14:paraId="53F45CFB">
            <w:pPr>
              <w:jc w:val="center"/>
              <w:rPr>
                <w:snapToGrid w:val="0"/>
                <w:color w:val="auto"/>
                <w:kern w:val="21"/>
                <w:szCs w:val="21"/>
                <w:highlight w:val="none"/>
              </w:rPr>
            </w:pPr>
          </w:p>
        </w:tc>
        <w:tc>
          <w:tcPr>
            <w:tcW w:w="1427" w:type="dxa"/>
            <w:vAlign w:val="center"/>
          </w:tcPr>
          <w:p w14:paraId="46E77E2B">
            <w:pPr>
              <w:pStyle w:val="87"/>
              <w:spacing w:beforeLines="0" w:afterLines="0" w:line="240" w:lineRule="auto"/>
              <w:rPr>
                <w:rFonts w:ascii="Times New Roman"/>
                <w:snapToGrid w:val="0"/>
                <w:color w:val="auto"/>
                <w:kern w:val="21"/>
                <w:szCs w:val="21"/>
                <w:highlight w:val="none"/>
              </w:rPr>
            </w:pPr>
          </w:p>
        </w:tc>
      </w:tr>
      <w:tr w14:paraId="6523F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5D4BEAB9">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1586" w:type="dxa"/>
            <w:vAlign w:val="center"/>
          </w:tcPr>
          <w:p w14:paraId="7474D686">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生产废水</w:t>
            </w:r>
          </w:p>
        </w:tc>
        <w:tc>
          <w:tcPr>
            <w:tcW w:w="1322" w:type="dxa"/>
            <w:vAlign w:val="center"/>
          </w:tcPr>
          <w:p w14:paraId="64707587">
            <w:pPr>
              <w:pStyle w:val="87"/>
              <w:spacing w:beforeLines="0" w:afterLines="0" w:line="240" w:lineRule="auto"/>
              <w:rPr>
                <w:rFonts w:ascii="Times New Roman"/>
                <w:snapToGrid w:val="0"/>
                <w:color w:val="auto"/>
                <w:kern w:val="21"/>
                <w:szCs w:val="21"/>
                <w:highlight w:val="none"/>
              </w:rPr>
            </w:pPr>
          </w:p>
        </w:tc>
        <w:tc>
          <w:tcPr>
            <w:tcW w:w="1486" w:type="dxa"/>
            <w:vAlign w:val="center"/>
          </w:tcPr>
          <w:p w14:paraId="29DF3A02">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329771ED">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60EEAA8A">
            <w:pPr>
              <w:jc w:val="center"/>
              <w:rPr>
                <w:snapToGrid w:val="0"/>
                <w:color w:val="auto"/>
                <w:kern w:val="21"/>
                <w:szCs w:val="21"/>
                <w:highlight w:val="none"/>
              </w:rPr>
            </w:pPr>
            <w:r>
              <w:rPr>
                <w:rFonts w:hint="eastAsia" w:eastAsia="等线"/>
                <w:bCs/>
                <w:color w:val="auto"/>
                <w:szCs w:val="21"/>
                <w:highlight w:val="none"/>
              </w:rPr>
              <w:t>0</w:t>
            </w:r>
          </w:p>
        </w:tc>
        <w:tc>
          <w:tcPr>
            <w:tcW w:w="1827" w:type="dxa"/>
            <w:vAlign w:val="center"/>
          </w:tcPr>
          <w:p w14:paraId="71B890EC">
            <w:pPr>
              <w:pStyle w:val="87"/>
              <w:spacing w:beforeLines="0" w:afterLines="0" w:line="240" w:lineRule="auto"/>
              <w:rPr>
                <w:rFonts w:ascii="Times New Roman"/>
                <w:snapToGrid w:val="0"/>
                <w:color w:val="auto"/>
                <w:kern w:val="21"/>
                <w:szCs w:val="21"/>
                <w:highlight w:val="none"/>
              </w:rPr>
            </w:pPr>
          </w:p>
        </w:tc>
        <w:tc>
          <w:tcPr>
            <w:tcW w:w="1701" w:type="dxa"/>
            <w:vAlign w:val="center"/>
          </w:tcPr>
          <w:p w14:paraId="10197FBC">
            <w:pPr>
              <w:jc w:val="center"/>
              <w:rPr>
                <w:snapToGrid w:val="0"/>
                <w:color w:val="auto"/>
                <w:kern w:val="21"/>
                <w:szCs w:val="21"/>
                <w:highlight w:val="none"/>
              </w:rPr>
            </w:pPr>
          </w:p>
        </w:tc>
        <w:tc>
          <w:tcPr>
            <w:tcW w:w="1427" w:type="dxa"/>
            <w:vAlign w:val="center"/>
          </w:tcPr>
          <w:p w14:paraId="0B89742C">
            <w:pPr>
              <w:pStyle w:val="87"/>
              <w:spacing w:beforeLines="0" w:afterLines="0" w:line="240" w:lineRule="auto"/>
              <w:rPr>
                <w:rFonts w:ascii="Times New Roman"/>
                <w:snapToGrid w:val="0"/>
                <w:color w:val="auto"/>
                <w:kern w:val="21"/>
                <w:szCs w:val="21"/>
                <w:highlight w:val="none"/>
              </w:rPr>
            </w:pPr>
          </w:p>
        </w:tc>
      </w:tr>
      <w:tr w14:paraId="42512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321FAF61">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69023F51">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生活废水</w:t>
            </w:r>
          </w:p>
        </w:tc>
        <w:tc>
          <w:tcPr>
            <w:tcW w:w="1322" w:type="dxa"/>
            <w:vAlign w:val="center"/>
          </w:tcPr>
          <w:p w14:paraId="61DF3A95">
            <w:pPr>
              <w:pStyle w:val="87"/>
              <w:spacing w:beforeLines="0" w:afterLines="0" w:line="240" w:lineRule="auto"/>
              <w:rPr>
                <w:rFonts w:ascii="Times New Roman"/>
                <w:snapToGrid w:val="0"/>
                <w:color w:val="auto"/>
                <w:kern w:val="21"/>
                <w:szCs w:val="21"/>
                <w:highlight w:val="none"/>
              </w:rPr>
            </w:pPr>
          </w:p>
        </w:tc>
        <w:tc>
          <w:tcPr>
            <w:tcW w:w="1486" w:type="dxa"/>
            <w:vAlign w:val="center"/>
          </w:tcPr>
          <w:p w14:paraId="1D25228D">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30DF321E">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67542BAA">
            <w:pPr>
              <w:jc w:val="center"/>
              <w:rPr>
                <w:snapToGrid w:val="0"/>
                <w:color w:val="auto"/>
                <w:kern w:val="21"/>
                <w:szCs w:val="21"/>
                <w:highlight w:val="none"/>
              </w:rPr>
            </w:pPr>
            <w:r>
              <w:rPr>
                <w:rFonts w:hint="eastAsia" w:eastAsia="等线"/>
                <w:bCs/>
                <w:color w:val="auto"/>
                <w:szCs w:val="21"/>
                <w:highlight w:val="none"/>
              </w:rPr>
              <w:t>0</w:t>
            </w:r>
          </w:p>
        </w:tc>
        <w:tc>
          <w:tcPr>
            <w:tcW w:w="1827" w:type="dxa"/>
            <w:vAlign w:val="center"/>
          </w:tcPr>
          <w:p w14:paraId="580F6227">
            <w:pPr>
              <w:pStyle w:val="87"/>
              <w:spacing w:beforeLines="0" w:afterLines="0" w:line="240" w:lineRule="auto"/>
              <w:rPr>
                <w:rFonts w:ascii="Times New Roman"/>
                <w:snapToGrid w:val="0"/>
                <w:color w:val="auto"/>
                <w:kern w:val="21"/>
                <w:szCs w:val="21"/>
                <w:highlight w:val="none"/>
              </w:rPr>
            </w:pPr>
          </w:p>
        </w:tc>
        <w:tc>
          <w:tcPr>
            <w:tcW w:w="1701" w:type="dxa"/>
            <w:vAlign w:val="center"/>
          </w:tcPr>
          <w:p w14:paraId="2EBE315A">
            <w:pPr>
              <w:jc w:val="center"/>
              <w:rPr>
                <w:snapToGrid w:val="0"/>
                <w:color w:val="auto"/>
                <w:kern w:val="21"/>
                <w:szCs w:val="21"/>
                <w:highlight w:val="none"/>
              </w:rPr>
            </w:pPr>
          </w:p>
        </w:tc>
        <w:tc>
          <w:tcPr>
            <w:tcW w:w="1427" w:type="dxa"/>
            <w:vAlign w:val="center"/>
          </w:tcPr>
          <w:p w14:paraId="0651F48B">
            <w:pPr>
              <w:pStyle w:val="87"/>
              <w:spacing w:beforeLines="0" w:afterLines="0" w:line="240" w:lineRule="auto"/>
              <w:rPr>
                <w:rFonts w:ascii="Times New Roman"/>
                <w:snapToGrid w:val="0"/>
                <w:color w:val="auto"/>
                <w:kern w:val="21"/>
                <w:szCs w:val="21"/>
                <w:highlight w:val="none"/>
              </w:rPr>
            </w:pPr>
          </w:p>
        </w:tc>
      </w:tr>
      <w:tr w14:paraId="45BC1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Align w:val="center"/>
          </w:tcPr>
          <w:p w14:paraId="1744A0D7">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员工生活</w:t>
            </w:r>
          </w:p>
        </w:tc>
        <w:tc>
          <w:tcPr>
            <w:tcW w:w="1586" w:type="dxa"/>
            <w:vAlign w:val="center"/>
          </w:tcPr>
          <w:p w14:paraId="74F20F81">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生活垃圾</w:t>
            </w:r>
          </w:p>
        </w:tc>
        <w:tc>
          <w:tcPr>
            <w:tcW w:w="1322" w:type="dxa"/>
            <w:vAlign w:val="center"/>
          </w:tcPr>
          <w:p w14:paraId="2808A547">
            <w:pPr>
              <w:pStyle w:val="87"/>
              <w:spacing w:beforeLines="0" w:afterLines="0" w:line="240" w:lineRule="auto"/>
              <w:rPr>
                <w:rFonts w:ascii="Times New Roman"/>
                <w:snapToGrid w:val="0"/>
                <w:color w:val="auto"/>
                <w:kern w:val="21"/>
                <w:szCs w:val="21"/>
                <w:highlight w:val="none"/>
              </w:rPr>
            </w:pPr>
          </w:p>
        </w:tc>
        <w:tc>
          <w:tcPr>
            <w:tcW w:w="1486" w:type="dxa"/>
            <w:vAlign w:val="center"/>
          </w:tcPr>
          <w:p w14:paraId="1047C2F2">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43E747E5">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24BEBC75">
            <w:pPr>
              <w:jc w:val="center"/>
              <w:rPr>
                <w:snapToGrid w:val="0"/>
                <w:color w:val="auto"/>
                <w:kern w:val="21"/>
                <w:szCs w:val="21"/>
                <w:highlight w:val="none"/>
              </w:rPr>
            </w:pPr>
            <w:r>
              <w:rPr>
                <w:rFonts w:hint="eastAsia" w:eastAsia="等线"/>
                <w:snapToGrid w:val="0"/>
                <w:color w:val="auto"/>
                <w:kern w:val="21"/>
                <w:szCs w:val="21"/>
                <w:highlight w:val="none"/>
                <w:lang w:val="en-US" w:eastAsia="zh-CN"/>
              </w:rPr>
              <w:t>2.28</w:t>
            </w:r>
            <w:r>
              <w:rPr>
                <w:rFonts w:eastAsia="等线"/>
                <w:color w:val="auto"/>
                <w:szCs w:val="21"/>
                <w:highlight w:val="none"/>
              </w:rPr>
              <w:t>t/a</w:t>
            </w:r>
          </w:p>
        </w:tc>
        <w:tc>
          <w:tcPr>
            <w:tcW w:w="1827" w:type="dxa"/>
            <w:vAlign w:val="center"/>
          </w:tcPr>
          <w:p w14:paraId="15935593">
            <w:pPr>
              <w:pStyle w:val="87"/>
              <w:spacing w:beforeLines="0" w:afterLines="0" w:line="240" w:lineRule="auto"/>
              <w:rPr>
                <w:rFonts w:ascii="Times New Roman"/>
                <w:snapToGrid w:val="0"/>
                <w:color w:val="auto"/>
                <w:kern w:val="21"/>
                <w:szCs w:val="21"/>
                <w:highlight w:val="none"/>
              </w:rPr>
            </w:pPr>
          </w:p>
        </w:tc>
        <w:tc>
          <w:tcPr>
            <w:tcW w:w="1701" w:type="dxa"/>
            <w:vAlign w:val="center"/>
          </w:tcPr>
          <w:p w14:paraId="48928447">
            <w:pPr>
              <w:jc w:val="center"/>
              <w:rPr>
                <w:snapToGrid w:val="0"/>
                <w:color w:val="auto"/>
                <w:kern w:val="21"/>
                <w:szCs w:val="21"/>
                <w:highlight w:val="none"/>
              </w:rPr>
            </w:pPr>
          </w:p>
        </w:tc>
        <w:tc>
          <w:tcPr>
            <w:tcW w:w="1427" w:type="dxa"/>
            <w:vAlign w:val="center"/>
          </w:tcPr>
          <w:p w14:paraId="7EC60DCA">
            <w:pPr>
              <w:jc w:val="center"/>
              <w:rPr>
                <w:snapToGrid w:val="0"/>
                <w:color w:val="auto"/>
                <w:kern w:val="21"/>
                <w:szCs w:val="21"/>
                <w:highlight w:val="none"/>
              </w:rPr>
            </w:pPr>
          </w:p>
        </w:tc>
      </w:tr>
      <w:tr w14:paraId="662C7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restart"/>
            <w:vAlign w:val="center"/>
          </w:tcPr>
          <w:p w14:paraId="0BE26C37">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一般工业固废</w:t>
            </w:r>
          </w:p>
        </w:tc>
        <w:tc>
          <w:tcPr>
            <w:tcW w:w="1586" w:type="dxa"/>
            <w:vAlign w:val="center"/>
          </w:tcPr>
          <w:p w14:paraId="073187EB">
            <w:pPr>
              <w:pStyle w:val="87"/>
              <w:spacing w:beforeLines="0" w:afterLines="0" w:line="240" w:lineRule="auto"/>
              <w:rPr>
                <w:rFonts w:hint="eastAsia" w:ascii="Times New Roman" w:eastAsia="宋体"/>
                <w:bCs/>
                <w:color w:val="auto"/>
                <w:szCs w:val="21"/>
                <w:highlight w:val="none"/>
                <w:lang w:eastAsia="zh-CN"/>
              </w:rPr>
            </w:pPr>
            <w:r>
              <w:rPr>
                <w:rFonts w:hint="eastAsia" w:ascii="Times New Roman"/>
                <w:color w:val="auto"/>
                <w:szCs w:val="21"/>
                <w:highlight w:val="none"/>
                <w:lang w:val="en-US" w:eastAsia="zh-CN"/>
              </w:rPr>
              <w:t>泥饼（含水率30%）</w:t>
            </w:r>
          </w:p>
        </w:tc>
        <w:tc>
          <w:tcPr>
            <w:tcW w:w="1322" w:type="dxa"/>
            <w:vAlign w:val="center"/>
          </w:tcPr>
          <w:p w14:paraId="1627DEAB">
            <w:pPr>
              <w:pStyle w:val="87"/>
              <w:spacing w:beforeLines="0" w:afterLines="0" w:line="240" w:lineRule="auto"/>
              <w:rPr>
                <w:rFonts w:ascii="Times New Roman"/>
                <w:bCs/>
                <w:color w:val="auto"/>
                <w:szCs w:val="21"/>
                <w:highlight w:val="none"/>
              </w:rPr>
            </w:pPr>
          </w:p>
        </w:tc>
        <w:tc>
          <w:tcPr>
            <w:tcW w:w="1486" w:type="dxa"/>
            <w:vAlign w:val="center"/>
          </w:tcPr>
          <w:p w14:paraId="073DFEA6">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412E3765">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3BCC8B4B">
            <w:pPr>
              <w:jc w:val="center"/>
              <w:rPr>
                <w:rFonts w:eastAsia="等线"/>
                <w:bCs/>
                <w:color w:val="auto"/>
                <w:szCs w:val="21"/>
                <w:highlight w:val="none"/>
              </w:rPr>
            </w:pPr>
            <w:r>
              <w:rPr>
                <w:rFonts w:hint="eastAsia"/>
                <w:bCs/>
                <w:color w:val="auto"/>
                <w:szCs w:val="21"/>
                <w:highlight w:val="none"/>
                <w:lang w:val="en-US" w:eastAsia="zh-CN"/>
              </w:rPr>
              <w:t>7.14万</w:t>
            </w:r>
            <w:r>
              <w:rPr>
                <w:rFonts w:hint="eastAsia"/>
                <w:color w:val="auto"/>
                <w:szCs w:val="21"/>
                <w:highlight w:val="none"/>
              </w:rPr>
              <w:t>t/a</w:t>
            </w:r>
          </w:p>
        </w:tc>
        <w:tc>
          <w:tcPr>
            <w:tcW w:w="1827" w:type="dxa"/>
            <w:vAlign w:val="center"/>
          </w:tcPr>
          <w:p w14:paraId="571F760F">
            <w:pPr>
              <w:pStyle w:val="87"/>
              <w:spacing w:beforeLines="0" w:afterLines="0" w:line="240" w:lineRule="auto"/>
              <w:rPr>
                <w:rFonts w:ascii="Times New Roman"/>
                <w:bCs/>
                <w:color w:val="auto"/>
                <w:szCs w:val="21"/>
                <w:highlight w:val="none"/>
              </w:rPr>
            </w:pPr>
          </w:p>
        </w:tc>
        <w:tc>
          <w:tcPr>
            <w:tcW w:w="1701" w:type="dxa"/>
            <w:vAlign w:val="center"/>
          </w:tcPr>
          <w:p w14:paraId="23F119FD">
            <w:pPr>
              <w:jc w:val="center"/>
              <w:rPr>
                <w:bCs/>
                <w:color w:val="auto"/>
                <w:szCs w:val="21"/>
                <w:highlight w:val="none"/>
              </w:rPr>
            </w:pPr>
          </w:p>
        </w:tc>
        <w:tc>
          <w:tcPr>
            <w:tcW w:w="1427" w:type="dxa"/>
            <w:vAlign w:val="center"/>
          </w:tcPr>
          <w:p w14:paraId="3F0E31B1">
            <w:pPr>
              <w:pStyle w:val="87"/>
              <w:spacing w:beforeLines="0" w:afterLines="0" w:line="240" w:lineRule="auto"/>
              <w:rPr>
                <w:snapToGrid w:val="0"/>
                <w:color w:val="auto"/>
                <w:kern w:val="21"/>
                <w:szCs w:val="21"/>
                <w:highlight w:val="none"/>
              </w:rPr>
            </w:pPr>
          </w:p>
        </w:tc>
      </w:tr>
      <w:tr w14:paraId="523A3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continue"/>
            <w:vAlign w:val="center"/>
          </w:tcPr>
          <w:p w14:paraId="4356FEE2">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5D56D7DB">
            <w:pPr>
              <w:pStyle w:val="87"/>
              <w:spacing w:beforeLines="0" w:afterLines="0" w:line="240" w:lineRule="auto"/>
              <w:rPr>
                <w:rFonts w:ascii="Times New Roman"/>
                <w:bCs/>
                <w:color w:val="auto"/>
                <w:szCs w:val="21"/>
                <w:highlight w:val="none"/>
              </w:rPr>
            </w:pPr>
            <w:r>
              <w:rPr>
                <w:rFonts w:ascii="Times New Roman"/>
                <w:color w:val="auto"/>
                <w:szCs w:val="21"/>
                <w:highlight w:val="none"/>
              </w:rPr>
              <w:t>废编织袋</w:t>
            </w:r>
          </w:p>
        </w:tc>
        <w:tc>
          <w:tcPr>
            <w:tcW w:w="1322" w:type="dxa"/>
            <w:vAlign w:val="center"/>
          </w:tcPr>
          <w:p w14:paraId="65D6A0AE">
            <w:pPr>
              <w:pStyle w:val="87"/>
              <w:spacing w:beforeLines="0" w:afterLines="0" w:line="240" w:lineRule="auto"/>
              <w:rPr>
                <w:rFonts w:ascii="Times New Roman"/>
                <w:bCs/>
                <w:color w:val="auto"/>
                <w:szCs w:val="21"/>
                <w:highlight w:val="none"/>
              </w:rPr>
            </w:pPr>
          </w:p>
        </w:tc>
        <w:tc>
          <w:tcPr>
            <w:tcW w:w="1486" w:type="dxa"/>
            <w:vAlign w:val="center"/>
          </w:tcPr>
          <w:p w14:paraId="4A2FA419">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532DFA1F">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1F584AB6">
            <w:pPr>
              <w:jc w:val="center"/>
              <w:rPr>
                <w:rFonts w:eastAsia="等线"/>
                <w:bCs/>
                <w:color w:val="auto"/>
                <w:szCs w:val="21"/>
                <w:highlight w:val="none"/>
              </w:rPr>
            </w:pPr>
            <w:r>
              <w:rPr>
                <w:rFonts w:hint="eastAsia"/>
                <w:bCs/>
                <w:color w:val="auto"/>
                <w:szCs w:val="21"/>
                <w:highlight w:val="none"/>
                <w:lang w:val="en-US" w:eastAsia="zh-CN"/>
              </w:rPr>
              <w:t xml:space="preserve">50 </w:t>
            </w:r>
            <w:r>
              <w:rPr>
                <w:rFonts w:hint="eastAsia"/>
                <w:color w:val="auto"/>
                <w:szCs w:val="21"/>
                <w:highlight w:val="none"/>
              </w:rPr>
              <w:t>kg/a</w:t>
            </w:r>
          </w:p>
        </w:tc>
        <w:tc>
          <w:tcPr>
            <w:tcW w:w="1827" w:type="dxa"/>
            <w:vAlign w:val="center"/>
          </w:tcPr>
          <w:p w14:paraId="21B8308F">
            <w:pPr>
              <w:pStyle w:val="87"/>
              <w:spacing w:beforeLines="0" w:afterLines="0" w:line="240" w:lineRule="auto"/>
              <w:rPr>
                <w:rFonts w:ascii="Times New Roman"/>
                <w:bCs/>
                <w:color w:val="auto"/>
                <w:szCs w:val="21"/>
                <w:highlight w:val="none"/>
              </w:rPr>
            </w:pPr>
          </w:p>
        </w:tc>
        <w:tc>
          <w:tcPr>
            <w:tcW w:w="1701" w:type="dxa"/>
            <w:vAlign w:val="center"/>
          </w:tcPr>
          <w:p w14:paraId="0FE609A3">
            <w:pPr>
              <w:jc w:val="center"/>
              <w:rPr>
                <w:bCs/>
                <w:color w:val="auto"/>
                <w:szCs w:val="21"/>
                <w:highlight w:val="none"/>
              </w:rPr>
            </w:pPr>
          </w:p>
        </w:tc>
        <w:tc>
          <w:tcPr>
            <w:tcW w:w="1427" w:type="dxa"/>
            <w:vAlign w:val="center"/>
          </w:tcPr>
          <w:p w14:paraId="7A2E3020">
            <w:pPr>
              <w:pStyle w:val="87"/>
              <w:spacing w:beforeLines="0" w:afterLines="0" w:line="240" w:lineRule="auto"/>
              <w:rPr>
                <w:snapToGrid w:val="0"/>
                <w:color w:val="auto"/>
                <w:kern w:val="21"/>
                <w:szCs w:val="21"/>
                <w:highlight w:val="none"/>
              </w:rPr>
            </w:pPr>
          </w:p>
        </w:tc>
      </w:tr>
      <w:tr w14:paraId="3FD8B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Align w:val="center"/>
          </w:tcPr>
          <w:p w14:paraId="5B49ACC8">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危险废物</w:t>
            </w:r>
          </w:p>
        </w:tc>
        <w:tc>
          <w:tcPr>
            <w:tcW w:w="1586" w:type="dxa"/>
            <w:vAlign w:val="center"/>
          </w:tcPr>
          <w:p w14:paraId="1736076B">
            <w:pPr>
              <w:pStyle w:val="87"/>
              <w:spacing w:beforeLines="0" w:afterLines="0" w:line="240" w:lineRule="auto"/>
              <w:rPr>
                <w:rFonts w:ascii="Times New Roman"/>
                <w:color w:val="auto"/>
                <w:szCs w:val="28"/>
                <w:highlight w:val="none"/>
              </w:rPr>
            </w:pPr>
            <w:r>
              <w:rPr>
                <w:rFonts w:ascii="Times New Roman"/>
                <w:color w:val="auto"/>
                <w:szCs w:val="28"/>
                <w:highlight w:val="none"/>
              </w:rPr>
              <w:t>废</w:t>
            </w:r>
            <w:r>
              <w:rPr>
                <w:rFonts w:hint="eastAsia" w:ascii="Times New Roman"/>
                <w:color w:val="auto"/>
                <w:szCs w:val="28"/>
                <w:highlight w:val="none"/>
              </w:rPr>
              <w:t>润滑</w:t>
            </w:r>
            <w:r>
              <w:rPr>
                <w:rFonts w:ascii="Times New Roman"/>
                <w:color w:val="auto"/>
                <w:szCs w:val="28"/>
                <w:highlight w:val="none"/>
              </w:rPr>
              <w:t>油</w:t>
            </w:r>
          </w:p>
          <w:p w14:paraId="030ED304">
            <w:pPr>
              <w:pStyle w:val="87"/>
              <w:spacing w:beforeLines="0" w:afterLines="0" w:line="240" w:lineRule="auto"/>
              <w:rPr>
                <w:rFonts w:ascii="Times New Roman"/>
                <w:color w:val="auto"/>
                <w:szCs w:val="28"/>
                <w:highlight w:val="none"/>
              </w:rPr>
            </w:pPr>
            <w:r>
              <w:rPr>
                <w:rFonts w:hint="eastAsia" w:ascii="Times New Roman"/>
                <w:color w:val="auto"/>
                <w:szCs w:val="28"/>
                <w:highlight w:val="none"/>
              </w:rPr>
              <w:t>、</w:t>
            </w:r>
            <w:r>
              <w:rPr>
                <w:rFonts w:ascii="Times New Roman"/>
                <w:color w:val="auto"/>
                <w:szCs w:val="28"/>
                <w:highlight w:val="none"/>
              </w:rPr>
              <w:t>含油手套</w:t>
            </w:r>
          </w:p>
          <w:p w14:paraId="3880F6A0">
            <w:pPr>
              <w:pStyle w:val="87"/>
              <w:spacing w:beforeLines="0" w:afterLines="0" w:line="240" w:lineRule="auto"/>
              <w:rPr>
                <w:rFonts w:ascii="Times New Roman"/>
                <w:snapToGrid w:val="0"/>
                <w:color w:val="auto"/>
                <w:kern w:val="21"/>
                <w:szCs w:val="21"/>
                <w:highlight w:val="none"/>
              </w:rPr>
            </w:pPr>
            <w:r>
              <w:rPr>
                <w:rFonts w:hint="eastAsia" w:ascii="Times New Roman"/>
                <w:color w:val="auto"/>
                <w:szCs w:val="28"/>
                <w:highlight w:val="none"/>
              </w:rPr>
              <w:t>及</w:t>
            </w:r>
            <w:r>
              <w:rPr>
                <w:rFonts w:ascii="Times New Roman"/>
                <w:color w:val="auto"/>
                <w:szCs w:val="28"/>
                <w:highlight w:val="none"/>
              </w:rPr>
              <w:t>棉纱</w:t>
            </w:r>
            <w:r>
              <w:rPr>
                <w:rFonts w:hint="eastAsia" w:ascii="Times New Roman"/>
                <w:color w:val="auto"/>
                <w:szCs w:val="28"/>
                <w:highlight w:val="none"/>
              </w:rPr>
              <w:t>、</w:t>
            </w:r>
            <w:r>
              <w:rPr>
                <w:rFonts w:ascii="Times New Roman"/>
                <w:color w:val="auto"/>
                <w:szCs w:val="28"/>
                <w:highlight w:val="none"/>
              </w:rPr>
              <w:t>废油桶</w:t>
            </w:r>
          </w:p>
        </w:tc>
        <w:tc>
          <w:tcPr>
            <w:tcW w:w="1322" w:type="dxa"/>
            <w:vAlign w:val="center"/>
          </w:tcPr>
          <w:p w14:paraId="0B28D8DF">
            <w:pPr>
              <w:jc w:val="center"/>
              <w:rPr>
                <w:snapToGrid w:val="0"/>
                <w:color w:val="auto"/>
                <w:kern w:val="21"/>
                <w:szCs w:val="21"/>
                <w:highlight w:val="none"/>
              </w:rPr>
            </w:pPr>
          </w:p>
        </w:tc>
        <w:tc>
          <w:tcPr>
            <w:tcW w:w="1486" w:type="dxa"/>
            <w:vAlign w:val="center"/>
          </w:tcPr>
          <w:p w14:paraId="29D10699">
            <w:pPr>
              <w:jc w:val="center"/>
              <w:rPr>
                <w:snapToGrid w:val="0"/>
                <w:color w:val="auto"/>
                <w:kern w:val="21"/>
                <w:szCs w:val="21"/>
                <w:highlight w:val="none"/>
              </w:rPr>
            </w:pPr>
          </w:p>
        </w:tc>
        <w:tc>
          <w:tcPr>
            <w:tcW w:w="1446" w:type="dxa"/>
            <w:vAlign w:val="center"/>
          </w:tcPr>
          <w:p w14:paraId="6C5E3B3E">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7753646E">
            <w:pPr>
              <w:jc w:val="center"/>
              <w:rPr>
                <w:snapToGrid w:val="0"/>
                <w:color w:val="auto"/>
                <w:kern w:val="21"/>
                <w:szCs w:val="21"/>
                <w:highlight w:val="none"/>
              </w:rPr>
            </w:pPr>
            <w:r>
              <w:rPr>
                <w:rFonts w:hint="eastAsia" w:eastAsia="等线"/>
                <w:bCs/>
                <w:color w:val="auto"/>
                <w:szCs w:val="21"/>
                <w:highlight w:val="none"/>
              </w:rPr>
              <w:t>0.</w:t>
            </w:r>
            <w:r>
              <w:rPr>
                <w:rFonts w:hint="eastAsia" w:eastAsia="等线"/>
                <w:bCs/>
                <w:color w:val="auto"/>
                <w:szCs w:val="21"/>
                <w:highlight w:val="none"/>
                <w:lang w:val="en-US" w:eastAsia="zh-CN"/>
              </w:rPr>
              <w:t>18</w:t>
            </w:r>
            <w:r>
              <w:rPr>
                <w:snapToGrid w:val="0"/>
                <w:color w:val="auto"/>
                <w:kern w:val="21"/>
                <w:szCs w:val="21"/>
                <w:highlight w:val="none"/>
              </w:rPr>
              <w:t>t/a</w:t>
            </w:r>
          </w:p>
        </w:tc>
        <w:tc>
          <w:tcPr>
            <w:tcW w:w="1827" w:type="dxa"/>
            <w:vAlign w:val="center"/>
          </w:tcPr>
          <w:p w14:paraId="4BD68E79">
            <w:pPr>
              <w:jc w:val="center"/>
              <w:rPr>
                <w:snapToGrid w:val="0"/>
                <w:color w:val="auto"/>
                <w:kern w:val="21"/>
                <w:szCs w:val="21"/>
                <w:highlight w:val="none"/>
              </w:rPr>
            </w:pPr>
          </w:p>
        </w:tc>
        <w:tc>
          <w:tcPr>
            <w:tcW w:w="1701" w:type="dxa"/>
            <w:vAlign w:val="center"/>
          </w:tcPr>
          <w:p w14:paraId="75639F32">
            <w:pPr>
              <w:jc w:val="center"/>
              <w:rPr>
                <w:snapToGrid w:val="0"/>
                <w:color w:val="auto"/>
                <w:kern w:val="21"/>
                <w:szCs w:val="21"/>
                <w:highlight w:val="none"/>
              </w:rPr>
            </w:pPr>
          </w:p>
        </w:tc>
        <w:tc>
          <w:tcPr>
            <w:tcW w:w="1427" w:type="dxa"/>
            <w:vAlign w:val="center"/>
          </w:tcPr>
          <w:p w14:paraId="2F6EB9D8">
            <w:pPr>
              <w:jc w:val="center"/>
              <w:rPr>
                <w:snapToGrid w:val="0"/>
                <w:color w:val="auto"/>
                <w:kern w:val="21"/>
                <w:szCs w:val="21"/>
                <w:highlight w:val="none"/>
              </w:rPr>
            </w:pPr>
          </w:p>
        </w:tc>
      </w:tr>
    </w:tbl>
    <w:p w14:paraId="6018818B">
      <w:pPr>
        <w:pStyle w:val="87"/>
        <w:spacing w:beforeLines="80" w:after="24"/>
        <w:jc w:val="left"/>
        <w:rPr>
          <w:rFonts w:hint="eastAsia"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int="eastAsia" w:hAnsi="宋体"/>
          <w:snapToGrid w:val="0"/>
          <w:color w:val="auto"/>
          <w:spacing w:val="-6"/>
          <w:kern w:val="21"/>
          <w:szCs w:val="21"/>
          <w:highlight w:val="none"/>
        </w:rPr>
        <w:t>；收集尘作为生产原料再利用，故汇总表中未列出。</w:t>
      </w:r>
    </w:p>
    <w:p w14:paraId="080D8D7C">
      <w:pPr>
        <w:rPr>
          <w:rFonts w:hint="eastAsia" w:hAnsi="宋体"/>
          <w:snapToGrid w:val="0"/>
          <w:color w:val="auto"/>
          <w:spacing w:val="-6"/>
          <w:kern w:val="21"/>
          <w:szCs w:val="21"/>
          <w:highlight w:val="none"/>
        </w:rPr>
      </w:pPr>
    </w:p>
    <w:p w14:paraId="58282104">
      <w:pPr>
        <w:pStyle w:val="2"/>
        <w:rPr>
          <w:rFonts w:hint="eastAsia" w:hAnsi="宋体"/>
          <w:snapToGrid w:val="0"/>
          <w:color w:val="auto"/>
          <w:spacing w:val="-6"/>
          <w:kern w:val="21"/>
          <w:szCs w:val="21"/>
          <w:highlight w:val="none"/>
        </w:rPr>
      </w:pPr>
    </w:p>
    <w:p w14:paraId="56568BB4">
      <w:pPr>
        <w:pStyle w:val="2"/>
        <w:ind w:left="0" w:leftChars="0" w:firstLine="0" w:firstLineChars="0"/>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61CC4437">
      <w:pPr>
        <w:pStyle w:val="87"/>
        <w:spacing w:beforeLines="0" w:afterLines="0" w:line="240" w:lineRule="auto"/>
        <w:jc w:val="left"/>
        <w:rPr>
          <w:rFonts w:hint="default" w:eastAsia="宋体"/>
          <w:lang w:val="en-US" w:eastAsia="zh-CN"/>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327749B-4714-4012-ADA5-53697D0B40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modern"/>
    <w:pitch w:val="default"/>
    <w:sig w:usb0="00000000" w:usb1="00000000" w:usb2="00000000" w:usb3="00000000" w:csb0="00040000" w:csb1="00000000"/>
    <w:embedRegular r:id="rId2" w:fontKey="{CCDDDF3A-56D0-4060-A2FE-A5C845B1A027}"/>
  </w:font>
  <w:font w:name="仿宋">
    <w:panose1 w:val="02010609060101010101"/>
    <w:charset w:val="86"/>
    <w:family w:val="modern"/>
    <w:pitch w:val="default"/>
    <w:sig w:usb0="800002BF" w:usb1="38CF7CFA" w:usb2="00000016" w:usb3="00000000" w:csb0="00040001" w:csb1="00000000"/>
    <w:embedRegular r:id="rId3" w:fontKey="{A5863FB6-B65C-4BEE-B167-9F645405CAB1}"/>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03" w:usb1="288F0000" w:usb2="00000006" w:usb3="00000000" w:csb0="00040001" w:csb1="00000000"/>
    <w:embedRegular r:id="rId4" w:fontKey="{66E6B4D3-4D36-413A-AA9D-9E617C71B3D4}"/>
  </w:font>
  <w:font w:name="Gloucester MT Extra Condensed">
    <w:altName w:val="MT Extra"/>
    <w:panose1 w:val="02030808020601010101"/>
    <w:charset w:val="00"/>
    <w:family w:val="roman"/>
    <w:pitch w:val="default"/>
    <w:sig w:usb0="00000000" w:usb1="00000000" w:usb2="00000000" w:usb3="00000000" w:csb0="20000001" w:csb1="00000000"/>
  </w:font>
  <w:font w:name="MT Extra">
    <w:panose1 w:val="05050102010205020202"/>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embedRegular r:id="rId5" w:fontKey="{F248171B-05B5-45CC-9294-98A2B44B17FA}"/>
  </w:font>
  <w:font w:name="PMingLiU">
    <w:altName w:val="PMingLiU-ExtB"/>
    <w:panose1 w:val="02020500000000000000"/>
    <w:charset w:val="88"/>
    <w:family w:val="auto"/>
    <w:pitch w:val="default"/>
    <w:sig w:usb0="00000000" w:usb1="00000000" w:usb2="00000016" w:usb3="00000000" w:csb0="00100001" w:csb1="00000000"/>
  </w:font>
  <w:font w:name="方正小标宋_GBK">
    <w:altName w:val="微软雅黑"/>
    <w:panose1 w:val="00000000000000000000"/>
    <w:charset w:val="86"/>
    <w:family w:val="auto"/>
    <w:pitch w:val="default"/>
    <w:sig w:usb0="00000000" w:usb1="00000000" w:usb2="00082016" w:usb3="00000000" w:csb0="00040001" w:csb1="00000000"/>
    <w:embedRegular r:id="rId6" w:fontKey="{F15247A1-B468-4998-B429-A8A48C09B3E6}"/>
  </w:font>
  <w:font w:name="微软雅黑">
    <w:panose1 w:val="020B0503020204020204"/>
    <w:charset w:val="86"/>
    <w:family w:val="swiss"/>
    <w:pitch w:val="default"/>
    <w:sig w:usb0="80000287" w:usb1="2ACF3C50" w:usb2="00000016" w:usb3="00000000" w:csb0="0004001F" w:csb1="00000000"/>
    <w:embedRegular r:id="rId7" w:fontKey="{04E00B12-B452-415E-8F77-93F9119EFAC8}"/>
  </w:font>
  <w:font w:name="楷体_GB2312">
    <w:altName w:val="楷体"/>
    <w:panose1 w:val="00000000000000000000"/>
    <w:charset w:val="86"/>
    <w:family w:val="modern"/>
    <w:pitch w:val="default"/>
    <w:sig w:usb0="00000000" w:usb1="00000000" w:usb2="00000010" w:usb3="00000000" w:csb0="00040000" w:csb1="00000000"/>
    <w:embedRegular r:id="rId8" w:fontKey="{9B7ADE5E-D8CC-476C-AB25-5B2B1E404142}"/>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9" w:fontKey="{A2E39371-9551-4AD5-A533-DFFAB9E9F3F3}"/>
  </w:font>
  <w:font w:name="Wingdings 2">
    <w:panose1 w:val="05020102010507070707"/>
    <w:charset w:val="02"/>
    <w:family w:val="roman"/>
    <w:pitch w:val="default"/>
    <w:sig w:usb0="00000000" w:usb1="00000000" w:usb2="00000000" w:usb3="00000000" w:csb0="80000000" w:csb1="00000000"/>
    <w:embedRegular r:id="rId10" w:fontKey="{74927D2D-C670-4B25-B843-88E7650253D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33E9">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90CEF">
    <w:pPr>
      <w:pStyle w:val="19"/>
      <w:framePr w:wrap="around" w:vAnchor="text" w:hAnchor="margin" w:xAlign="center" w:y="1"/>
      <w:rPr>
        <w:rStyle w:val="35"/>
      </w:rPr>
    </w:pPr>
    <w:r>
      <w:fldChar w:fldCharType="begin"/>
    </w:r>
    <w:r>
      <w:rPr>
        <w:rStyle w:val="35"/>
      </w:rPr>
      <w:instrText xml:space="preserve">PAGE  </w:instrText>
    </w:r>
    <w:r>
      <w:fldChar w:fldCharType="end"/>
    </w:r>
  </w:p>
  <w:p w14:paraId="55EB9FEA">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61646">
    <w:pPr>
      <w:pStyle w:val="19"/>
      <w:jc w:val="center"/>
    </w:pPr>
    <w:r>
      <w:fldChar w:fldCharType="begin"/>
    </w:r>
    <w:r>
      <w:instrText xml:space="preserve">PAGE   \* MERGEFORMAT</w:instrText>
    </w:r>
    <w:r>
      <w:fldChar w:fldCharType="separate"/>
    </w:r>
    <w:r>
      <w:rPr>
        <w:lang w:val="zh-CN"/>
      </w:rPr>
      <w:t>48</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CAF4C">
    <w:pPr>
      <w:pStyle w:val="19"/>
      <w:jc w:val="center"/>
    </w:pPr>
    <w:r>
      <w:fldChar w:fldCharType="begin"/>
    </w:r>
    <w:r>
      <w:instrText xml:space="preserve">PAGE   \* MERGEFORMAT</w:instrText>
    </w:r>
    <w:r>
      <w:fldChar w:fldCharType="separate"/>
    </w:r>
    <w:r>
      <w:rPr>
        <w:lang w:val="zh-CN"/>
      </w:rPr>
      <w:t>50</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EB729"/>
    <w:multiLevelType w:val="singleLevel"/>
    <w:tmpl w:val="900EB729"/>
    <w:lvl w:ilvl="0" w:tentative="0">
      <w:start w:val="1"/>
      <w:numFmt w:val="chineseCounting"/>
      <w:suff w:val="nothing"/>
      <w:lvlText w:val="（%1）"/>
      <w:lvlJc w:val="left"/>
      <w:rPr>
        <w:rFonts w:hint="eastAsia"/>
      </w:rPr>
    </w:lvl>
  </w:abstractNum>
  <w:abstractNum w:abstractNumId="1">
    <w:nsid w:val="BB93E30A"/>
    <w:multiLevelType w:val="singleLevel"/>
    <w:tmpl w:val="BB93E30A"/>
    <w:lvl w:ilvl="0" w:tentative="0">
      <w:start w:val="2"/>
      <w:numFmt w:val="decimal"/>
      <w:suff w:val="nothing"/>
      <w:lvlText w:val="%1、"/>
      <w:lvlJc w:val="left"/>
    </w:lvl>
  </w:abstractNum>
  <w:abstractNum w:abstractNumId="2">
    <w:nsid w:val="08A5DADB"/>
    <w:multiLevelType w:val="singleLevel"/>
    <w:tmpl w:val="08A5DADB"/>
    <w:lvl w:ilvl="0" w:tentative="0">
      <w:start w:val="1"/>
      <w:numFmt w:val="decimal"/>
      <w:suff w:val="nothing"/>
      <w:lvlText w:val="%1、"/>
      <w:lvlJc w:val="left"/>
    </w:lvl>
  </w:abstractNum>
  <w:abstractNum w:abstractNumId="3">
    <w:nsid w:val="13563BFE"/>
    <w:multiLevelType w:val="singleLevel"/>
    <w:tmpl w:val="13563BFE"/>
    <w:lvl w:ilvl="0" w:tentative="0">
      <w:start w:val="3"/>
      <w:numFmt w:val="decimal"/>
      <w:lvlText w:val="%1."/>
      <w:lvlJc w:val="left"/>
      <w:pPr>
        <w:tabs>
          <w:tab w:val="left" w:pos="312"/>
        </w:tabs>
      </w:pPr>
    </w:lvl>
  </w:abstractNum>
  <w:abstractNum w:abstractNumId="4">
    <w:nsid w:val="30606C30"/>
    <w:multiLevelType w:val="singleLevel"/>
    <w:tmpl w:val="30606C30"/>
    <w:lvl w:ilvl="0" w:tentative="0">
      <w:start w:val="1"/>
      <w:numFmt w:val="decimal"/>
      <w:suff w:val="nothing"/>
      <w:lvlText w:val="%1、"/>
      <w:lvlJc w:val="left"/>
    </w:lvl>
  </w:abstractNum>
  <w:abstractNum w:abstractNumId="5">
    <w:nsid w:val="4245316C"/>
    <w:multiLevelType w:val="singleLevel"/>
    <w:tmpl w:val="4245316C"/>
    <w:lvl w:ilvl="0" w:tentative="0">
      <w:start w:val="6"/>
      <w:numFmt w:val="chineseCounting"/>
      <w:suff w:val="nothing"/>
      <w:lvlText w:val="（%1）"/>
      <w:lvlJc w:val="left"/>
      <w:rPr>
        <w:rFonts w:hint="eastAsia"/>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MwYzEwOWI2Yjc4NDVkNjk2YzU5M2Q5NzRhZTcxNWEifQ=="/>
  </w:docVars>
  <w:rsids>
    <w:rsidRoot w:val="00341DD4"/>
    <w:rsid w:val="00034671"/>
    <w:rsid w:val="00060C6A"/>
    <w:rsid w:val="0009075B"/>
    <w:rsid w:val="000A1431"/>
    <w:rsid w:val="00135135"/>
    <w:rsid w:val="00175DB3"/>
    <w:rsid w:val="001A2968"/>
    <w:rsid w:val="001B2D45"/>
    <w:rsid w:val="001C4A74"/>
    <w:rsid w:val="001D4206"/>
    <w:rsid w:val="00220A90"/>
    <w:rsid w:val="00270371"/>
    <w:rsid w:val="00310AA2"/>
    <w:rsid w:val="00341DD4"/>
    <w:rsid w:val="003752C8"/>
    <w:rsid w:val="00454D77"/>
    <w:rsid w:val="00462C41"/>
    <w:rsid w:val="004672B9"/>
    <w:rsid w:val="00500138"/>
    <w:rsid w:val="005319D6"/>
    <w:rsid w:val="00537C28"/>
    <w:rsid w:val="00553601"/>
    <w:rsid w:val="0058541D"/>
    <w:rsid w:val="00596C92"/>
    <w:rsid w:val="005C6E8C"/>
    <w:rsid w:val="005E24E7"/>
    <w:rsid w:val="006836D3"/>
    <w:rsid w:val="006A58D0"/>
    <w:rsid w:val="006B31C3"/>
    <w:rsid w:val="006C4898"/>
    <w:rsid w:val="006E3B9C"/>
    <w:rsid w:val="00775038"/>
    <w:rsid w:val="007B679A"/>
    <w:rsid w:val="008102F1"/>
    <w:rsid w:val="008579B3"/>
    <w:rsid w:val="008B1170"/>
    <w:rsid w:val="00902DE5"/>
    <w:rsid w:val="009049D8"/>
    <w:rsid w:val="009B325D"/>
    <w:rsid w:val="009E4EB2"/>
    <w:rsid w:val="00A12741"/>
    <w:rsid w:val="00A238CC"/>
    <w:rsid w:val="00A24666"/>
    <w:rsid w:val="00A255B1"/>
    <w:rsid w:val="00B27D00"/>
    <w:rsid w:val="00B46918"/>
    <w:rsid w:val="00B83B00"/>
    <w:rsid w:val="00BA61DE"/>
    <w:rsid w:val="00BB03CF"/>
    <w:rsid w:val="00BF3FF1"/>
    <w:rsid w:val="00C341F1"/>
    <w:rsid w:val="00C71418"/>
    <w:rsid w:val="00D62CC9"/>
    <w:rsid w:val="00E05F53"/>
    <w:rsid w:val="00E80370"/>
    <w:rsid w:val="00E972B6"/>
    <w:rsid w:val="00EE28CE"/>
    <w:rsid w:val="00EE5EAA"/>
    <w:rsid w:val="00F1641E"/>
    <w:rsid w:val="00FB1434"/>
    <w:rsid w:val="00FE1FDF"/>
    <w:rsid w:val="010130B2"/>
    <w:rsid w:val="01066A48"/>
    <w:rsid w:val="010D2239"/>
    <w:rsid w:val="010F3B4F"/>
    <w:rsid w:val="010F60AA"/>
    <w:rsid w:val="010F7F34"/>
    <w:rsid w:val="01161381"/>
    <w:rsid w:val="01213C11"/>
    <w:rsid w:val="012375FA"/>
    <w:rsid w:val="012564EB"/>
    <w:rsid w:val="01276727"/>
    <w:rsid w:val="012F41F1"/>
    <w:rsid w:val="0130565F"/>
    <w:rsid w:val="0132783D"/>
    <w:rsid w:val="013663B1"/>
    <w:rsid w:val="013E4434"/>
    <w:rsid w:val="014B07F6"/>
    <w:rsid w:val="0159126E"/>
    <w:rsid w:val="01655E65"/>
    <w:rsid w:val="0168325F"/>
    <w:rsid w:val="01687703"/>
    <w:rsid w:val="016A15B1"/>
    <w:rsid w:val="016B11A7"/>
    <w:rsid w:val="016C0FA1"/>
    <w:rsid w:val="016F283F"/>
    <w:rsid w:val="01710365"/>
    <w:rsid w:val="01772A16"/>
    <w:rsid w:val="017D59D9"/>
    <w:rsid w:val="018B5AD6"/>
    <w:rsid w:val="018E7169"/>
    <w:rsid w:val="0193608E"/>
    <w:rsid w:val="01975ACC"/>
    <w:rsid w:val="01987FE8"/>
    <w:rsid w:val="019E4ED3"/>
    <w:rsid w:val="019F0FF2"/>
    <w:rsid w:val="01A249C3"/>
    <w:rsid w:val="01A36CAD"/>
    <w:rsid w:val="01AB5D46"/>
    <w:rsid w:val="01AC3A93"/>
    <w:rsid w:val="01B42948"/>
    <w:rsid w:val="01B97F5E"/>
    <w:rsid w:val="01BF6322"/>
    <w:rsid w:val="01C03787"/>
    <w:rsid w:val="01C17A5F"/>
    <w:rsid w:val="01C2563F"/>
    <w:rsid w:val="01C7201B"/>
    <w:rsid w:val="01CA5CC8"/>
    <w:rsid w:val="01DE4978"/>
    <w:rsid w:val="01E27317"/>
    <w:rsid w:val="01EE5E5A"/>
    <w:rsid w:val="01F30BBC"/>
    <w:rsid w:val="01FD4C7C"/>
    <w:rsid w:val="01FD609D"/>
    <w:rsid w:val="020016E9"/>
    <w:rsid w:val="020134C5"/>
    <w:rsid w:val="022278B2"/>
    <w:rsid w:val="02236AF5"/>
    <w:rsid w:val="0227311A"/>
    <w:rsid w:val="023575E5"/>
    <w:rsid w:val="023656B6"/>
    <w:rsid w:val="02397D48"/>
    <w:rsid w:val="023E2B96"/>
    <w:rsid w:val="023E38D3"/>
    <w:rsid w:val="02433235"/>
    <w:rsid w:val="02447A7B"/>
    <w:rsid w:val="024A0090"/>
    <w:rsid w:val="025B354B"/>
    <w:rsid w:val="025C6398"/>
    <w:rsid w:val="02693149"/>
    <w:rsid w:val="02742A53"/>
    <w:rsid w:val="0281282A"/>
    <w:rsid w:val="02847727"/>
    <w:rsid w:val="028E3199"/>
    <w:rsid w:val="02992DA6"/>
    <w:rsid w:val="029B5E46"/>
    <w:rsid w:val="02A61BC0"/>
    <w:rsid w:val="02A850CA"/>
    <w:rsid w:val="02B01E88"/>
    <w:rsid w:val="02B24C55"/>
    <w:rsid w:val="02B80216"/>
    <w:rsid w:val="02BA37D8"/>
    <w:rsid w:val="02CD3CC1"/>
    <w:rsid w:val="02D0730E"/>
    <w:rsid w:val="02D3157B"/>
    <w:rsid w:val="02D36DFE"/>
    <w:rsid w:val="02D45050"/>
    <w:rsid w:val="02DB4577"/>
    <w:rsid w:val="02E264B1"/>
    <w:rsid w:val="02F346AD"/>
    <w:rsid w:val="02F474A0"/>
    <w:rsid w:val="02F56D74"/>
    <w:rsid w:val="02F70D3E"/>
    <w:rsid w:val="02FA082F"/>
    <w:rsid w:val="02FC38B0"/>
    <w:rsid w:val="02FC7EA1"/>
    <w:rsid w:val="02FF7BF3"/>
    <w:rsid w:val="03003336"/>
    <w:rsid w:val="03045209"/>
    <w:rsid w:val="03082CC9"/>
    <w:rsid w:val="030D40BE"/>
    <w:rsid w:val="030E0896"/>
    <w:rsid w:val="03101C86"/>
    <w:rsid w:val="03160F08"/>
    <w:rsid w:val="031C69F7"/>
    <w:rsid w:val="031D7D09"/>
    <w:rsid w:val="03266B1D"/>
    <w:rsid w:val="03276F2B"/>
    <w:rsid w:val="0330590F"/>
    <w:rsid w:val="03351867"/>
    <w:rsid w:val="03402295"/>
    <w:rsid w:val="03407E6D"/>
    <w:rsid w:val="03455F4E"/>
    <w:rsid w:val="03456E57"/>
    <w:rsid w:val="034B11BF"/>
    <w:rsid w:val="03525F75"/>
    <w:rsid w:val="036E68CF"/>
    <w:rsid w:val="037203C5"/>
    <w:rsid w:val="03762364"/>
    <w:rsid w:val="0376513B"/>
    <w:rsid w:val="037A0E7B"/>
    <w:rsid w:val="037C672A"/>
    <w:rsid w:val="03810CCF"/>
    <w:rsid w:val="03830824"/>
    <w:rsid w:val="0386106D"/>
    <w:rsid w:val="038F541B"/>
    <w:rsid w:val="039260E0"/>
    <w:rsid w:val="03962305"/>
    <w:rsid w:val="03975088"/>
    <w:rsid w:val="039A2287"/>
    <w:rsid w:val="039F0BB6"/>
    <w:rsid w:val="03A67A1B"/>
    <w:rsid w:val="03A92D2E"/>
    <w:rsid w:val="03B409DD"/>
    <w:rsid w:val="03C2759E"/>
    <w:rsid w:val="03C36E72"/>
    <w:rsid w:val="03C9092D"/>
    <w:rsid w:val="03CA6453"/>
    <w:rsid w:val="03CC7DEC"/>
    <w:rsid w:val="03D71DDD"/>
    <w:rsid w:val="03DD583A"/>
    <w:rsid w:val="03EE73B0"/>
    <w:rsid w:val="04123E86"/>
    <w:rsid w:val="04166B3C"/>
    <w:rsid w:val="04191764"/>
    <w:rsid w:val="041B6CAE"/>
    <w:rsid w:val="041C3581"/>
    <w:rsid w:val="042044D7"/>
    <w:rsid w:val="04265DAB"/>
    <w:rsid w:val="042D199D"/>
    <w:rsid w:val="042F62B6"/>
    <w:rsid w:val="04333FF8"/>
    <w:rsid w:val="0437077E"/>
    <w:rsid w:val="043A2CF1"/>
    <w:rsid w:val="043C2AA8"/>
    <w:rsid w:val="043F299D"/>
    <w:rsid w:val="04420326"/>
    <w:rsid w:val="04437768"/>
    <w:rsid w:val="04447FB3"/>
    <w:rsid w:val="04482874"/>
    <w:rsid w:val="0451447E"/>
    <w:rsid w:val="04534470"/>
    <w:rsid w:val="04586762"/>
    <w:rsid w:val="045A77D7"/>
    <w:rsid w:val="045B2258"/>
    <w:rsid w:val="045C354F"/>
    <w:rsid w:val="04602913"/>
    <w:rsid w:val="046039B6"/>
    <w:rsid w:val="04620439"/>
    <w:rsid w:val="04625C1B"/>
    <w:rsid w:val="047615B5"/>
    <w:rsid w:val="04763EE5"/>
    <w:rsid w:val="04777509"/>
    <w:rsid w:val="047B14FB"/>
    <w:rsid w:val="047D1717"/>
    <w:rsid w:val="047F0663"/>
    <w:rsid w:val="04893C18"/>
    <w:rsid w:val="048E56D2"/>
    <w:rsid w:val="049327EB"/>
    <w:rsid w:val="04951178"/>
    <w:rsid w:val="049802FF"/>
    <w:rsid w:val="049B394B"/>
    <w:rsid w:val="04AB3B8E"/>
    <w:rsid w:val="04B213C1"/>
    <w:rsid w:val="04B8274F"/>
    <w:rsid w:val="04C0220F"/>
    <w:rsid w:val="04C35304"/>
    <w:rsid w:val="04C505BB"/>
    <w:rsid w:val="04D07A99"/>
    <w:rsid w:val="04D20441"/>
    <w:rsid w:val="04EB147D"/>
    <w:rsid w:val="04F71432"/>
    <w:rsid w:val="04F95742"/>
    <w:rsid w:val="04FC6AE0"/>
    <w:rsid w:val="04FD0162"/>
    <w:rsid w:val="04FF037E"/>
    <w:rsid w:val="050342E4"/>
    <w:rsid w:val="050530E8"/>
    <w:rsid w:val="05056F44"/>
    <w:rsid w:val="050634BB"/>
    <w:rsid w:val="05094CA2"/>
    <w:rsid w:val="0510665E"/>
    <w:rsid w:val="051200B1"/>
    <w:rsid w:val="05137986"/>
    <w:rsid w:val="05151950"/>
    <w:rsid w:val="051B69A4"/>
    <w:rsid w:val="05212BF6"/>
    <w:rsid w:val="05467D5B"/>
    <w:rsid w:val="05487A70"/>
    <w:rsid w:val="054D415F"/>
    <w:rsid w:val="054E09BE"/>
    <w:rsid w:val="05502988"/>
    <w:rsid w:val="05534A0F"/>
    <w:rsid w:val="055E63E0"/>
    <w:rsid w:val="056A63E5"/>
    <w:rsid w:val="056F2E0E"/>
    <w:rsid w:val="057730B9"/>
    <w:rsid w:val="05785F40"/>
    <w:rsid w:val="057C5EDE"/>
    <w:rsid w:val="058A5E9A"/>
    <w:rsid w:val="059138AB"/>
    <w:rsid w:val="05962A91"/>
    <w:rsid w:val="059A4635"/>
    <w:rsid w:val="059E0843"/>
    <w:rsid w:val="059E7C9C"/>
    <w:rsid w:val="05A0746B"/>
    <w:rsid w:val="05A15C51"/>
    <w:rsid w:val="05A221D9"/>
    <w:rsid w:val="05A3087A"/>
    <w:rsid w:val="05A4307A"/>
    <w:rsid w:val="05AD3936"/>
    <w:rsid w:val="05B3687C"/>
    <w:rsid w:val="05B42F17"/>
    <w:rsid w:val="05B9677F"/>
    <w:rsid w:val="05BD0623"/>
    <w:rsid w:val="05C13E91"/>
    <w:rsid w:val="05C164B4"/>
    <w:rsid w:val="05D05F97"/>
    <w:rsid w:val="05D977C6"/>
    <w:rsid w:val="05DD2267"/>
    <w:rsid w:val="05E25CD6"/>
    <w:rsid w:val="05E51322"/>
    <w:rsid w:val="05EC6B48"/>
    <w:rsid w:val="05FE7C39"/>
    <w:rsid w:val="06053772"/>
    <w:rsid w:val="060C4B01"/>
    <w:rsid w:val="06112117"/>
    <w:rsid w:val="061F10B1"/>
    <w:rsid w:val="06244E71"/>
    <w:rsid w:val="062956B3"/>
    <w:rsid w:val="06297FD8"/>
    <w:rsid w:val="062A1B37"/>
    <w:rsid w:val="062C436A"/>
    <w:rsid w:val="06386C91"/>
    <w:rsid w:val="064022F1"/>
    <w:rsid w:val="06422A77"/>
    <w:rsid w:val="066071A5"/>
    <w:rsid w:val="0662512B"/>
    <w:rsid w:val="06672FAB"/>
    <w:rsid w:val="06691F53"/>
    <w:rsid w:val="066D12D3"/>
    <w:rsid w:val="066F5090"/>
    <w:rsid w:val="067A7CBC"/>
    <w:rsid w:val="067E2CDC"/>
    <w:rsid w:val="068E0747"/>
    <w:rsid w:val="068F128E"/>
    <w:rsid w:val="06A55BB0"/>
    <w:rsid w:val="06AB60C8"/>
    <w:rsid w:val="06B70F10"/>
    <w:rsid w:val="06C31B81"/>
    <w:rsid w:val="06C62F02"/>
    <w:rsid w:val="06CB0518"/>
    <w:rsid w:val="06CC603E"/>
    <w:rsid w:val="06D66EBD"/>
    <w:rsid w:val="06D679DB"/>
    <w:rsid w:val="06DA3E6D"/>
    <w:rsid w:val="06DE46EF"/>
    <w:rsid w:val="06EB0BBA"/>
    <w:rsid w:val="06ED5C56"/>
    <w:rsid w:val="06F23CF7"/>
    <w:rsid w:val="06FF01C2"/>
    <w:rsid w:val="07000B16"/>
    <w:rsid w:val="0700541D"/>
    <w:rsid w:val="07043A2A"/>
    <w:rsid w:val="070F7770"/>
    <w:rsid w:val="071579E5"/>
    <w:rsid w:val="07163C30"/>
    <w:rsid w:val="071866D7"/>
    <w:rsid w:val="0721638A"/>
    <w:rsid w:val="072B7BD7"/>
    <w:rsid w:val="0734230A"/>
    <w:rsid w:val="073621AB"/>
    <w:rsid w:val="0739271F"/>
    <w:rsid w:val="074402CA"/>
    <w:rsid w:val="07463B51"/>
    <w:rsid w:val="07474FE1"/>
    <w:rsid w:val="07493A79"/>
    <w:rsid w:val="074A174E"/>
    <w:rsid w:val="074C406B"/>
    <w:rsid w:val="074D3A0C"/>
    <w:rsid w:val="075A189C"/>
    <w:rsid w:val="075E7367"/>
    <w:rsid w:val="07610E7C"/>
    <w:rsid w:val="0765560B"/>
    <w:rsid w:val="0778792B"/>
    <w:rsid w:val="077E37DC"/>
    <w:rsid w:val="07830C87"/>
    <w:rsid w:val="078901E4"/>
    <w:rsid w:val="078D2CAE"/>
    <w:rsid w:val="078D7271"/>
    <w:rsid w:val="07921036"/>
    <w:rsid w:val="07941252"/>
    <w:rsid w:val="07996296"/>
    <w:rsid w:val="07A01890"/>
    <w:rsid w:val="07A07BF6"/>
    <w:rsid w:val="07A66E8D"/>
    <w:rsid w:val="07B47481"/>
    <w:rsid w:val="07B62F76"/>
    <w:rsid w:val="07CA4617"/>
    <w:rsid w:val="07CC3A1D"/>
    <w:rsid w:val="07CC5123"/>
    <w:rsid w:val="07D16002"/>
    <w:rsid w:val="07D57174"/>
    <w:rsid w:val="07EA0E72"/>
    <w:rsid w:val="07F935DC"/>
    <w:rsid w:val="07FC46F5"/>
    <w:rsid w:val="07FD6DF7"/>
    <w:rsid w:val="08061963"/>
    <w:rsid w:val="080816BD"/>
    <w:rsid w:val="080A32C2"/>
    <w:rsid w:val="08114650"/>
    <w:rsid w:val="081D1247"/>
    <w:rsid w:val="0822221C"/>
    <w:rsid w:val="08275C22"/>
    <w:rsid w:val="082A0E35"/>
    <w:rsid w:val="082C1C1A"/>
    <w:rsid w:val="0831084F"/>
    <w:rsid w:val="08387E2F"/>
    <w:rsid w:val="08404FA1"/>
    <w:rsid w:val="08452820"/>
    <w:rsid w:val="084A7B62"/>
    <w:rsid w:val="084C6A89"/>
    <w:rsid w:val="084D0D93"/>
    <w:rsid w:val="085B3B1D"/>
    <w:rsid w:val="085D7896"/>
    <w:rsid w:val="085E716A"/>
    <w:rsid w:val="086C2243"/>
    <w:rsid w:val="086F2694"/>
    <w:rsid w:val="08742A68"/>
    <w:rsid w:val="087807CF"/>
    <w:rsid w:val="0878647D"/>
    <w:rsid w:val="087939F7"/>
    <w:rsid w:val="08793FA4"/>
    <w:rsid w:val="087A1BF2"/>
    <w:rsid w:val="087D7F38"/>
    <w:rsid w:val="08805F77"/>
    <w:rsid w:val="08896684"/>
    <w:rsid w:val="08A26031"/>
    <w:rsid w:val="08A90D2D"/>
    <w:rsid w:val="08B374B6"/>
    <w:rsid w:val="08B5322E"/>
    <w:rsid w:val="08B66FA6"/>
    <w:rsid w:val="08BA0844"/>
    <w:rsid w:val="08C031CE"/>
    <w:rsid w:val="08C47915"/>
    <w:rsid w:val="08C56014"/>
    <w:rsid w:val="08C938CC"/>
    <w:rsid w:val="08D12DD6"/>
    <w:rsid w:val="08DD2B3F"/>
    <w:rsid w:val="08E049BC"/>
    <w:rsid w:val="08E27D9B"/>
    <w:rsid w:val="08E40179"/>
    <w:rsid w:val="08E458C1"/>
    <w:rsid w:val="08E92ED7"/>
    <w:rsid w:val="08F70DBA"/>
    <w:rsid w:val="08FA22BC"/>
    <w:rsid w:val="08FD7BF9"/>
    <w:rsid w:val="09023F99"/>
    <w:rsid w:val="090B5543"/>
    <w:rsid w:val="090D306A"/>
    <w:rsid w:val="090F0777"/>
    <w:rsid w:val="090F782C"/>
    <w:rsid w:val="09104908"/>
    <w:rsid w:val="09111561"/>
    <w:rsid w:val="09114A79"/>
    <w:rsid w:val="091F0FEF"/>
    <w:rsid w:val="092918E7"/>
    <w:rsid w:val="09303FED"/>
    <w:rsid w:val="09322AD0"/>
    <w:rsid w:val="094817DD"/>
    <w:rsid w:val="09491D98"/>
    <w:rsid w:val="094B56AF"/>
    <w:rsid w:val="095104FE"/>
    <w:rsid w:val="095C5D9F"/>
    <w:rsid w:val="096156B5"/>
    <w:rsid w:val="09687D86"/>
    <w:rsid w:val="097163D3"/>
    <w:rsid w:val="097906FF"/>
    <w:rsid w:val="09792577"/>
    <w:rsid w:val="09823FA4"/>
    <w:rsid w:val="09866978"/>
    <w:rsid w:val="09873586"/>
    <w:rsid w:val="098C352A"/>
    <w:rsid w:val="098D41AA"/>
    <w:rsid w:val="09954E0D"/>
    <w:rsid w:val="099E1F14"/>
    <w:rsid w:val="09A129E2"/>
    <w:rsid w:val="09A73712"/>
    <w:rsid w:val="09AC0FDD"/>
    <w:rsid w:val="09AC7B86"/>
    <w:rsid w:val="09B039F5"/>
    <w:rsid w:val="09B71227"/>
    <w:rsid w:val="09BB6C68"/>
    <w:rsid w:val="09C53944"/>
    <w:rsid w:val="09CB4CD3"/>
    <w:rsid w:val="09CE4371"/>
    <w:rsid w:val="09D50F2E"/>
    <w:rsid w:val="09D642FE"/>
    <w:rsid w:val="09D75426"/>
    <w:rsid w:val="09E07A3D"/>
    <w:rsid w:val="09E10052"/>
    <w:rsid w:val="09E518F1"/>
    <w:rsid w:val="09E65669"/>
    <w:rsid w:val="09FB5160"/>
    <w:rsid w:val="0A072A50"/>
    <w:rsid w:val="0A0D0E47"/>
    <w:rsid w:val="0A106680"/>
    <w:rsid w:val="0A115D4C"/>
    <w:rsid w:val="0A1C72DC"/>
    <w:rsid w:val="0A1D552E"/>
    <w:rsid w:val="0A204D04"/>
    <w:rsid w:val="0A27573A"/>
    <w:rsid w:val="0A2D637A"/>
    <w:rsid w:val="0A2E773B"/>
    <w:rsid w:val="0A2F5262"/>
    <w:rsid w:val="0A314B36"/>
    <w:rsid w:val="0A336560"/>
    <w:rsid w:val="0A434869"/>
    <w:rsid w:val="0A4A209B"/>
    <w:rsid w:val="0A4C4192"/>
    <w:rsid w:val="0A516F86"/>
    <w:rsid w:val="0A522CFE"/>
    <w:rsid w:val="0A545652"/>
    <w:rsid w:val="0A56459C"/>
    <w:rsid w:val="0A5E5103"/>
    <w:rsid w:val="0A5F5791"/>
    <w:rsid w:val="0A742C74"/>
    <w:rsid w:val="0A7F7F97"/>
    <w:rsid w:val="0A84176E"/>
    <w:rsid w:val="0A852FF8"/>
    <w:rsid w:val="0A8729A8"/>
    <w:rsid w:val="0A902C02"/>
    <w:rsid w:val="0A93381B"/>
    <w:rsid w:val="0A974405"/>
    <w:rsid w:val="0A9805B1"/>
    <w:rsid w:val="0A982E07"/>
    <w:rsid w:val="0A9E5F43"/>
    <w:rsid w:val="0AA17496"/>
    <w:rsid w:val="0AA7129C"/>
    <w:rsid w:val="0AB15C77"/>
    <w:rsid w:val="0ABD461B"/>
    <w:rsid w:val="0AC736EC"/>
    <w:rsid w:val="0ACC1AF3"/>
    <w:rsid w:val="0ACF3DEB"/>
    <w:rsid w:val="0ADF0A36"/>
    <w:rsid w:val="0AE1033E"/>
    <w:rsid w:val="0AE53B72"/>
    <w:rsid w:val="0AEC3153"/>
    <w:rsid w:val="0AEC4188"/>
    <w:rsid w:val="0AF0679F"/>
    <w:rsid w:val="0AF3003D"/>
    <w:rsid w:val="0AF52979"/>
    <w:rsid w:val="0AF72BA2"/>
    <w:rsid w:val="0AF94022"/>
    <w:rsid w:val="0AF97AFD"/>
    <w:rsid w:val="0AFB1BDE"/>
    <w:rsid w:val="0AFD710E"/>
    <w:rsid w:val="0B073AE9"/>
    <w:rsid w:val="0B0B182B"/>
    <w:rsid w:val="0B1F3CE3"/>
    <w:rsid w:val="0B1F4319"/>
    <w:rsid w:val="0B210838"/>
    <w:rsid w:val="0B212DFC"/>
    <w:rsid w:val="0B220A87"/>
    <w:rsid w:val="0B263BBF"/>
    <w:rsid w:val="0B303C8C"/>
    <w:rsid w:val="0B310B66"/>
    <w:rsid w:val="0B3B6339"/>
    <w:rsid w:val="0B413B67"/>
    <w:rsid w:val="0B4407FC"/>
    <w:rsid w:val="0B460AB5"/>
    <w:rsid w:val="0B494101"/>
    <w:rsid w:val="0B5036E2"/>
    <w:rsid w:val="0B52745A"/>
    <w:rsid w:val="0B5B0648"/>
    <w:rsid w:val="0B683E37"/>
    <w:rsid w:val="0B7C6285"/>
    <w:rsid w:val="0B8C3FEE"/>
    <w:rsid w:val="0B951A25"/>
    <w:rsid w:val="0B970E43"/>
    <w:rsid w:val="0B974E6D"/>
    <w:rsid w:val="0B9E02A3"/>
    <w:rsid w:val="0BA457DB"/>
    <w:rsid w:val="0BA51291"/>
    <w:rsid w:val="0BB91287"/>
    <w:rsid w:val="0BBA5F4B"/>
    <w:rsid w:val="0BBC2E35"/>
    <w:rsid w:val="0BC1638D"/>
    <w:rsid w:val="0BC314C6"/>
    <w:rsid w:val="0BC348DB"/>
    <w:rsid w:val="0BC65752"/>
    <w:rsid w:val="0BC91C49"/>
    <w:rsid w:val="0BD50FC3"/>
    <w:rsid w:val="0BD62EBC"/>
    <w:rsid w:val="0BE21C59"/>
    <w:rsid w:val="0BE6493B"/>
    <w:rsid w:val="0BEF22D9"/>
    <w:rsid w:val="0BEF6A57"/>
    <w:rsid w:val="0BF518FA"/>
    <w:rsid w:val="0BF978D5"/>
    <w:rsid w:val="0C012C2E"/>
    <w:rsid w:val="0C04484A"/>
    <w:rsid w:val="0C192317"/>
    <w:rsid w:val="0C1C35C4"/>
    <w:rsid w:val="0C216E2C"/>
    <w:rsid w:val="0C2B7821"/>
    <w:rsid w:val="0C34090D"/>
    <w:rsid w:val="0C35268A"/>
    <w:rsid w:val="0C364685"/>
    <w:rsid w:val="0C3A46E4"/>
    <w:rsid w:val="0C3C6854"/>
    <w:rsid w:val="0C3E353A"/>
    <w:rsid w:val="0C450D6C"/>
    <w:rsid w:val="0C580AA0"/>
    <w:rsid w:val="0C582764"/>
    <w:rsid w:val="0C5915EE"/>
    <w:rsid w:val="0C607954"/>
    <w:rsid w:val="0C6B3626"/>
    <w:rsid w:val="0C6F6E83"/>
    <w:rsid w:val="0C76711C"/>
    <w:rsid w:val="0C7C7D8D"/>
    <w:rsid w:val="0C7D1487"/>
    <w:rsid w:val="0C8970F9"/>
    <w:rsid w:val="0CBA0C99"/>
    <w:rsid w:val="0CBA1C9B"/>
    <w:rsid w:val="0CBD6B55"/>
    <w:rsid w:val="0CC00F47"/>
    <w:rsid w:val="0CC31C91"/>
    <w:rsid w:val="0CC7352F"/>
    <w:rsid w:val="0CCA74C4"/>
    <w:rsid w:val="0CD8398F"/>
    <w:rsid w:val="0CD8573D"/>
    <w:rsid w:val="0CDE6ACB"/>
    <w:rsid w:val="0CDE7D84"/>
    <w:rsid w:val="0CE01F46"/>
    <w:rsid w:val="0CE2480D"/>
    <w:rsid w:val="0CE51C08"/>
    <w:rsid w:val="0CEC768D"/>
    <w:rsid w:val="0CF14A50"/>
    <w:rsid w:val="0CF167FE"/>
    <w:rsid w:val="0CF431DD"/>
    <w:rsid w:val="0CF93B9F"/>
    <w:rsid w:val="0D0C7DC3"/>
    <w:rsid w:val="0D164897"/>
    <w:rsid w:val="0D174253"/>
    <w:rsid w:val="0D215336"/>
    <w:rsid w:val="0D2A1D10"/>
    <w:rsid w:val="0D2C5A88"/>
    <w:rsid w:val="0D31309F"/>
    <w:rsid w:val="0D34773E"/>
    <w:rsid w:val="0D3A01A5"/>
    <w:rsid w:val="0D43715F"/>
    <w:rsid w:val="0D440477"/>
    <w:rsid w:val="0D493385"/>
    <w:rsid w:val="0D4A1048"/>
    <w:rsid w:val="0D501777"/>
    <w:rsid w:val="0D505C1B"/>
    <w:rsid w:val="0D562B05"/>
    <w:rsid w:val="0D570D57"/>
    <w:rsid w:val="0D5F19BA"/>
    <w:rsid w:val="0D692839"/>
    <w:rsid w:val="0D696CDD"/>
    <w:rsid w:val="0D6A09A4"/>
    <w:rsid w:val="0D707C2D"/>
    <w:rsid w:val="0D7203A2"/>
    <w:rsid w:val="0D722646"/>
    <w:rsid w:val="0D7B1681"/>
    <w:rsid w:val="0D7F3E0A"/>
    <w:rsid w:val="0D9D24E2"/>
    <w:rsid w:val="0DAB4BFF"/>
    <w:rsid w:val="0DC5584F"/>
    <w:rsid w:val="0DC97FE8"/>
    <w:rsid w:val="0DCD54AC"/>
    <w:rsid w:val="0DD1781A"/>
    <w:rsid w:val="0DD407C3"/>
    <w:rsid w:val="0DD57ECE"/>
    <w:rsid w:val="0DE45DFB"/>
    <w:rsid w:val="0DF904F6"/>
    <w:rsid w:val="0DFD78B7"/>
    <w:rsid w:val="0E0152B0"/>
    <w:rsid w:val="0E030B41"/>
    <w:rsid w:val="0E0802A4"/>
    <w:rsid w:val="0E111E81"/>
    <w:rsid w:val="0E19674E"/>
    <w:rsid w:val="0E197DBB"/>
    <w:rsid w:val="0E1C5AFD"/>
    <w:rsid w:val="0E236E8B"/>
    <w:rsid w:val="0E3270CE"/>
    <w:rsid w:val="0E3C1619"/>
    <w:rsid w:val="0E3E79DA"/>
    <w:rsid w:val="0E46217D"/>
    <w:rsid w:val="0E4D368D"/>
    <w:rsid w:val="0E5115D0"/>
    <w:rsid w:val="0E555BA1"/>
    <w:rsid w:val="0E562603"/>
    <w:rsid w:val="0E5D71F2"/>
    <w:rsid w:val="0E6D0107"/>
    <w:rsid w:val="0E6D71D1"/>
    <w:rsid w:val="0E6F72DE"/>
    <w:rsid w:val="0E7019A5"/>
    <w:rsid w:val="0E787588"/>
    <w:rsid w:val="0E796AAB"/>
    <w:rsid w:val="0E83792A"/>
    <w:rsid w:val="0E855F07"/>
    <w:rsid w:val="0E8A515C"/>
    <w:rsid w:val="0E8A6F0A"/>
    <w:rsid w:val="0E906A84"/>
    <w:rsid w:val="0EA30C46"/>
    <w:rsid w:val="0EA92D41"/>
    <w:rsid w:val="0EAE1581"/>
    <w:rsid w:val="0EB634CB"/>
    <w:rsid w:val="0EB775D4"/>
    <w:rsid w:val="0EBA4ABC"/>
    <w:rsid w:val="0ECA4D50"/>
    <w:rsid w:val="0ECF3E91"/>
    <w:rsid w:val="0ED71A24"/>
    <w:rsid w:val="0ED8043D"/>
    <w:rsid w:val="0EE95930"/>
    <w:rsid w:val="0EF63DBF"/>
    <w:rsid w:val="0F056591"/>
    <w:rsid w:val="0F096081"/>
    <w:rsid w:val="0F0A004B"/>
    <w:rsid w:val="0F0E18EA"/>
    <w:rsid w:val="0F11271D"/>
    <w:rsid w:val="0F1308FB"/>
    <w:rsid w:val="0F172BED"/>
    <w:rsid w:val="0F184297"/>
    <w:rsid w:val="0F2316C8"/>
    <w:rsid w:val="0F242EBB"/>
    <w:rsid w:val="0F2509E1"/>
    <w:rsid w:val="0F307AB2"/>
    <w:rsid w:val="0F3626C8"/>
    <w:rsid w:val="0F380715"/>
    <w:rsid w:val="0F3A0931"/>
    <w:rsid w:val="0F4826C5"/>
    <w:rsid w:val="0F4E618A"/>
    <w:rsid w:val="0F5660FF"/>
    <w:rsid w:val="0F59068B"/>
    <w:rsid w:val="0F646881"/>
    <w:rsid w:val="0F671CCB"/>
    <w:rsid w:val="0F6B3CF4"/>
    <w:rsid w:val="0F7200CA"/>
    <w:rsid w:val="0F737075"/>
    <w:rsid w:val="0F781459"/>
    <w:rsid w:val="0F791001"/>
    <w:rsid w:val="0F7D25CB"/>
    <w:rsid w:val="0F832E1F"/>
    <w:rsid w:val="0F930041"/>
    <w:rsid w:val="0F9763F7"/>
    <w:rsid w:val="0F9A22B7"/>
    <w:rsid w:val="0F9A317D"/>
    <w:rsid w:val="0FA7589A"/>
    <w:rsid w:val="0FAB7138"/>
    <w:rsid w:val="0FAC4C5F"/>
    <w:rsid w:val="0FB775B8"/>
    <w:rsid w:val="0FC326D6"/>
    <w:rsid w:val="0FC548D4"/>
    <w:rsid w:val="0FC87CEA"/>
    <w:rsid w:val="0FCB0350"/>
    <w:rsid w:val="0FCC70AF"/>
    <w:rsid w:val="0FCD5660"/>
    <w:rsid w:val="0FCF6971"/>
    <w:rsid w:val="0FD66E76"/>
    <w:rsid w:val="0FD7617F"/>
    <w:rsid w:val="0FD77F2D"/>
    <w:rsid w:val="0FD9422B"/>
    <w:rsid w:val="0FDE750E"/>
    <w:rsid w:val="0FE91A0F"/>
    <w:rsid w:val="0FF7412C"/>
    <w:rsid w:val="0FFA1E6E"/>
    <w:rsid w:val="10022AD1"/>
    <w:rsid w:val="100A29AA"/>
    <w:rsid w:val="100D7DF3"/>
    <w:rsid w:val="101547FE"/>
    <w:rsid w:val="10182E93"/>
    <w:rsid w:val="102034A1"/>
    <w:rsid w:val="102132E2"/>
    <w:rsid w:val="10256AF3"/>
    <w:rsid w:val="102B2027"/>
    <w:rsid w:val="102E1B18"/>
    <w:rsid w:val="10352832"/>
    <w:rsid w:val="1037379A"/>
    <w:rsid w:val="103F5AD3"/>
    <w:rsid w:val="104042F4"/>
    <w:rsid w:val="10466E61"/>
    <w:rsid w:val="10517845"/>
    <w:rsid w:val="10575305"/>
    <w:rsid w:val="105F01B6"/>
    <w:rsid w:val="106D518A"/>
    <w:rsid w:val="10710382"/>
    <w:rsid w:val="107514F4"/>
    <w:rsid w:val="107517B6"/>
    <w:rsid w:val="107838CD"/>
    <w:rsid w:val="107E484D"/>
    <w:rsid w:val="108C3650"/>
    <w:rsid w:val="10973B61"/>
    <w:rsid w:val="10A04E3C"/>
    <w:rsid w:val="10A30804"/>
    <w:rsid w:val="10A76ADF"/>
    <w:rsid w:val="10AC13BA"/>
    <w:rsid w:val="10AF1D60"/>
    <w:rsid w:val="10AF2C58"/>
    <w:rsid w:val="10AF6B3A"/>
    <w:rsid w:val="10B8464E"/>
    <w:rsid w:val="10BA4216"/>
    <w:rsid w:val="10BC7123"/>
    <w:rsid w:val="10C7369F"/>
    <w:rsid w:val="10C77FA2"/>
    <w:rsid w:val="10CC29E7"/>
    <w:rsid w:val="10CF32FA"/>
    <w:rsid w:val="10D601E5"/>
    <w:rsid w:val="10DD77C5"/>
    <w:rsid w:val="10F0323E"/>
    <w:rsid w:val="10F14F7F"/>
    <w:rsid w:val="10F92125"/>
    <w:rsid w:val="10FC5772"/>
    <w:rsid w:val="10FE14EA"/>
    <w:rsid w:val="110D3206"/>
    <w:rsid w:val="110F7B9B"/>
    <w:rsid w:val="11140D0D"/>
    <w:rsid w:val="112076B2"/>
    <w:rsid w:val="11292A0B"/>
    <w:rsid w:val="113837CD"/>
    <w:rsid w:val="113D0264"/>
    <w:rsid w:val="11431086"/>
    <w:rsid w:val="114C494B"/>
    <w:rsid w:val="114E117A"/>
    <w:rsid w:val="114E421F"/>
    <w:rsid w:val="114F5AEB"/>
    <w:rsid w:val="114F61E9"/>
    <w:rsid w:val="11586174"/>
    <w:rsid w:val="115D7C4C"/>
    <w:rsid w:val="116003F7"/>
    <w:rsid w:val="11643A43"/>
    <w:rsid w:val="11651569"/>
    <w:rsid w:val="11730499"/>
    <w:rsid w:val="117619C8"/>
    <w:rsid w:val="11847C41"/>
    <w:rsid w:val="118653FD"/>
    <w:rsid w:val="1190478E"/>
    <w:rsid w:val="11980F64"/>
    <w:rsid w:val="11B06C88"/>
    <w:rsid w:val="11B147AE"/>
    <w:rsid w:val="11B17BA9"/>
    <w:rsid w:val="11B30526"/>
    <w:rsid w:val="11BD3153"/>
    <w:rsid w:val="11C37235"/>
    <w:rsid w:val="11CE7580"/>
    <w:rsid w:val="11D010D8"/>
    <w:rsid w:val="11D230A2"/>
    <w:rsid w:val="11DE6E1F"/>
    <w:rsid w:val="11E15093"/>
    <w:rsid w:val="11E626AA"/>
    <w:rsid w:val="11F254F3"/>
    <w:rsid w:val="11F8062F"/>
    <w:rsid w:val="11F8418B"/>
    <w:rsid w:val="11FA7F03"/>
    <w:rsid w:val="1200218C"/>
    <w:rsid w:val="12015222"/>
    <w:rsid w:val="120476A6"/>
    <w:rsid w:val="120D40DA"/>
    <w:rsid w:val="1215360D"/>
    <w:rsid w:val="121710A5"/>
    <w:rsid w:val="12192A7F"/>
    <w:rsid w:val="121C256F"/>
    <w:rsid w:val="121C519E"/>
    <w:rsid w:val="122361EE"/>
    <w:rsid w:val="1229250D"/>
    <w:rsid w:val="123020F0"/>
    <w:rsid w:val="12332EFF"/>
    <w:rsid w:val="12355B01"/>
    <w:rsid w:val="12374CB3"/>
    <w:rsid w:val="123B13CC"/>
    <w:rsid w:val="12411DD6"/>
    <w:rsid w:val="12417BD7"/>
    <w:rsid w:val="12593FDB"/>
    <w:rsid w:val="12601E40"/>
    <w:rsid w:val="12633CFA"/>
    <w:rsid w:val="126726A7"/>
    <w:rsid w:val="12681311"/>
    <w:rsid w:val="12687B8A"/>
    <w:rsid w:val="12726129"/>
    <w:rsid w:val="12781E38"/>
    <w:rsid w:val="12850115"/>
    <w:rsid w:val="1288061D"/>
    <w:rsid w:val="12977E48"/>
    <w:rsid w:val="1299085F"/>
    <w:rsid w:val="129A3460"/>
    <w:rsid w:val="12A64675"/>
    <w:rsid w:val="12AF4504"/>
    <w:rsid w:val="12B04A66"/>
    <w:rsid w:val="12B46304"/>
    <w:rsid w:val="12B46931"/>
    <w:rsid w:val="12BB1444"/>
    <w:rsid w:val="12BF57FE"/>
    <w:rsid w:val="12C14EC5"/>
    <w:rsid w:val="12D02CA0"/>
    <w:rsid w:val="12D22C2E"/>
    <w:rsid w:val="12D419D9"/>
    <w:rsid w:val="12E070F9"/>
    <w:rsid w:val="12EA2F3A"/>
    <w:rsid w:val="12ED5CBA"/>
    <w:rsid w:val="12EE7E53"/>
    <w:rsid w:val="12F369CC"/>
    <w:rsid w:val="12FF077C"/>
    <w:rsid w:val="1306375D"/>
    <w:rsid w:val="130A686C"/>
    <w:rsid w:val="130D1D87"/>
    <w:rsid w:val="130D399B"/>
    <w:rsid w:val="13216D07"/>
    <w:rsid w:val="133920CC"/>
    <w:rsid w:val="133A279F"/>
    <w:rsid w:val="133F4387"/>
    <w:rsid w:val="135D4762"/>
    <w:rsid w:val="13606F15"/>
    <w:rsid w:val="1362539D"/>
    <w:rsid w:val="13642DDD"/>
    <w:rsid w:val="13693592"/>
    <w:rsid w:val="13712447"/>
    <w:rsid w:val="13712452"/>
    <w:rsid w:val="13743CE5"/>
    <w:rsid w:val="137912FC"/>
    <w:rsid w:val="137B1518"/>
    <w:rsid w:val="137F7DC0"/>
    <w:rsid w:val="1380268A"/>
    <w:rsid w:val="138C4515"/>
    <w:rsid w:val="138D44F2"/>
    <w:rsid w:val="13915917"/>
    <w:rsid w:val="139E2B38"/>
    <w:rsid w:val="13A12DDD"/>
    <w:rsid w:val="13A22600"/>
    <w:rsid w:val="13A740BB"/>
    <w:rsid w:val="13AC530B"/>
    <w:rsid w:val="13AC686A"/>
    <w:rsid w:val="13B30337"/>
    <w:rsid w:val="13B511FF"/>
    <w:rsid w:val="13B660AC"/>
    <w:rsid w:val="13B67DBD"/>
    <w:rsid w:val="13BF6C92"/>
    <w:rsid w:val="13CA59F7"/>
    <w:rsid w:val="13CB6CB8"/>
    <w:rsid w:val="13CD7229"/>
    <w:rsid w:val="13D50C28"/>
    <w:rsid w:val="13D75179"/>
    <w:rsid w:val="13E1581F"/>
    <w:rsid w:val="13E23345"/>
    <w:rsid w:val="13E76BAD"/>
    <w:rsid w:val="13F60B9E"/>
    <w:rsid w:val="13FD1F2D"/>
    <w:rsid w:val="14031631"/>
    <w:rsid w:val="14074B59"/>
    <w:rsid w:val="14076907"/>
    <w:rsid w:val="140A3B78"/>
    <w:rsid w:val="140F115B"/>
    <w:rsid w:val="14131750"/>
    <w:rsid w:val="141D14AB"/>
    <w:rsid w:val="141D612B"/>
    <w:rsid w:val="141F1EA3"/>
    <w:rsid w:val="14221993"/>
    <w:rsid w:val="142A38B5"/>
    <w:rsid w:val="1434210F"/>
    <w:rsid w:val="14353475"/>
    <w:rsid w:val="14411E19"/>
    <w:rsid w:val="14423DE3"/>
    <w:rsid w:val="14432784"/>
    <w:rsid w:val="14495172"/>
    <w:rsid w:val="144D6A10"/>
    <w:rsid w:val="14517C91"/>
    <w:rsid w:val="145834F3"/>
    <w:rsid w:val="14670E86"/>
    <w:rsid w:val="146B6818"/>
    <w:rsid w:val="14733F9D"/>
    <w:rsid w:val="14777F31"/>
    <w:rsid w:val="147A357D"/>
    <w:rsid w:val="147B6246"/>
    <w:rsid w:val="147E306D"/>
    <w:rsid w:val="14861F22"/>
    <w:rsid w:val="148F0494"/>
    <w:rsid w:val="1496057D"/>
    <w:rsid w:val="149A59CD"/>
    <w:rsid w:val="149A777C"/>
    <w:rsid w:val="149E479D"/>
    <w:rsid w:val="14A17F4C"/>
    <w:rsid w:val="14AA6670"/>
    <w:rsid w:val="14AF76CB"/>
    <w:rsid w:val="14B60A59"/>
    <w:rsid w:val="14BC5944"/>
    <w:rsid w:val="14BE16BC"/>
    <w:rsid w:val="14C30A80"/>
    <w:rsid w:val="14C64A14"/>
    <w:rsid w:val="14C667C2"/>
    <w:rsid w:val="14D26E56"/>
    <w:rsid w:val="14D47131"/>
    <w:rsid w:val="14E629C1"/>
    <w:rsid w:val="14EA104F"/>
    <w:rsid w:val="14F165F1"/>
    <w:rsid w:val="14F9199B"/>
    <w:rsid w:val="15095E33"/>
    <w:rsid w:val="150A66AF"/>
    <w:rsid w:val="150B5C0F"/>
    <w:rsid w:val="1514752E"/>
    <w:rsid w:val="151614F8"/>
    <w:rsid w:val="152754B3"/>
    <w:rsid w:val="15284D87"/>
    <w:rsid w:val="152E3299"/>
    <w:rsid w:val="152E4A94"/>
    <w:rsid w:val="153A3533"/>
    <w:rsid w:val="153B0F5F"/>
    <w:rsid w:val="154A11A2"/>
    <w:rsid w:val="15537304"/>
    <w:rsid w:val="15595889"/>
    <w:rsid w:val="156D65B9"/>
    <w:rsid w:val="1570215D"/>
    <w:rsid w:val="157D4BDF"/>
    <w:rsid w:val="15AA6325"/>
    <w:rsid w:val="15B025D8"/>
    <w:rsid w:val="15B11221"/>
    <w:rsid w:val="15B13BC1"/>
    <w:rsid w:val="15B45E45"/>
    <w:rsid w:val="15BA1E98"/>
    <w:rsid w:val="15C03212"/>
    <w:rsid w:val="15C96614"/>
    <w:rsid w:val="15CC4C65"/>
    <w:rsid w:val="15D078F9"/>
    <w:rsid w:val="15D21D86"/>
    <w:rsid w:val="15DB629E"/>
    <w:rsid w:val="15DF4CCA"/>
    <w:rsid w:val="15E4196A"/>
    <w:rsid w:val="15F01D49"/>
    <w:rsid w:val="15F7011A"/>
    <w:rsid w:val="15FD0B16"/>
    <w:rsid w:val="16066C7F"/>
    <w:rsid w:val="16076D94"/>
    <w:rsid w:val="160F7356"/>
    <w:rsid w:val="16135A37"/>
    <w:rsid w:val="161A0B74"/>
    <w:rsid w:val="161D01D5"/>
    <w:rsid w:val="162437A1"/>
    <w:rsid w:val="16287374"/>
    <w:rsid w:val="16377EF0"/>
    <w:rsid w:val="163F05DA"/>
    <w:rsid w:val="163F4A7E"/>
    <w:rsid w:val="16490C3C"/>
    <w:rsid w:val="164E0668"/>
    <w:rsid w:val="165247B2"/>
    <w:rsid w:val="165A18B8"/>
    <w:rsid w:val="165E3CF7"/>
    <w:rsid w:val="165F0C7D"/>
    <w:rsid w:val="165F6ECF"/>
    <w:rsid w:val="166E2C6E"/>
    <w:rsid w:val="16801192"/>
    <w:rsid w:val="16821AF3"/>
    <w:rsid w:val="16886279"/>
    <w:rsid w:val="168D57EA"/>
    <w:rsid w:val="168E11C7"/>
    <w:rsid w:val="169326D4"/>
    <w:rsid w:val="169721C5"/>
    <w:rsid w:val="16B05428"/>
    <w:rsid w:val="16B8213B"/>
    <w:rsid w:val="16BD3139"/>
    <w:rsid w:val="16C237AB"/>
    <w:rsid w:val="16C31374"/>
    <w:rsid w:val="16C90CFD"/>
    <w:rsid w:val="16CB4564"/>
    <w:rsid w:val="16D276A1"/>
    <w:rsid w:val="16E573D4"/>
    <w:rsid w:val="16EA2C3C"/>
    <w:rsid w:val="16EB2510"/>
    <w:rsid w:val="16F07B27"/>
    <w:rsid w:val="16F854F8"/>
    <w:rsid w:val="17017F86"/>
    <w:rsid w:val="17035663"/>
    <w:rsid w:val="1704472B"/>
    <w:rsid w:val="170D06D9"/>
    <w:rsid w:val="17106DD3"/>
    <w:rsid w:val="171410AB"/>
    <w:rsid w:val="17171557"/>
    <w:rsid w:val="171E28E6"/>
    <w:rsid w:val="17237EFC"/>
    <w:rsid w:val="1726585A"/>
    <w:rsid w:val="17284D71"/>
    <w:rsid w:val="172A0FAC"/>
    <w:rsid w:val="172A3039"/>
    <w:rsid w:val="172B6DB1"/>
    <w:rsid w:val="172D4B0D"/>
    <w:rsid w:val="1737224C"/>
    <w:rsid w:val="17397720"/>
    <w:rsid w:val="173D6892"/>
    <w:rsid w:val="173F148A"/>
    <w:rsid w:val="174618F7"/>
    <w:rsid w:val="17471E3D"/>
    <w:rsid w:val="17546308"/>
    <w:rsid w:val="175956CC"/>
    <w:rsid w:val="17667DE9"/>
    <w:rsid w:val="176F6C9D"/>
    <w:rsid w:val="17742506"/>
    <w:rsid w:val="177D31A2"/>
    <w:rsid w:val="17820CF9"/>
    <w:rsid w:val="17824EC3"/>
    <w:rsid w:val="178321B2"/>
    <w:rsid w:val="17832749"/>
    <w:rsid w:val="178A6DBB"/>
    <w:rsid w:val="17924D93"/>
    <w:rsid w:val="179A1FD1"/>
    <w:rsid w:val="179D6943"/>
    <w:rsid w:val="179E7583"/>
    <w:rsid w:val="17A646CF"/>
    <w:rsid w:val="17BA0860"/>
    <w:rsid w:val="17CD49CB"/>
    <w:rsid w:val="17D13EE9"/>
    <w:rsid w:val="17D932AC"/>
    <w:rsid w:val="17DA09B8"/>
    <w:rsid w:val="17DF339A"/>
    <w:rsid w:val="17ED2C13"/>
    <w:rsid w:val="17EE4D55"/>
    <w:rsid w:val="17F46F98"/>
    <w:rsid w:val="17F65611"/>
    <w:rsid w:val="18025D64"/>
    <w:rsid w:val="18047D2E"/>
    <w:rsid w:val="180A091B"/>
    <w:rsid w:val="180A2E6A"/>
    <w:rsid w:val="180F5AC4"/>
    <w:rsid w:val="181C294C"/>
    <w:rsid w:val="1824217E"/>
    <w:rsid w:val="18277578"/>
    <w:rsid w:val="183959F8"/>
    <w:rsid w:val="184055B9"/>
    <w:rsid w:val="18495740"/>
    <w:rsid w:val="18514B4C"/>
    <w:rsid w:val="18535BE6"/>
    <w:rsid w:val="18544907"/>
    <w:rsid w:val="18622CA6"/>
    <w:rsid w:val="18673E19"/>
    <w:rsid w:val="188A0991"/>
    <w:rsid w:val="188E00B6"/>
    <w:rsid w:val="188E75F7"/>
    <w:rsid w:val="189270E7"/>
    <w:rsid w:val="18956BD8"/>
    <w:rsid w:val="18962457"/>
    <w:rsid w:val="189746FE"/>
    <w:rsid w:val="189866C8"/>
    <w:rsid w:val="189C0CED"/>
    <w:rsid w:val="18B05567"/>
    <w:rsid w:val="18C66D91"/>
    <w:rsid w:val="18D93674"/>
    <w:rsid w:val="18DA283C"/>
    <w:rsid w:val="18DD7584"/>
    <w:rsid w:val="18E66F1C"/>
    <w:rsid w:val="18E743ED"/>
    <w:rsid w:val="18E87043"/>
    <w:rsid w:val="18F009DC"/>
    <w:rsid w:val="18F338FE"/>
    <w:rsid w:val="18F63219"/>
    <w:rsid w:val="19045B0B"/>
    <w:rsid w:val="190478B9"/>
    <w:rsid w:val="19121FD6"/>
    <w:rsid w:val="19137AFC"/>
    <w:rsid w:val="19150708"/>
    <w:rsid w:val="19164715"/>
    <w:rsid w:val="191A70DD"/>
    <w:rsid w:val="191F64A1"/>
    <w:rsid w:val="192170AE"/>
    <w:rsid w:val="1922346A"/>
    <w:rsid w:val="19324427"/>
    <w:rsid w:val="1935389B"/>
    <w:rsid w:val="19377C8F"/>
    <w:rsid w:val="193C52A5"/>
    <w:rsid w:val="193C7C72"/>
    <w:rsid w:val="193D1AF8"/>
    <w:rsid w:val="19401195"/>
    <w:rsid w:val="19422F95"/>
    <w:rsid w:val="19561F62"/>
    <w:rsid w:val="19581D29"/>
    <w:rsid w:val="1960255F"/>
    <w:rsid w:val="1968609A"/>
    <w:rsid w:val="196A0064"/>
    <w:rsid w:val="196B7938"/>
    <w:rsid w:val="19705454"/>
    <w:rsid w:val="19715320"/>
    <w:rsid w:val="197301DA"/>
    <w:rsid w:val="19793E03"/>
    <w:rsid w:val="197E58BE"/>
    <w:rsid w:val="1981715C"/>
    <w:rsid w:val="198A2231"/>
    <w:rsid w:val="199649B5"/>
    <w:rsid w:val="199A4A77"/>
    <w:rsid w:val="199E1ABC"/>
    <w:rsid w:val="19A9246D"/>
    <w:rsid w:val="19B23C43"/>
    <w:rsid w:val="19B57A98"/>
    <w:rsid w:val="19B66526"/>
    <w:rsid w:val="19BD28CA"/>
    <w:rsid w:val="19D125D4"/>
    <w:rsid w:val="19D16DFD"/>
    <w:rsid w:val="19D47CEE"/>
    <w:rsid w:val="19DC3F2C"/>
    <w:rsid w:val="19DF187E"/>
    <w:rsid w:val="19E35721"/>
    <w:rsid w:val="19E41BC5"/>
    <w:rsid w:val="19F25B58"/>
    <w:rsid w:val="1A065AD9"/>
    <w:rsid w:val="1A0A62AD"/>
    <w:rsid w:val="1A0C7826"/>
    <w:rsid w:val="1A1E1A7F"/>
    <w:rsid w:val="1A1E49AB"/>
    <w:rsid w:val="1A26270A"/>
    <w:rsid w:val="1A312930"/>
    <w:rsid w:val="1A3C5E56"/>
    <w:rsid w:val="1A473F02"/>
    <w:rsid w:val="1A4A39F2"/>
    <w:rsid w:val="1A4C1518"/>
    <w:rsid w:val="1A53464F"/>
    <w:rsid w:val="1A540930"/>
    <w:rsid w:val="1A584361"/>
    <w:rsid w:val="1A5F0CF1"/>
    <w:rsid w:val="1A613215"/>
    <w:rsid w:val="1A614149"/>
    <w:rsid w:val="1A670100"/>
    <w:rsid w:val="1A703458"/>
    <w:rsid w:val="1A7120E9"/>
    <w:rsid w:val="1A736AA5"/>
    <w:rsid w:val="1A7867B1"/>
    <w:rsid w:val="1A7D5B75"/>
    <w:rsid w:val="1A7F18ED"/>
    <w:rsid w:val="1A8C327B"/>
    <w:rsid w:val="1A9066F9"/>
    <w:rsid w:val="1A911621"/>
    <w:rsid w:val="1A935399"/>
    <w:rsid w:val="1A98284F"/>
    <w:rsid w:val="1A9E07D6"/>
    <w:rsid w:val="1AA650CC"/>
    <w:rsid w:val="1AA73898"/>
    <w:rsid w:val="1AAB623F"/>
    <w:rsid w:val="1AAE3F81"/>
    <w:rsid w:val="1AB90641"/>
    <w:rsid w:val="1AC0461A"/>
    <w:rsid w:val="1AC10F48"/>
    <w:rsid w:val="1AC1238B"/>
    <w:rsid w:val="1AC8358C"/>
    <w:rsid w:val="1ACB68E1"/>
    <w:rsid w:val="1ADF2A75"/>
    <w:rsid w:val="1AE41750"/>
    <w:rsid w:val="1AEC3341"/>
    <w:rsid w:val="1AF17B19"/>
    <w:rsid w:val="1AF20F2C"/>
    <w:rsid w:val="1AF916A0"/>
    <w:rsid w:val="1AFC1190"/>
    <w:rsid w:val="1AFD6326"/>
    <w:rsid w:val="1B0141DA"/>
    <w:rsid w:val="1B122CD1"/>
    <w:rsid w:val="1B12650D"/>
    <w:rsid w:val="1B157B5C"/>
    <w:rsid w:val="1B1C10AC"/>
    <w:rsid w:val="1B1D4C62"/>
    <w:rsid w:val="1B293607"/>
    <w:rsid w:val="1B3721C8"/>
    <w:rsid w:val="1B522B5E"/>
    <w:rsid w:val="1B5C1C2F"/>
    <w:rsid w:val="1B636B19"/>
    <w:rsid w:val="1B652C55"/>
    <w:rsid w:val="1B6F3710"/>
    <w:rsid w:val="1B890B1E"/>
    <w:rsid w:val="1B9F64EC"/>
    <w:rsid w:val="1BAF7EE4"/>
    <w:rsid w:val="1BB76E65"/>
    <w:rsid w:val="1BBD091F"/>
    <w:rsid w:val="1BBE1FA1"/>
    <w:rsid w:val="1BC03F6C"/>
    <w:rsid w:val="1BC53330"/>
    <w:rsid w:val="1BCD3B62"/>
    <w:rsid w:val="1BD14AEB"/>
    <w:rsid w:val="1BD6642A"/>
    <w:rsid w:val="1BE27765"/>
    <w:rsid w:val="1BE340FE"/>
    <w:rsid w:val="1BF12377"/>
    <w:rsid w:val="1BFB1448"/>
    <w:rsid w:val="1BFF185E"/>
    <w:rsid w:val="1C03166F"/>
    <w:rsid w:val="1C054074"/>
    <w:rsid w:val="1C071B9A"/>
    <w:rsid w:val="1C0A168B"/>
    <w:rsid w:val="1C0A6971"/>
    <w:rsid w:val="1C1147C7"/>
    <w:rsid w:val="1C127CD4"/>
    <w:rsid w:val="1C187030"/>
    <w:rsid w:val="1C1E0C92"/>
    <w:rsid w:val="1C2D63D5"/>
    <w:rsid w:val="1C3E1594"/>
    <w:rsid w:val="1C4032FE"/>
    <w:rsid w:val="1C426530"/>
    <w:rsid w:val="1C450357"/>
    <w:rsid w:val="1C524DC1"/>
    <w:rsid w:val="1C550832"/>
    <w:rsid w:val="1C5B0CF1"/>
    <w:rsid w:val="1C5B3C94"/>
    <w:rsid w:val="1C5B41FF"/>
    <w:rsid w:val="1C5C1B50"/>
    <w:rsid w:val="1C5D12C5"/>
    <w:rsid w:val="1C644713"/>
    <w:rsid w:val="1C66073C"/>
    <w:rsid w:val="1C6C7C4F"/>
    <w:rsid w:val="1C705992"/>
    <w:rsid w:val="1C7152CE"/>
    <w:rsid w:val="1C7200C2"/>
    <w:rsid w:val="1C735482"/>
    <w:rsid w:val="1C737917"/>
    <w:rsid w:val="1C7B60E4"/>
    <w:rsid w:val="1C7F7983"/>
    <w:rsid w:val="1C84143D"/>
    <w:rsid w:val="1C8431EB"/>
    <w:rsid w:val="1C8651B5"/>
    <w:rsid w:val="1C9039C8"/>
    <w:rsid w:val="1C907DE2"/>
    <w:rsid w:val="1C9A47BD"/>
    <w:rsid w:val="1C9F5ECA"/>
    <w:rsid w:val="1CA218C3"/>
    <w:rsid w:val="1CA236C5"/>
    <w:rsid w:val="1CA519FD"/>
    <w:rsid w:val="1CB33715"/>
    <w:rsid w:val="1CB6711D"/>
    <w:rsid w:val="1CB82E95"/>
    <w:rsid w:val="1CBD3DFD"/>
    <w:rsid w:val="1CBE2528"/>
    <w:rsid w:val="1CBF5FD1"/>
    <w:rsid w:val="1CC932F4"/>
    <w:rsid w:val="1CD32A5C"/>
    <w:rsid w:val="1CD37CCF"/>
    <w:rsid w:val="1CD51C99"/>
    <w:rsid w:val="1CD777BF"/>
    <w:rsid w:val="1CDC3027"/>
    <w:rsid w:val="1CF33ECD"/>
    <w:rsid w:val="1CF60292"/>
    <w:rsid w:val="1CFB407F"/>
    <w:rsid w:val="1D0B5AE9"/>
    <w:rsid w:val="1D0D1432"/>
    <w:rsid w:val="1D150CCF"/>
    <w:rsid w:val="1D1722B1"/>
    <w:rsid w:val="1D1A3B4F"/>
    <w:rsid w:val="1D1A7BEF"/>
    <w:rsid w:val="1D1B717B"/>
    <w:rsid w:val="1D1F7181"/>
    <w:rsid w:val="1D2D3883"/>
    <w:rsid w:val="1D322646"/>
    <w:rsid w:val="1D383FD6"/>
    <w:rsid w:val="1D3A7D4E"/>
    <w:rsid w:val="1D4604A0"/>
    <w:rsid w:val="1D556936"/>
    <w:rsid w:val="1D61177E"/>
    <w:rsid w:val="1D6357BE"/>
    <w:rsid w:val="1D657E42"/>
    <w:rsid w:val="1D6B7F07"/>
    <w:rsid w:val="1D6F6BEA"/>
    <w:rsid w:val="1D702D6A"/>
    <w:rsid w:val="1D8611E5"/>
    <w:rsid w:val="1D927B8A"/>
    <w:rsid w:val="1D9D475C"/>
    <w:rsid w:val="1D9E7BAD"/>
    <w:rsid w:val="1DAC5E21"/>
    <w:rsid w:val="1DB44D83"/>
    <w:rsid w:val="1DB573D4"/>
    <w:rsid w:val="1DB95116"/>
    <w:rsid w:val="1DB96EC4"/>
    <w:rsid w:val="1DBE44DB"/>
    <w:rsid w:val="1DC15D79"/>
    <w:rsid w:val="1DCA08C1"/>
    <w:rsid w:val="1DCF493A"/>
    <w:rsid w:val="1DD03E43"/>
    <w:rsid w:val="1DD63B0C"/>
    <w:rsid w:val="1DD6651A"/>
    <w:rsid w:val="1DDA5067"/>
    <w:rsid w:val="1DDD1BD4"/>
    <w:rsid w:val="1DDE2DCF"/>
    <w:rsid w:val="1DED6BA6"/>
    <w:rsid w:val="1DEF0B38"/>
    <w:rsid w:val="1DF50235"/>
    <w:rsid w:val="1DFF2E17"/>
    <w:rsid w:val="1E004AF3"/>
    <w:rsid w:val="1E2012C8"/>
    <w:rsid w:val="1E206F43"/>
    <w:rsid w:val="1E2A5821"/>
    <w:rsid w:val="1E2C2E46"/>
    <w:rsid w:val="1E2D1469"/>
    <w:rsid w:val="1E30674D"/>
    <w:rsid w:val="1E3D6282"/>
    <w:rsid w:val="1E40188A"/>
    <w:rsid w:val="1E480248"/>
    <w:rsid w:val="1E4A3C59"/>
    <w:rsid w:val="1E5479EA"/>
    <w:rsid w:val="1E5C100C"/>
    <w:rsid w:val="1E5F5CBE"/>
    <w:rsid w:val="1E6037E4"/>
    <w:rsid w:val="1E641526"/>
    <w:rsid w:val="1E6F53E6"/>
    <w:rsid w:val="1E776D65"/>
    <w:rsid w:val="1E780D78"/>
    <w:rsid w:val="1E796654"/>
    <w:rsid w:val="1E7D5E79"/>
    <w:rsid w:val="1E7F010E"/>
    <w:rsid w:val="1E7F3A49"/>
    <w:rsid w:val="1E890F8D"/>
    <w:rsid w:val="1E895758"/>
    <w:rsid w:val="1E912BAE"/>
    <w:rsid w:val="1E937EA5"/>
    <w:rsid w:val="1E9A18CE"/>
    <w:rsid w:val="1EAC07D7"/>
    <w:rsid w:val="1EB51D82"/>
    <w:rsid w:val="1EB7114B"/>
    <w:rsid w:val="1EBF4921"/>
    <w:rsid w:val="1EC73863"/>
    <w:rsid w:val="1EC8325D"/>
    <w:rsid w:val="1ECB7DEC"/>
    <w:rsid w:val="1ED3045A"/>
    <w:rsid w:val="1ED40E06"/>
    <w:rsid w:val="1EDC730E"/>
    <w:rsid w:val="1EDE42B5"/>
    <w:rsid w:val="1EE2244B"/>
    <w:rsid w:val="1EE61F3B"/>
    <w:rsid w:val="1EE75CB3"/>
    <w:rsid w:val="1EE91A2B"/>
    <w:rsid w:val="1EE95C68"/>
    <w:rsid w:val="1EF83A1C"/>
    <w:rsid w:val="1EFC175F"/>
    <w:rsid w:val="1EFF229D"/>
    <w:rsid w:val="1F035C98"/>
    <w:rsid w:val="1F073C5F"/>
    <w:rsid w:val="1F086CB4"/>
    <w:rsid w:val="1F0F0D80"/>
    <w:rsid w:val="1F1620F4"/>
    <w:rsid w:val="1F250DF2"/>
    <w:rsid w:val="1F271A3E"/>
    <w:rsid w:val="1F29007A"/>
    <w:rsid w:val="1F3D2D0E"/>
    <w:rsid w:val="1F3F33F9"/>
    <w:rsid w:val="1F460C2C"/>
    <w:rsid w:val="1F4849A4"/>
    <w:rsid w:val="1F49071C"/>
    <w:rsid w:val="1F4924CA"/>
    <w:rsid w:val="1F5B34BE"/>
    <w:rsid w:val="1F6966C8"/>
    <w:rsid w:val="1F6C0265"/>
    <w:rsid w:val="1F7C2792"/>
    <w:rsid w:val="1F8452B0"/>
    <w:rsid w:val="1F872C54"/>
    <w:rsid w:val="1F8852E1"/>
    <w:rsid w:val="1F8D0609"/>
    <w:rsid w:val="1F930BDA"/>
    <w:rsid w:val="1F974FE3"/>
    <w:rsid w:val="1F9827D4"/>
    <w:rsid w:val="1F99069E"/>
    <w:rsid w:val="1F9A2D26"/>
    <w:rsid w:val="1F9C78FB"/>
    <w:rsid w:val="1FA616CA"/>
    <w:rsid w:val="1FAF67D1"/>
    <w:rsid w:val="1FB5190D"/>
    <w:rsid w:val="1FB8145E"/>
    <w:rsid w:val="1FBF453A"/>
    <w:rsid w:val="1FC102B2"/>
    <w:rsid w:val="1FC959F0"/>
    <w:rsid w:val="1FCD30FB"/>
    <w:rsid w:val="1FD47FE6"/>
    <w:rsid w:val="1FE06E56"/>
    <w:rsid w:val="1FEB1FA4"/>
    <w:rsid w:val="1FEC6C87"/>
    <w:rsid w:val="1FF231B2"/>
    <w:rsid w:val="1FF468DA"/>
    <w:rsid w:val="1FF73CD4"/>
    <w:rsid w:val="1FFC753C"/>
    <w:rsid w:val="1FFE0F28"/>
    <w:rsid w:val="2000606F"/>
    <w:rsid w:val="20043C15"/>
    <w:rsid w:val="200E0DCE"/>
    <w:rsid w:val="201A5364"/>
    <w:rsid w:val="201E1A51"/>
    <w:rsid w:val="201F3A55"/>
    <w:rsid w:val="202121DB"/>
    <w:rsid w:val="2027280B"/>
    <w:rsid w:val="202B5346"/>
    <w:rsid w:val="202F346E"/>
    <w:rsid w:val="20370574"/>
    <w:rsid w:val="204213F3"/>
    <w:rsid w:val="20436F19"/>
    <w:rsid w:val="204B28C3"/>
    <w:rsid w:val="204F1D62"/>
    <w:rsid w:val="2051027A"/>
    <w:rsid w:val="205630F0"/>
    <w:rsid w:val="205F7254"/>
    <w:rsid w:val="20653333"/>
    <w:rsid w:val="2076109D"/>
    <w:rsid w:val="20765541"/>
    <w:rsid w:val="20793F96"/>
    <w:rsid w:val="207A2547"/>
    <w:rsid w:val="20870360"/>
    <w:rsid w:val="20895274"/>
    <w:rsid w:val="209313F4"/>
    <w:rsid w:val="20970180"/>
    <w:rsid w:val="209E05F3"/>
    <w:rsid w:val="20A951E7"/>
    <w:rsid w:val="20AE1417"/>
    <w:rsid w:val="20B05F63"/>
    <w:rsid w:val="20B83B8F"/>
    <w:rsid w:val="20C20786"/>
    <w:rsid w:val="20C75D9C"/>
    <w:rsid w:val="20CE1B4F"/>
    <w:rsid w:val="20CE2C87"/>
    <w:rsid w:val="20CF69FF"/>
    <w:rsid w:val="20D12777"/>
    <w:rsid w:val="20D12947"/>
    <w:rsid w:val="20D3029D"/>
    <w:rsid w:val="20DB1848"/>
    <w:rsid w:val="20E66904"/>
    <w:rsid w:val="20E97AC1"/>
    <w:rsid w:val="20EB45C9"/>
    <w:rsid w:val="20F14BC7"/>
    <w:rsid w:val="20F326ED"/>
    <w:rsid w:val="20FB41A6"/>
    <w:rsid w:val="20FC21BE"/>
    <w:rsid w:val="21010555"/>
    <w:rsid w:val="21025026"/>
    <w:rsid w:val="210B3EDB"/>
    <w:rsid w:val="210C7C53"/>
    <w:rsid w:val="210E7527"/>
    <w:rsid w:val="21101A41"/>
    <w:rsid w:val="21114778"/>
    <w:rsid w:val="211866B2"/>
    <w:rsid w:val="21190608"/>
    <w:rsid w:val="211A5ECC"/>
    <w:rsid w:val="21260D15"/>
    <w:rsid w:val="2133559C"/>
    <w:rsid w:val="213E4F71"/>
    <w:rsid w:val="21404870"/>
    <w:rsid w:val="215A3AB3"/>
    <w:rsid w:val="216058A9"/>
    <w:rsid w:val="21611BE3"/>
    <w:rsid w:val="21670FC9"/>
    <w:rsid w:val="21722CDC"/>
    <w:rsid w:val="21723F5A"/>
    <w:rsid w:val="21774F7A"/>
    <w:rsid w:val="2178757A"/>
    <w:rsid w:val="21792FBB"/>
    <w:rsid w:val="217C26E3"/>
    <w:rsid w:val="217C601D"/>
    <w:rsid w:val="217D660A"/>
    <w:rsid w:val="21804179"/>
    <w:rsid w:val="218477E9"/>
    <w:rsid w:val="21871088"/>
    <w:rsid w:val="21893052"/>
    <w:rsid w:val="21932304"/>
    <w:rsid w:val="21AC49DF"/>
    <w:rsid w:val="21AC5E36"/>
    <w:rsid w:val="21AD4BA7"/>
    <w:rsid w:val="21B207FA"/>
    <w:rsid w:val="21B52473"/>
    <w:rsid w:val="21BA145D"/>
    <w:rsid w:val="21C9535E"/>
    <w:rsid w:val="21CB262D"/>
    <w:rsid w:val="21CD1190"/>
    <w:rsid w:val="21CD2F3E"/>
    <w:rsid w:val="21CE6CB6"/>
    <w:rsid w:val="21CF728D"/>
    <w:rsid w:val="21D11E83"/>
    <w:rsid w:val="21D52CE5"/>
    <w:rsid w:val="21DB7773"/>
    <w:rsid w:val="21E10E5D"/>
    <w:rsid w:val="21E11A55"/>
    <w:rsid w:val="21E36C06"/>
    <w:rsid w:val="21E42CF5"/>
    <w:rsid w:val="21E604A4"/>
    <w:rsid w:val="21EB27A9"/>
    <w:rsid w:val="21F030DA"/>
    <w:rsid w:val="21F03F73"/>
    <w:rsid w:val="220B1BC2"/>
    <w:rsid w:val="220B5F2B"/>
    <w:rsid w:val="221735E4"/>
    <w:rsid w:val="221A1EFC"/>
    <w:rsid w:val="221B63A0"/>
    <w:rsid w:val="222114DC"/>
    <w:rsid w:val="22370D00"/>
    <w:rsid w:val="223B7A07"/>
    <w:rsid w:val="223E1367"/>
    <w:rsid w:val="224A5166"/>
    <w:rsid w:val="224F66C7"/>
    <w:rsid w:val="2254540E"/>
    <w:rsid w:val="226256A5"/>
    <w:rsid w:val="22711B4B"/>
    <w:rsid w:val="22793151"/>
    <w:rsid w:val="227B20A1"/>
    <w:rsid w:val="227E501A"/>
    <w:rsid w:val="228026A7"/>
    <w:rsid w:val="228757E3"/>
    <w:rsid w:val="228A7543"/>
    <w:rsid w:val="22910410"/>
    <w:rsid w:val="22925F36"/>
    <w:rsid w:val="22992C61"/>
    <w:rsid w:val="22A7378F"/>
    <w:rsid w:val="22AD5D93"/>
    <w:rsid w:val="22B93805"/>
    <w:rsid w:val="22C1269A"/>
    <w:rsid w:val="22C407E5"/>
    <w:rsid w:val="22CE60AA"/>
    <w:rsid w:val="22D30CC5"/>
    <w:rsid w:val="22D54E8D"/>
    <w:rsid w:val="22D55D68"/>
    <w:rsid w:val="22D742E9"/>
    <w:rsid w:val="22E36792"/>
    <w:rsid w:val="22ED77E8"/>
    <w:rsid w:val="22EE13BE"/>
    <w:rsid w:val="22EF3388"/>
    <w:rsid w:val="22FF7BB1"/>
    <w:rsid w:val="23045086"/>
    <w:rsid w:val="23113D47"/>
    <w:rsid w:val="23114B53"/>
    <w:rsid w:val="23201794"/>
    <w:rsid w:val="232D45BC"/>
    <w:rsid w:val="23300078"/>
    <w:rsid w:val="233139A1"/>
    <w:rsid w:val="23323177"/>
    <w:rsid w:val="23362D65"/>
    <w:rsid w:val="2338088B"/>
    <w:rsid w:val="233A4603"/>
    <w:rsid w:val="233C211C"/>
    <w:rsid w:val="233D5EA2"/>
    <w:rsid w:val="23400DD5"/>
    <w:rsid w:val="234250F6"/>
    <w:rsid w:val="234C2589"/>
    <w:rsid w:val="2351194D"/>
    <w:rsid w:val="235356C5"/>
    <w:rsid w:val="235755DB"/>
    <w:rsid w:val="23585603"/>
    <w:rsid w:val="23597DC2"/>
    <w:rsid w:val="235B27CC"/>
    <w:rsid w:val="23600090"/>
    <w:rsid w:val="237A5348"/>
    <w:rsid w:val="237D2742"/>
    <w:rsid w:val="23933414"/>
    <w:rsid w:val="23A71D0F"/>
    <w:rsid w:val="23AE4FF1"/>
    <w:rsid w:val="23BD5235"/>
    <w:rsid w:val="23C44815"/>
    <w:rsid w:val="23C51AF8"/>
    <w:rsid w:val="23C95987"/>
    <w:rsid w:val="23D36806"/>
    <w:rsid w:val="23EB66CA"/>
    <w:rsid w:val="23EC7BEA"/>
    <w:rsid w:val="23ED40E7"/>
    <w:rsid w:val="23F92560"/>
    <w:rsid w:val="23FA3D93"/>
    <w:rsid w:val="23FA5EFD"/>
    <w:rsid w:val="24091012"/>
    <w:rsid w:val="240B41F2"/>
    <w:rsid w:val="240E6758"/>
    <w:rsid w:val="241237D2"/>
    <w:rsid w:val="241F0742"/>
    <w:rsid w:val="241F1A4B"/>
    <w:rsid w:val="242D23BA"/>
    <w:rsid w:val="242D636A"/>
    <w:rsid w:val="242F484E"/>
    <w:rsid w:val="24373239"/>
    <w:rsid w:val="2437353F"/>
    <w:rsid w:val="24387D77"/>
    <w:rsid w:val="2443573A"/>
    <w:rsid w:val="2446522A"/>
    <w:rsid w:val="244871F4"/>
    <w:rsid w:val="244D65B8"/>
    <w:rsid w:val="244F6828"/>
    <w:rsid w:val="245416F5"/>
    <w:rsid w:val="245669C5"/>
    <w:rsid w:val="24576D8A"/>
    <w:rsid w:val="2466767A"/>
    <w:rsid w:val="246851A0"/>
    <w:rsid w:val="24724271"/>
    <w:rsid w:val="24727DCD"/>
    <w:rsid w:val="24743B45"/>
    <w:rsid w:val="24776664"/>
    <w:rsid w:val="247A3549"/>
    <w:rsid w:val="24803ACB"/>
    <w:rsid w:val="24822706"/>
    <w:rsid w:val="2485605B"/>
    <w:rsid w:val="24896F9C"/>
    <w:rsid w:val="24904744"/>
    <w:rsid w:val="24945F95"/>
    <w:rsid w:val="24947BEF"/>
    <w:rsid w:val="2496149D"/>
    <w:rsid w:val="249B11DF"/>
    <w:rsid w:val="24A26904"/>
    <w:rsid w:val="24A863B5"/>
    <w:rsid w:val="24AC0E86"/>
    <w:rsid w:val="24AC7783"/>
    <w:rsid w:val="24AD567B"/>
    <w:rsid w:val="24B14A96"/>
    <w:rsid w:val="24B57FE4"/>
    <w:rsid w:val="24B85FE4"/>
    <w:rsid w:val="24B959FC"/>
    <w:rsid w:val="24BB5C18"/>
    <w:rsid w:val="24C148B0"/>
    <w:rsid w:val="24C20D54"/>
    <w:rsid w:val="24C543A1"/>
    <w:rsid w:val="24C83D4F"/>
    <w:rsid w:val="24C8549B"/>
    <w:rsid w:val="24C9098F"/>
    <w:rsid w:val="24D16B39"/>
    <w:rsid w:val="24E16D01"/>
    <w:rsid w:val="24E20E35"/>
    <w:rsid w:val="24E46A77"/>
    <w:rsid w:val="24E66811"/>
    <w:rsid w:val="24ED56A6"/>
    <w:rsid w:val="24F15196"/>
    <w:rsid w:val="24F37B79"/>
    <w:rsid w:val="24F42ED8"/>
    <w:rsid w:val="24FD4DCA"/>
    <w:rsid w:val="25055228"/>
    <w:rsid w:val="2508577E"/>
    <w:rsid w:val="25095901"/>
    <w:rsid w:val="250E1CE4"/>
    <w:rsid w:val="250F356E"/>
    <w:rsid w:val="251C36CC"/>
    <w:rsid w:val="25234B3C"/>
    <w:rsid w:val="253A6EAF"/>
    <w:rsid w:val="253D03DB"/>
    <w:rsid w:val="2540611D"/>
    <w:rsid w:val="25412F98"/>
    <w:rsid w:val="25473008"/>
    <w:rsid w:val="254A115E"/>
    <w:rsid w:val="254E25E8"/>
    <w:rsid w:val="2555355D"/>
    <w:rsid w:val="255C215A"/>
    <w:rsid w:val="255C6A87"/>
    <w:rsid w:val="25626093"/>
    <w:rsid w:val="25643BBA"/>
    <w:rsid w:val="256718FC"/>
    <w:rsid w:val="25695674"/>
    <w:rsid w:val="256A67A4"/>
    <w:rsid w:val="256C55BA"/>
    <w:rsid w:val="2572277A"/>
    <w:rsid w:val="25733194"/>
    <w:rsid w:val="2574065E"/>
    <w:rsid w:val="25754483"/>
    <w:rsid w:val="257551A2"/>
    <w:rsid w:val="25801F7E"/>
    <w:rsid w:val="25815604"/>
    <w:rsid w:val="25861774"/>
    <w:rsid w:val="25865660"/>
    <w:rsid w:val="25890B16"/>
    <w:rsid w:val="258B0691"/>
    <w:rsid w:val="258C1362"/>
    <w:rsid w:val="258C68BE"/>
    <w:rsid w:val="258E6E89"/>
    <w:rsid w:val="25910727"/>
    <w:rsid w:val="2593679E"/>
    <w:rsid w:val="259809DB"/>
    <w:rsid w:val="25A0196B"/>
    <w:rsid w:val="25A53B96"/>
    <w:rsid w:val="25B82157"/>
    <w:rsid w:val="25B9557E"/>
    <w:rsid w:val="25BF518E"/>
    <w:rsid w:val="25C66622"/>
    <w:rsid w:val="25CD5C03"/>
    <w:rsid w:val="25E122A6"/>
    <w:rsid w:val="25E35426"/>
    <w:rsid w:val="25E707F7"/>
    <w:rsid w:val="25E876E0"/>
    <w:rsid w:val="25E92311"/>
    <w:rsid w:val="25EA5D3C"/>
    <w:rsid w:val="25EC4100"/>
    <w:rsid w:val="25F3318F"/>
    <w:rsid w:val="25F82554"/>
    <w:rsid w:val="25FA2770"/>
    <w:rsid w:val="25FC2044"/>
    <w:rsid w:val="260B672B"/>
    <w:rsid w:val="26116CE7"/>
    <w:rsid w:val="26193812"/>
    <w:rsid w:val="26355556"/>
    <w:rsid w:val="26377520"/>
    <w:rsid w:val="2639067A"/>
    <w:rsid w:val="263A491A"/>
    <w:rsid w:val="26431A21"/>
    <w:rsid w:val="264D464E"/>
    <w:rsid w:val="26605D6C"/>
    <w:rsid w:val="2661634B"/>
    <w:rsid w:val="26672348"/>
    <w:rsid w:val="266D7546"/>
    <w:rsid w:val="266F373E"/>
    <w:rsid w:val="26713772"/>
    <w:rsid w:val="26713F43"/>
    <w:rsid w:val="26840989"/>
    <w:rsid w:val="26864E66"/>
    <w:rsid w:val="268D7140"/>
    <w:rsid w:val="26967042"/>
    <w:rsid w:val="26982667"/>
    <w:rsid w:val="26996EFB"/>
    <w:rsid w:val="26A1499A"/>
    <w:rsid w:val="26A83F7A"/>
    <w:rsid w:val="26B64030"/>
    <w:rsid w:val="26C012C4"/>
    <w:rsid w:val="26C708A4"/>
    <w:rsid w:val="26CA47CE"/>
    <w:rsid w:val="26CB4321"/>
    <w:rsid w:val="26D1483F"/>
    <w:rsid w:val="26D33C77"/>
    <w:rsid w:val="26D66D39"/>
    <w:rsid w:val="26DE22A7"/>
    <w:rsid w:val="26E31456"/>
    <w:rsid w:val="26E50D2A"/>
    <w:rsid w:val="26EC030B"/>
    <w:rsid w:val="26F176CF"/>
    <w:rsid w:val="26F337A9"/>
    <w:rsid w:val="26F92A28"/>
    <w:rsid w:val="2705317A"/>
    <w:rsid w:val="27103A7F"/>
    <w:rsid w:val="27182EAE"/>
    <w:rsid w:val="271B7152"/>
    <w:rsid w:val="271C0090"/>
    <w:rsid w:val="271D2AA0"/>
    <w:rsid w:val="272555CB"/>
    <w:rsid w:val="27286E69"/>
    <w:rsid w:val="272B4D3F"/>
    <w:rsid w:val="27337CE7"/>
    <w:rsid w:val="27346553"/>
    <w:rsid w:val="27425DBA"/>
    <w:rsid w:val="27435A51"/>
    <w:rsid w:val="275A02F0"/>
    <w:rsid w:val="275A34C6"/>
    <w:rsid w:val="27636E07"/>
    <w:rsid w:val="276415E7"/>
    <w:rsid w:val="276738C3"/>
    <w:rsid w:val="27677991"/>
    <w:rsid w:val="276A122F"/>
    <w:rsid w:val="276D6723"/>
    <w:rsid w:val="27780568"/>
    <w:rsid w:val="277A14C9"/>
    <w:rsid w:val="277C1254"/>
    <w:rsid w:val="277F7DFD"/>
    <w:rsid w:val="278E3170"/>
    <w:rsid w:val="279B763B"/>
    <w:rsid w:val="27A24E6D"/>
    <w:rsid w:val="27A952FB"/>
    <w:rsid w:val="27AC64E8"/>
    <w:rsid w:val="27AC7A9A"/>
    <w:rsid w:val="27B54BA0"/>
    <w:rsid w:val="27B84691"/>
    <w:rsid w:val="27C5486C"/>
    <w:rsid w:val="27CD5050"/>
    <w:rsid w:val="27D75D5F"/>
    <w:rsid w:val="27DA0163"/>
    <w:rsid w:val="27DC09B5"/>
    <w:rsid w:val="27DC21EE"/>
    <w:rsid w:val="27DD40F7"/>
    <w:rsid w:val="27DE348A"/>
    <w:rsid w:val="27DF39CB"/>
    <w:rsid w:val="27E76794"/>
    <w:rsid w:val="27F42B67"/>
    <w:rsid w:val="27F42D1C"/>
    <w:rsid w:val="280576EE"/>
    <w:rsid w:val="28177609"/>
    <w:rsid w:val="28180C8B"/>
    <w:rsid w:val="281A0EA7"/>
    <w:rsid w:val="281E4BA9"/>
    <w:rsid w:val="281F2148"/>
    <w:rsid w:val="282049BC"/>
    <w:rsid w:val="2826784C"/>
    <w:rsid w:val="28292E99"/>
    <w:rsid w:val="282C4737"/>
    <w:rsid w:val="282D0BDB"/>
    <w:rsid w:val="283D06F2"/>
    <w:rsid w:val="28426A77"/>
    <w:rsid w:val="284C2515"/>
    <w:rsid w:val="284D4DD9"/>
    <w:rsid w:val="285223EF"/>
    <w:rsid w:val="28575C58"/>
    <w:rsid w:val="28593214"/>
    <w:rsid w:val="285A12A4"/>
    <w:rsid w:val="28667C49"/>
    <w:rsid w:val="286A7BF1"/>
    <w:rsid w:val="28717098"/>
    <w:rsid w:val="287710DD"/>
    <w:rsid w:val="287D568E"/>
    <w:rsid w:val="287E31E4"/>
    <w:rsid w:val="28816013"/>
    <w:rsid w:val="28844573"/>
    <w:rsid w:val="2886653D"/>
    <w:rsid w:val="28943FB7"/>
    <w:rsid w:val="289447B6"/>
    <w:rsid w:val="28956780"/>
    <w:rsid w:val="289742A6"/>
    <w:rsid w:val="289E3C5D"/>
    <w:rsid w:val="28A30E9D"/>
    <w:rsid w:val="28A617A7"/>
    <w:rsid w:val="28B0474F"/>
    <w:rsid w:val="28B67B2F"/>
    <w:rsid w:val="28B906C0"/>
    <w:rsid w:val="28BA4F47"/>
    <w:rsid w:val="28C376C2"/>
    <w:rsid w:val="28D45DBA"/>
    <w:rsid w:val="28D67993"/>
    <w:rsid w:val="28DB0637"/>
    <w:rsid w:val="28E219C5"/>
    <w:rsid w:val="28E57B42"/>
    <w:rsid w:val="28ED036A"/>
    <w:rsid w:val="28F039B6"/>
    <w:rsid w:val="28F45255"/>
    <w:rsid w:val="28FB3492"/>
    <w:rsid w:val="290D71FC"/>
    <w:rsid w:val="29115E06"/>
    <w:rsid w:val="29121B7F"/>
    <w:rsid w:val="29181BE3"/>
    <w:rsid w:val="291A7161"/>
    <w:rsid w:val="291B5BFA"/>
    <w:rsid w:val="291C47AB"/>
    <w:rsid w:val="292377D9"/>
    <w:rsid w:val="292E44FB"/>
    <w:rsid w:val="293146FB"/>
    <w:rsid w:val="293164A9"/>
    <w:rsid w:val="29347D47"/>
    <w:rsid w:val="29375F8D"/>
    <w:rsid w:val="294207DB"/>
    <w:rsid w:val="29487354"/>
    <w:rsid w:val="29491A44"/>
    <w:rsid w:val="295108F9"/>
    <w:rsid w:val="29567A3B"/>
    <w:rsid w:val="296C128F"/>
    <w:rsid w:val="29724526"/>
    <w:rsid w:val="29762C7E"/>
    <w:rsid w:val="297C4D2D"/>
    <w:rsid w:val="29852351"/>
    <w:rsid w:val="29873F4C"/>
    <w:rsid w:val="29890093"/>
    <w:rsid w:val="298A4F2C"/>
    <w:rsid w:val="298B2C60"/>
    <w:rsid w:val="29944EF7"/>
    <w:rsid w:val="2997499E"/>
    <w:rsid w:val="299D6F78"/>
    <w:rsid w:val="29A05272"/>
    <w:rsid w:val="29A70519"/>
    <w:rsid w:val="29B11398"/>
    <w:rsid w:val="29B175E9"/>
    <w:rsid w:val="29B35110"/>
    <w:rsid w:val="29B52B83"/>
    <w:rsid w:val="29B844D4"/>
    <w:rsid w:val="29BB1E01"/>
    <w:rsid w:val="29BD4E21"/>
    <w:rsid w:val="29C24A4B"/>
    <w:rsid w:val="29CA3ABE"/>
    <w:rsid w:val="29CC4423"/>
    <w:rsid w:val="29D05CC2"/>
    <w:rsid w:val="29D307B4"/>
    <w:rsid w:val="29D60DFE"/>
    <w:rsid w:val="29D60F52"/>
    <w:rsid w:val="29DE3ED0"/>
    <w:rsid w:val="29EB48A9"/>
    <w:rsid w:val="29F15C38"/>
    <w:rsid w:val="29F174FC"/>
    <w:rsid w:val="29F6324E"/>
    <w:rsid w:val="29FF6BE5"/>
    <w:rsid w:val="2A0A2DD6"/>
    <w:rsid w:val="2A0B4F4C"/>
    <w:rsid w:val="2A0C2586"/>
    <w:rsid w:val="2A135BAE"/>
    <w:rsid w:val="2A2C0A1E"/>
    <w:rsid w:val="2A3049B2"/>
    <w:rsid w:val="2A315186"/>
    <w:rsid w:val="2A336250"/>
    <w:rsid w:val="2A355B25"/>
    <w:rsid w:val="2A3604ED"/>
    <w:rsid w:val="2A383867"/>
    <w:rsid w:val="2A4917DD"/>
    <w:rsid w:val="2A497822"/>
    <w:rsid w:val="2A513F3A"/>
    <w:rsid w:val="2A5D507B"/>
    <w:rsid w:val="2A6033D4"/>
    <w:rsid w:val="2A6567A6"/>
    <w:rsid w:val="2A6A7F5C"/>
    <w:rsid w:val="2A6B59EA"/>
    <w:rsid w:val="2A6E7289"/>
    <w:rsid w:val="2A701253"/>
    <w:rsid w:val="2A735687"/>
    <w:rsid w:val="2A73664D"/>
    <w:rsid w:val="2A764428"/>
    <w:rsid w:val="2A7A79DB"/>
    <w:rsid w:val="2A7B5585"/>
    <w:rsid w:val="2A814869"/>
    <w:rsid w:val="2A8457A8"/>
    <w:rsid w:val="2A8820F8"/>
    <w:rsid w:val="2A905451"/>
    <w:rsid w:val="2A9F38E6"/>
    <w:rsid w:val="2A9F5694"/>
    <w:rsid w:val="2A9F7442"/>
    <w:rsid w:val="2AAB228B"/>
    <w:rsid w:val="2AB05D2C"/>
    <w:rsid w:val="2AB253C7"/>
    <w:rsid w:val="2AB33C7E"/>
    <w:rsid w:val="2ABB0720"/>
    <w:rsid w:val="2ABE0808"/>
    <w:rsid w:val="2ABF1A03"/>
    <w:rsid w:val="2AC375D4"/>
    <w:rsid w:val="2ACD0453"/>
    <w:rsid w:val="2AD30526"/>
    <w:rsid w:val="2AE01EFD"/>
    <w:rsid w:val="2AE33E6F"/>
    <w:rsid w:val="2AF24BF6"/>
    <w:rsid w:val="2AFB6D6E"/>
    <w:rsid w:val="2AFC6642"/>
    <w:rsid w:val="2B097498"/>
    <w:rsid w:val="2B123D4B"/>
    <w:rsid w:val="2B124177"/>
    <w:rsid w:val="2B17347C"/>
    <w:rsid w:val="2B1E6ED8"/>
    <w:rsid w:val="2B253DEB"/>
    <w:rsid w:val="2B312790"/>
    <w:rsid w:val="2B317950"/>
    <w:rsid w:val="2B33475A"/>
    <w:rsid w:val="2B34402E"/>
    <w:rsid w:val="2B345DDC"/>
    <w:rsid w:val="2B363F06"/>
    <w:rsid w:val="2B3A5713"/>
    <w:rsid w:val="2B3B360F"/>
    <w:rsid w:val="2B4D3870"/>
    <w:rsid w:val="2B531109"/>
    <w:rsid w:val="2B5A6268"/>
    <w:rsid w:val="2B5B44B6"/>
    <w:rsid w:val="2B5B780D"/>
    <w:rsid w:val="2B5C6E81"/>
    <w:rsid w:val="2B5E554F"/>
    <w:rsid w:val="2B60128D"/>
    <w:rsid w:val="2B606BD1"/>
    <w:rsid w:val="2B6366C1"/>
    <w:rsid w:val="2B653354"/>
    <w:rsid w:val="2B6C5576"/>
    <w:rsid w:val="2B732DA8"/>
    <w:rsid w:val="2B74267D"/>
    <w:rsid w:val="2B764647"/>
    <w:rsid w:val="2B794137"/>
    <w:rsid w:val="2B7D17BD"/>
    <w:rsid w:val="2B8013BB"/>
    <w:rsid w:val="2B817E3F"/>
    <w:rsid w:val="2B82123D"/>
    <w:rsid w:val="2B865616"/>
    <w:rsid w:val="2B88437A"/>
    <w:rsid w:val="2B924CE2"/>
    <w:rsid w:val="2B9A4F9D"/>
    <w:rsid w:val="2B9E7CCD"/>
    <w:rsid w:val="2BA52AAD"/>
    <w:rsid w:val="2BAD6949"/>
    <w:rsid w:val="2BB84C5F"/>
    <w:rsid w:val="2BB876EE"/>
    <w:rsid w:val="2BC17995"/>
    <w:rsid w:val="2BC2715F"/>
    <w:rsid w:val="2BCD020C"/>
    <w:rsid w:val="2BD0157B"/>
    <w:rsid w:val="2BD25785"/>
    <w:rsid w:val="2BD34AB9"/>
    <w:rsid w:val="2BDA2E28"/>
    <w:rsid w:val="2BDA67DF"/>
    <w:rsid w:val="2BDB3B29"/>
    <w:rsid w:val="2BDD6318"/>
    <w:rsid w:val="2BE8029E"/>
    <w:rsid w:val="2BF037AA"/>
    <w:rsid w:val="2BF10171"/>
    <w:rsid w:val="2BF832AE"/>
    <w:rsid w:val="2BF855D4"/>
    <w:rsid w:val="2C041C52"/>
    <w:rsid w:val="2C0559CB"/>
    <w:rsid w:val="2C075B13"/>
    <w:rsid w:val="2C0A4D8F"/>
    <w:rsid w:val="2C376872"/>
    <w:rsid w:val="2C3A5674"/>
    <w:rsid w:val="2C416A03"/>
    <w:rsid w:val="2C4627F2"/>
    <w:rsid w:val="2C471F68"/>
    <w:rsid w:val="2C4D184B"/>
    <w:rsid w:val="2C5518F5"/>
    <w:rsid w:val="2C574478"/>
    <w:rsid w:val="2C620A7A"/>
    <w:rsid w:val="2C6B3A80"/>
    <w:rsid w:val="2C7212B2"/>
    <w:rsid w:val="2C7C300F"/>
    <w:rsid w:val="2C83526D"/>
    <w:rsid w:val="2C866B0B"/>
    <w:rsid w:val="2C8C13C3"/>
    <w:rsid w:val="2C8E3C12"/>
    <w:rsid w:val="2C904DE9"/>
    <w:rsid w:val="2C931228"/>
    <w:rsid w:val="2C963BB6"/>
    <w:rsid w:val="2C981871"/>
    <w:rsid w:val="2C9B11E6"/>
    <w:rsid w:val="2C9C067B"/>
    <w:rsid w:val="2CA23219"/>
    <w:rsid w:val="2CA62D0A"/>
    <w:rsid w:val="2CAB47C4"/>
    <w:rsid w:val="2CAC346C"/>
    <w:rsid w:val="2CB17563"/>
    <w:rsid w:val="2CB27900"/>
    <w:rsid w:val="2CB83131"/>
    <w:rsid w:val="2CBC14CC"/>
    <w:rsid w:val="2CCA6FF3"/>
    <w:rsid w:val="2CD72212"/>
    <w:rsid w:val="2CDE3F21"/>
    <w:rsid w:val="2CEA7284"/>
    <w:rsid w:val="2CEF46B1"/>
    <w:rsid w:val="2CF00429"/>
    <w:rsid w:val="2CFE2B46"/>
    <w:rsid w:val="2CFE66A2"/>
    <w:rsid w:val="2CFF2E26"/>
    <w:rsid w:val="2D012636"/>
    <w:rsid w:val="2D02313B"/>
    <w:rsid w:val="2D031F0A"/>
    <w:rsid w:val="2D031FF3"/>
    <w:rsid w:val="2D0D2D89"/>
    <w:rsid w:val="2D2E15FC"/>
    <w:rsid w:val="2D313F2E"/>
    <w:rsid w:val="2D391DD0"/>
    <w:rsid w:val="2D3C35B2"/>
    <w:rsid w:val="2D3C3AD3"/>
    <w:rsid w:val="2D4A5D8B"/>
    <w:rsid w:val="2D55028C"/>
    <w:rsid w:val="2D5B3AF4"/>
    <w:rsid w:val="2D6C3F53"/>
    <w:rsid w:val="2D6C5D01"/>
    <w:rsid w:val="2D764C9B"/>
    <w:rsid w:val="2D7959C9"/>
    <w:rsid w:val="2D825525"/>
    <w:rsid w:val="2D942CE3"/>
    <w:rsid w:val="2D984ECD"/>
    <w:rsid w:val="2D986AF6"/>
    <w:rsid w:val="2D9A2065"/>
    <w:rsid w:val="2D9B0395"/>
    <w:rsid w:val="2D9E1C33"/>
    <w:rsid w:val="2DA105FB"/>
    <w:rsid w:val="2DA32DF9"/>
    <w:rsid w:val="2DAC25A2"/>
    <w:rsid w:val="2DB1578C"/>
    <w:rsid w:val="2DB15E0A"/>
    <w:rsid w:val="2DBA2F11"/>
    <w:rsid w:val="2DC02D6E"/>
    <w:rsid w:val="2DC20777"/>
    <w:rsid w:val="2DC84F02"/>
    <w:rsid w:val="2DCF003E"/>
    <w:rsid w:val="2DCF44E2"/>
    <w:rsid w:val="2DD37B2E"/>
    <w:rsid w:val="2DD84890"/>
    <w:rsid w:val="2DDB4C35"/>
    <w:rsid w:val="2DDD275B"/>
    <w:rsid w:val="2DDF4725"/>
    <w:rsid w:val="2DE439E6"/>
    <w:rsid w:val="2DEC6DA9"/>
    <w:rsid w:val="2DEC7F0E"/>
    <w:rsid w:val="2DFC3958"/>
    <w:rsid w:val="2E003D62"/>
    <w:rsid w:val="2E063012"/>
    <w:rsid w:val="2E074505"/>
    <w:rsid w:val="2E075A2A"/>
    <w:rsid w:val="2E083C79"/>
    <w:rsid w:val="2E0E500A"/>
    <w:rsid w:val="2E0F16E3"/>
    <w:rsid w:val="2E100D83"/>
    <w:rsid w:val="2E115E8A"/>
    <w:rsid w:val="2E25064B"/>
    <w:rsid w:val="2E254102"/>
    <w:rsid w:val="2E35102B"/>
    <w:rsid w:val="2E474078"/>
    <w:rsid w:val="2E4A2D2A"/>
    <w:rsid w:val="2E4B3B69"/>
    <w:rsid w:val="2E5237ED"/>
    <w:rsid w:val="2E5A0250"/>
    <w:rsid w:val="2E5D564A"/>
    <w:rsid w:val="2E660EE2"/>
    <w:rsid w:val="2E67471B"/>
    <w:rsid w:val="2E6D094D"/>
    <w:rsid w:val="2E70537D"/>
    <w:rsid w:val="2E7A26A0"/>
    <w:rsid w:val="2E7C696F"/>
    <w:rsid w:val="2E7E2B5A"/>
    <w:rsid w:val="2E864AC3"/>
    <w:rsid w:val="2E943223"/>
    <w:rsid w:val="2EA12CAF"/>
    <w:rsid w:val="2EA724C3"/>
    <w:rsid w:val="2EA72D69"/>
    <w:rsid w:val="2EB22E6E"/>
    <w:rsid w:val="2EB8596B"/>
    <w:rsid w:val="2EB93809"/>
    <w:rsid w:val="2EBC5F6B"/>
    <w:rsid w:val="2ECB5F7A"/>
    <w:rsid w:val="2ED578D6"/>
    <w:rsid w:val="2EE0388D"/>
    <w:rsid w:val="2EE326EF"/>
    <w:rsid w:val="2EE713B8"/>
    <w:rsid w:val="2EE774E3"/>
    <w:rsid w:val="2EEC5850"/>
    <w:rsid w:val="2EED6FE4"/>
    <w:rsid w:val="2EF112FF"/>
    <w:rsid w:val="2EF75A9F"/>
    <w:rsid w:val="2F040286"/>
    <w:rsid w:val="2F0568D7"/>
    <w:rsid w:val="2F126434"/>
    <w:rsid w:val="2F1543B2"/>
    <w:rsid w:val="2F1A178D"/>
    <w:rsid w:val="2F1C03BA"/>
    <w:rsid w:val="2F1D0548"/>
    <w:rsid w:val="2F213B63"/>
    <w:rsid w:val="2F2265E7"/>
    <w:rsid w:val="2F2B1BEC"/>
    <w:rsid w:val="2F2D708F"/>
    <w:rsid w:val="2F2E19B7"/>
    <w:rsid w:val="2F3C0EE8"/>
    <w:rsid w:val="2F3C1703"/>
    <w:rsid w:val="2F3F1EA5"/>
    <w:rsid w:val="2F4A2072"/>
    <w:rsid w:val="2F590507"/>
    <w:rsid w:val="2F5C0536"/>
    <w:rsid w:val="2F5E5B1E"/>
    <w:rsid w:val="2F603644"/>
    <w:rsid w:val="2F670DA4"/>
    <w:rsid w:val="2F6A001E"/>
    <w:rsid w:val="2F6B3D97"/>
    <w:rsid w:val="2F6D50DC"/>
    <w:rsid w:val="2F765993"/>
    <w:rsid w:val="2F794705"/>
    <w:rsid w:val="2F837332"/>
    <w:rsid w:val="2F8758D1"/>
    <w:rsid w:val="2F8D3597"/>
    <w:rsid w:val="2F8F3F29"/>
    <w:rsid w:val="2F91042A"/>
    <w:rsid w:val="2F9B28CE"/>
    <w:rsid w:val="2FA4384D"/>
    <w:rsid w:val="2FA5334A"/>
    <w:rsid w:val="2FB74C3C"/>
    <w:rsid w:val="2FBD631A"/>
    <w:rsid w:val="2FCC0A00"/>
    <w:rsid w:val="2FD37C1B"/>
    <w:rsid w:val="2FD84912"/>
    <w:rsid w:val="2FDB0F1C"/>
    <w:rsid w:val="2FDE0A0C"/>
    <w:rsid w:val="2FE31AD2"/>
    <w:rsid w:val="2FE51D9B"/>
    <w:rsid w:val="2FE977B3"/>
    <w:rsid w:val="2FF26266"/>
    <w:rsid w:val="2FF80C51"/>
    <w:rsid w:val="2FFA2D68"/>
    <w:rsid w:val="30085A89"/>
    <w:rsid w:val="301601A6"/>
    <w:rsid w:val="30281C88"/>
    <w:rsid w:val="302E3742"/>
    <w:rsid w:val="30304791"/>
    <w:rsid w:val="3032573D"/>
    <w:rsid w:val="30330D58"/>
    <w:rsid w:val="303B7C0D"/>
    <w:rsid w:val="30564A47"/>
    <w:rsid w:val="305B6429"/>
    <w:rsid w:val="305E12B6"/>
    <w:rsid w:val="3062163D"/>
    <w:rsid w:val="306B7870"/>
    <w:rsid w:val="306E3B3E"/>
    <w:rsid w:val="30744ECD"/>
    <w:rsid w:val="307849BD"/>
    <w:rsid w:val="307A24E3"/>
    <w:rsid w:val="308A26FB"/>
    <w:rsid w:val="308C7191"/>
    <w:rsid w:val="308E5894"/>
    <w:rsid w:val="3091782D"/>
    <w:rsid w:val="30947B21"/>
    <w:rsid w:val="3095731D"/>
    <w:rsid w:val="30A752A2"/>
    <w:rsid w:val="30AD49A3"/>
    <w:rsid w:val="30B005FB"/>
    <w:rsid w:val="30B516D2"/>
    <w:rsid w:val="30B8300C"/>
    <w:rsid w:val="30C827FD"/>
    <w:rsid w:val="30C82928"/>
    <w:rsid w:val="30C85183"/>
    <w:rsid w:val="30D065A7"/>
    <w:rsid w:val="30D95414"/>
    <w:rsid w:val="30E04856"/>
    <w:rsid w:val="30E107B4"/>
    <w:rsid w:val="30F44BED"/>
    <w:rsid w:val="30F524B2"/>
    <w:rsid w:val="30F74D2A"/>
    <w:rsid w:val="30F921E3"/>
    <w:rsid w:val="30FB7EF8"/>
    <w:rsid w:val="31067DDF"/>
    <w:rsid w:val="31083F93"/>
    <w:rsid w:val="310A72C9"/>
    <w:rsid w:val="310B5831"/>
    <w:rsid w:val="310E0E7D"/>
    <w:rsid w:val="3110753A"/>
    <w:rsid w:val="31165068"/>
    <w:rsid w:val="311A5A74"/>
    <w:rsid w:val="311E5564"/>
    <w:rsid w:val="31202E64"/>
    <w:rsid w:val="31203028"/>
    <w:rsid w:val="312406A1"/>
    <w:rsid w:val="31321010"/>
    <w:rsid w:val="31350B00"/>
    <w:rsid w:val="31464ABB"/>
    <w:rsid w:val="314E7B9F"/>
    <w:rsid w:val="316B2774"/>
    <w:rsid w:val="317347C0"/>
    <w:rsid w:val="31735F4A"/>
    <w:rsid w:val="317C672F"/>
    <w:rsid w:val="31885F28"/>
    <w:rsid w:val="318A2BFA"/>
    <w:rsid w:val="31943A79"/>
    <w:rsid w:val="319C62FD"/>
    <w:rsid w:val="31A31F0E"/>
    <w:rsid w:val="31A85C9E"/>
    <w:rsid w:val="31AC5DB3"/>
    <w:rsid w:val="31AC7611"/>
    <w:rsid w:val="31B23EFF"/>
    <w:rsid w:val="31C93EE5"/>
    <w:rsid w:val="31CF4AB1"/>
    <w:rsid w:val="31D85FEC"/>
    <w:rsid w:val="31DF77E5"/>
    <w:rsid w:val="31E22A36"/>
    <w:rsid w:val="31EC5663"/>
    <w:rsid w:val="31F12C79"/>
    <w:rsid w:val="31F75BE8"/>
    <w:rsid w:val="31FA02F1"/>
    <w:rsid w:val="31FE0EF2"/>
    <w:rsid w:val="31FE2EEA"/>
    <w:rsid w:val="32083055"/>
    <w:rsid w:val="32086B94"/>
    <w:rsid w:val="321D60C2"/>
    <w:rsid w:val="322428EE"/>
    <w:rsid w:val="32292413"/>
    <w:rsid w:val="32317519"/>
    <w:rsid w:val="323D5EBE"/>
    <w:rsid w:val="324618C5"/>
    <w:rsid w:val="32472899"/>
    <w:rsid w:val="32476D3D"/>
    <w:rsid w:val="3248672F"/>
    <w:rsid w:val="324F5BF1"/>
    <w:rsid w:val="32513718"/>
    <w:rsid w:val="325B00F2"/>
    <w:rsid w:val="325E57DA"/>
    <w:rsid w:val="325F5934"/>
    <w:rsid w:val="325F5E35"/>
    <w:rsid w:val="3267118D"/>
    <w:rsid w:val="32680C99"/>
    <w:rsid w:val="32700042"/>
    <w:rsid w:val="32764BBD"/>
    <w:rsid w:val="327B13B3"/>
    <w:rsid w:val="327C40FA"/>
    <w:rsid w:val="327F64D7"/>
    <w:rsid w:val="32801B39"/>
    <w:rsid w:val="32886674"/>
    <w:rsid w:val="32892923"/>
    <w:rsid w:val="328F57BC"/>
    <w:rsid w:val="3290011F"/>
    <w:rsid w:val="32904F4F"/>
    <w:rsid w:val="32911D66"/>
    <w:rsid w:val="32926281"/>
    <w:rsid w:val="32990C1B"/>
    <w:rsid w:val="329A1838"/>
    <w:rsid w:val="329B165C"/>
    <w:rsid w:val="32A530C3"/>
    <w:rsid w:val="32A96E69"/>
    <w:rsid w:val="32AB72CC"/>
    <w:rsid w:val="32AC3044"/>
    <w:rsid w:val="32BD2BA4"/>
    <w:rsid w:val="32CE4D68"/>
    <w:rsid w:val="32D560F7"/>
    <w:rsid w:val="32D61E6F"/>
    <w:rsid w:val="32F04CDF"/>
    <w:rsid w:val="32F20A02"/>
    <w:rsid w:val="32F84DF3"/>
    <w:rsid w:val="32F96100"/>
    <w:rsid w:val="330971C6"/>
    <w:rsid w:val="33161154"/>
    <w:rsid w:val="331E0A5A"/>
    <w:rsid w:val="33266952"/>
    <w:rsid w:val="332907DD"/>
    <w:rsid w:val="33437504"/>
    <w:rsid w:val="33484B1B"/>
    <w:rsid w:val="33492641"/>
    <w:rsid w:val="3351256F"/>
    <w:rsid w:val="33557238"/>
    <w:rsid w:val="33596D28"/>
    <w:rsid w:val="335F3F1B"/>
    <w:rsid w:val="33611E58"/>
    <w:rsid w:val="33615B8B"/>
    <w:rsid w:val="33641229"/>
    <w:rsid w:val="33686F6B"/>
    <w:rsid w:val="336D075B"/>
    <w:rsid w:val="336D4581"/>
    <w:rsid w:val="336F7604"/>
    <w:rsid w:val="33721B98"/>
    <w:rsid w:val="33770F5C"/>
    <w:rsid w:val="337E0CCA"/>
    <w:rsid w:val="33835B53"/>
    <w:rsid w:val="33925D96"/>
    <w:rsid w:val="33941B0E"/>
    <w:rsid w:val="339744FD"/>
    <w:rsid w:val="3398339F"/>
    <w:rsid w:val="33A4500D"/>
    <w:rsid w:val="33AD2BD0"/>
    <w:rsid w:val="33B07C43"/>
    <w:rsid w:val="33B2468A"/>
    <w:rsid w:val="33C56533"/>
    <w:rsid w:val="33CA4338"/>
    <w:rsid w:val="33DF6B01"/>
    <w:rsid w:val="33E04D53"/>
    <w:rsid w:val="33E234ED"/>
    <w:rsid w:val="33E44A6B"/>
    <w:rsid w:val="33E72BFB"/>
    <w:rsid w:val="33F31A49"/>
    <w:rsid w:val="33F47570"/>
    <w:rsid w:val="33F513F6"/>
    <w:rsid w:val="33FC22EA"/>
    <w:rsid w:val="33FC76B3"/>
    <w:rsid w:val="340547BA"/>
    <w:rsid w:val="34176CF9"/>
    <w:rsid w:val="34225749"/>
    <w:rsid w:val="342310E4"/>
    <w:rsid w:val="342C3BF8"/>
    <w:rsid w:val="342D4AAC"/>
    <w:rsid w:val="342E0C37"/>
    <w:rsid w:val="34330352"/>
    <w:rsid w:val="343B467F"/>
    <w:rsid w:val="344526BD"/>
    <w:rsid w:val="344C063B"/>
    <w:rsid w:val="345117AD"/>
    <w:rsid w:val="34525525"/>
    <w:rsid w:val="34550321"/>
    <w:rsid w:val="345E722D"/>
    <w:rsid w:val="346040E6"/>
    <w:rsid w:val="34630883"/>
    <w:rsid w:val="34675E29"/>
    <w:rsid w:val="346E139E"/>
    <w:rsid w:val="34873421"/>
    <w:rsid w:val="349A1906"/>
    <w:rsid w:val="349C73ED"/>
    <w:rsid w:val="34A96EF5"/>
    <w:rsid w:val="34AF4725"/>
    <w:rsid w:val="34B65AB4"/>
    <w:rsid w:val="34C16D10"/>
    <w:rsid w:val="34C93A39"/>
    <w:rsid w:val="34CB7C0B"/>
    <w:rsid w:val="34D0514C"/>
    <w:rsid w:val="34D24075"/>
    <w:rsid w:val="34D507EF"/>
    <w:rsid w:val="34D60A46"/>
    <w:rsid w:val="34DB376C"/>
    <w:rsid w:val="34E24AFB"/>
    <w:rsid w:val="34E40873"/>
    <w:rsid w:val="34E97C37"/>
    <w:rsid w:val="35005ECF"/>
    <w:rsid w:val="35044A71"/>
    <w:rsid w:val="350502A9"/>
    <w:rsid w:val="350C70EE"/>
    <w:rsid w:val="35156C7E"/>
    <w:rsid w:val="35196C4D"/>
    <w:rsid w:val="351A4885"/>
    <w:rsid w:val="351A6043"/>
    <w:rsid w:val="351B704F"/>
    <w:rsid w:val="351D0231"/>
    <w:rsid w:val="35260E8C"/>
    <w:rsid w:val="3529272A"/>
    <w:rsid w:val="35386E11"/>
    <w:rsid w:val="353A5FA1"/>
    <w:rsid w:val="353D22BD"/>
    <w:rsid w:val="354632DC"/>
    <w:rsid w:val="35496928"/>
    <w:rsid w:val="354D1DB2"/>
    <w:rsid w:val="35527ED3"/>
    <w:rsid w:val="355359F9"/>
    <w:rsid w:val="35544D36"/>
    <w:rsid w:val="35562C81"/>
    <w:rsid w:val="355C48AD"/>
    <w:rsid w:val="356979BD"/>
    <w:rsid w:val="357D65D2"/>
    <w:rsid w:val="357F67EE"/>
    <w:rsid w:val="35831E3A"/>
    <w:rsid w:val="3587563F"/>
    <w:rsid w:val="358838F4"/>
    <w:rsid w:val="35885E60"/>
    <w:rsid w:val="358F487A"/>
    <w:rsid w:val="35942299"/>
    <w:rsid w:val="3599165E"/>
    <w:rsid w:val="359A53D6"/>
    <w:rsid w:val="35AB313F"/>
    <w:rsid w:val="35AF70D3"/>
    <w:rsid w:val="35B25CD8"/>
    <w:rsid w:val="35B27D87"/>
    <w:rsid w:val="35C17D2A"/>
    <w:rsid w:val="35C45C00"/>
    <w:rsid w:val="35C64805"/>
    <w:rsid w:val="35C83CF1"/>
    <w:rsid w:val="35C91817"/>
    <w:rsid w:val="35CD7559"/>
    <w:rsid w:val="35D7578A"/>
    <w:rsid w:val="35E03AC1"/>
    <w:rsid w:val="35E41B3B"/>
    <w:rsid w:val="35E84393"/>
    <w:rsid w:val="35ED6CD1"/>
    <w:rsid w:val="35FC1BEC"/>
    <w:rsid w:val="360B1E2F"/>
    <w:rsid w:val="360D1549"/>
    <w:rsid w:val="360D55E3"/>
    <w:rsid w:val="3619454C"/>
    <w:rsid w:val="361B02C4"/>
    <w:rsid w:val="36260A17"/>
    <w:rsid w:val="362A0508"/>
    <w:rsid w:val="362A64C1"/>
    <w:rsid w:val="363347DE"/>
    <w:rsid w:val="363650FE"/>
    <w:rsid w:val="36401C52"/>
    <w:rsid w:val="36525CB0"/>
    <w:rsid w:val="365D6B2F"/>
    <w:rsid w:val="36681B2E"/>
    <w:rsid w:val="36703254"/>
    <w:rsid w:val="36721EAF"/>
    <w:rsid w:val="3679323D"/>
    <w:rsid w:val="367A7A7C"/>
    <w:rsid w:val="367B0D63"/>
    <w:rsid w:val="367D0F7F"/>
    <w:rsid w:val="36835E6A"/>
    <w:rsid w:val="368A369C"/>
    <w:rsid w:val="368C4B94"/>
    <w:rsid w:val="36965B9D"/>
    <w:rsid w:val="36993E75"/>
    <w:rsid w:val="369E2CA4"/>
    <w:rsid w:val="36A04C6E"/>
    <w:rsid w:val="36A44F75"/>
    <w:rsid w:val="36BD5820"/>
    <w:rsid w:val="36C2213A"/>
    <w:rsid w:val="36CA3A99"/>
    <w:rsid w:val="36CC7811"/>
    <w:rsid w:val="36CD7355"/>
    <w:rsid w:val="36D82651"/>
    <w:rsid w:val="36DF60C0"/>
    <w:rsid w:val="36E27AE8"/>
    <w:rsid w:val="36E5644B"/>
    <w:rsid w:val="36F823B4"/>
    <w:rsid w:val="36FD34CA"/>
    <w:rsid w:val="3700570C"/>
    <w:rsid w:val="37076A9B"/>
    <w:rsid w:val="37117919"/>
    <w:rsid w:val="37170710"/>
    <w:rsid w:val="37184804"/>
    <w:rsid w:val="3727535F"/>
    <w:rsid w:val="372F07D3"/>
    <w:rsid w:val="373F79DE"/>
    <w:rsid w:val="3747686A"/>
    <w:rsid w:val="3748279A"/>
    <w:rsid w:val="37531CE0"/>
    <w:rsid w:val="375515B4"/>
    <w:rsid w:val="375546D0"/>
    <w:rsid w:val="375D4D8C"/>
    <w:rsid w:val="375F2433"/>
    <w:rsid w:val="37661591"/>
    <w:rsid w:val="376B702A"/>
    <w:rsid w:val="376E6505"/>
    <w:rsid w:val="37711EAC"/>
    <w:rsid w:val="37734130"/>
    <w:rsid w:val="377562DE"/>
    <w:rsid w:val="3776777C"/>
    <w:rsid w:val="379462C8"/>
    <w:rsid w:val="37985945"/>
    <w:rsid w:val="379C71E3"/>
    <w:rsid w:val="37A147F9"/>
    <w:rsid w:val="37A724E2"/>
    <w:rsid w:val="37A75B88"/>
    <w:rsid w:val="37B41185"/>
    <w:rsid w:val="37B72BD7"/>
    <w:rsid w:val="37D746BF"/>
    <w:rsid w:val="37E4576F"/>
    <w:rsid w:val="37EC0A12"/>
    <w:rsid w:val="37ED3EE3"/>
    <w:rsid w:val="37F65BD2"/>
    <w:rsid w:val="37F92887"/>
    <w:rsid w:val="37FE7616"/>
    <w:rsid w:val="38066D52"/>
    <w:rsid w:val="38120910"/>
    <w:rsid w:val="381A45AC"/>
    <w:rsid w:val="38251DE4"/>
    <w:rsid w:val="382E3A24"/>
    <w:rsid w:val="382F0057"/>
    <w:rsid w:val="382F1BF9"/>
    <w:rsid w:val="38303089"/>
    <w:rsid w:val="38327B47"/>
    <w:rsid w:val="3834566E"/>
    <w:rsid w:val="383513E6"/>
    <w:rsid w:val="38397128"/>
    <w:rsid w:val="383A61B4"/>
    <w:rsid w:val="383C4522"/>
    <w:rsid w:val="38432462"/>
    <w:rsid w:val="38433B03"/>
    <w:rsid w:val="384412E5"/>
    <w:rsid w:val="385E093C"/>
    <w:rsid w:val="386175C1"/>
    <w:rsid w:val="386823E3"/>
    <w:rsid w:val="386829C1"/>
    <w:rsid w:val="386E4498"/>
    <w:rsid w:val="387871D4"/>
    <w:rsid w:val="38787C50"/>
    <w:rsid w:val="387C3766"/>
    <w:rsid w:val="389832F3"/>
    <w:rsid w:val="389E51DD"/>
    <w:rsid w:val="38AC5B9E"/>
    <w:rsid w:val="38B16CBE"/>
    <w:rsid w:val="38C03BB6"/>
    <w:rsid w:val="38C22C79"/>
    <w:rsid w:val="38C61715"/>
    <w:rsid w:val="38C70CF9"/>
    <w:rsid w:val="38C764E2"/>
    <w:rsid w:val="38D2177D"/>
    <w:rsid w:val="38D772B2"/>
    <w:rsid w:val="38DD4789"/>
    <w:rsid w:val="38E057F5"/>
    <w:rsid w:val="38E70932"/>
    <w:rsid w:val="38F35529"/>
    <w:rsid w:val="38F7748A"/>
    <w:rsid w:val="390D035C"/>
    <w:rsid w:val="390E4EE8"/>
    <w:rsid w:val="390F482E"/>
    <w:rsid w:val="3912603A"/>
    <w:rsid w:val="391F631E"/>
    <w:rsid w:val="39202096"/>
    <w:rsid w:val="392179D8"/>
    <w:rsid w:val="392576AC"/>
    <w:rsid w:val="3929068B"/>
    <w:rsid w:val="39292CF8"/>
    <w:rsid w:val="392A4E38"/>
    <w:rsid w:val="392C0A3B"/>
    <w:rsid w:val="392E47B3"/>
    <w:rsid w:val="392F62DD"/>
    <w:rsid w:val="393A4F06"/>
    <w:rsid w:val="39445D84"/>
    <w:rsid w:val="3945106A"/>
    <w:rsid w:val="39557F91"/>
    <w:rsid w:val="395D505B"/>
    <w:rsid w:val="395F2BBE"/>
    <w:rsid w:val="3961403C"/>
    <w:rsid w:val="396957EB"/>
    <w:rsid w:val="396B43DA"/>
    <w:rsid w:val="396C7089"/>
    <w:rsid w:val="39736669"/>
    <w:rsid w:val="39783C80"/>
    <w:rsid w:val="397877DC"/>
    <w:rsid w:val="397D3044"/>
    <w:rsid w:val="398B3413"/>
    <w:rsid w:val="398E34A3"/>
    <w:rsid w:val="399376F9"/>
    <w:rsid w:val="399D1235"/>
    <w:rsid w:val="39A27F0D"/>
    <w:rsid w:val="39A36046"/>
    <w:rsid w:val="39A849EE"/>
    <w:rsid w:val="39A93E39"/>
    <w:rsid w:val="39B74673"/>
    <w:rsid w:val="39BF2767"/>
    <w:rsid w:val="39C600D4"/>
    <w:rsid w:val="39C944DB"/>
    <w:rsid w:val="39D10C7B"/>
    <w:rsid w:val="39D1227C"/>
    <w:rsid w:val="39D72754"/>
    <w:rsid w:val="39DB72F7"/>
    <w:rsid w:val="39F22C55"/>
    <w:rsid w:val="3A02042E"/>
    <w:rsid w:val="3A070F88"/>
    <w:rsid w:val="3A0B20C4"/>
    <w:rsid w:val="3A127681"/>
    <w:rsid w:val="3A1A4D37"/>
    <w:rsid w:val="3A200B9C"/>
    <w:rsid w:val="3A2A5F6F"/>
    <w:rsid w:val="3A2D05C6"/>
    <w:rsid w:val="3A30455A"/>
    <w:rsid w:val="3A3057C7"/>
    <w:rsid w:val="3A40479E"/>
    <w:rsid w:val="3A4533BA"/>
    <w:rsid w:val="3A4B3142"/>
    <w:rsid w:val="3A52002D"/>
    <w:rsid w:val="3A52627F"/>
    <w:rsid w:val="3A557B1D"/>
    <w:rsid w:val="3A575643"/>
    <w:rsid w:val="3A5913BB"/>
    <w:rsid w:val="3A642C89"/>
    <w:rsid w:val="3A683B4A"/>
    <w:rsid w:val="3A6D130B"/>
    <w:rsid w:val="3A736762"/>
    <w:rsid w:val="3A7B57D6"/>
    <w:rsid w:val="3A7E4FB6"/>
    <w:rsid w:val="3A802DEC"/>
    <w:rsid w:val="3A803796"/>
    <w:rsid w:val="3A8C23F6"/>
    <w:rsid w:val="3A970472"/>
    <w:rsid w:val="3A9E14C4"/>
    <w:rsid w:val="3A9E3272"/>
    <w:rsid w:val="3AA34D2C"/>
    <w:rsid w:val="3AAB1CD8"/>
    <w:rsid w:val="3AB17449"/>
    <w:rsid w:val="3AB605BC"/>
    <w:rsid w:val="3ABB3704"/>
    <w:rsid w:val="3AC21C48"/>
    <w:rsid w:val="3AC30F2B"/>
    <w:rsid w:val="3AC3316C"/>
    <w:rsid w:val="3AC3717D"/>
    <w:rsid w:val="3ACD0645"/>
    <w:rsid w:val="3AD60861"/>
    <w:rsid w:val="3AD80AAB"/>
    <w:rsid w:val="3AD81B72"/>
    <w:rsid w:val="3AD82C28"/>
    <w:rsid w:val="3ADB2718"/>
    <w:rsid w:val="3ADD1FEC"/>
    <w:rsid w:val="3AE02BAB"/>
    <w:rsid w:val="3AEC28F6"/>
    <w:rsid w:val="3AED4267"/>
    <w:rsid w:val="3AF61300"/>
    <w:rsid w:val="3AFF6407"/>
    <w:rsid w:val="3B007A89"/>
    <w:rsid w:val="3B066997"/>
    <w:rsid w:val="3B070E17"/>
    <w:rsid w:val="3B0741BF"/>
    <w:rsid w:val="3B0804BA"/>
    <w:rsid w:val="3B083392"/>
    <w:rsid w:val="3B0C4680"/>
    <w:rsid w:val="3B0D21A6"/>
    <w:rsid w:val="3B163750"/>
    <w:rsid w:val="3B183024"/>
    <w:rsid w:val="3B19209B"/>
    <w:rsid w:val="3B2D73A2"/>
    <w:rsid w:val="3B3C0FAF"/>
    <w:rsid w:val="3B3D2819"/>
    <w:rsid w:val="3B443E1A"/>
    <w:rsid w:val="3B4F0285"/>
    <w:rsid w:val="3B4F51E7"/>
    <w:rsid w:val="3B5927FB"/>
    <w:rsid w:val="3B5A363D"/>
    <w:rsid w:val="3B6B3A9C"/>
    <w:rsid w:val="3B7A1B25"/>
    <w:rsid w:val="3B7C3B39"/>
    <w:rsid w:val="3B7F12F6"/>
    <w:rsid w:val="3B810614"/>
    <w:rsid w:val="3B86406C"/>
    <w:rsid w:val="3B866FF0"/>
    <w:rsid w:val="3B8D1ED6"/>
    <w:rsid w:val="3B8D45DF"/>
    <w:rsid w:val="3B9518B6"/>
    <w:rsid w:val="3B9603ED"/>
    <w:rsid w:val="3B9823B7"/>
    <w:rsid w:val="3BAD594C"/>
    <w:rsid w:val="3BB84807"/>
    <w:rsid w:val="3BBC60A6"/>
    <w:rsid w:val="3BC1190E"/>
    <w:rsid w:val="3BC60CD2"/>
    <w:rsid w:val="3BD50B7B"/>
    <w:rsid w:val="3BD50F16"/>
    <w:rsid w:val="3BD66A3C"/>
    <w:rsid w:val="3BD86C58"/>
    <w:rsid w:val="3BDC22A4"/>
    <w:rsid w:val="3BE54E63"/>
    <w:rsid w:val="3BE70C49"/>
    <w:rsid w:val="3BE86E9B"/>
    <w:rsid w:val="3BEC76EA"/>
    <w:rsid w:val="3C006985"/>
    <w:rsid w:val="3C0D06AF"/>
    <w:rsid w:val="3C125CC6"/>
    <w:rsid w:val="3C2033DF"/>
    <w:rsid w:val="3C2679C3"/>
    <w:rsid w:val="3C2E5D16"/>
    <w:rsid w:val="3C304ECC"/>
    <w:rsid w:val="3C3B434F"/>
    <w:rsid w:val="3C3C08E3"/>
    <w:rsid w:val="3C44609B"/>
    <w:rsid w:val="3C53008C"/>
    <w:rsid w:val="3C5A58BF"/>
    <w:rsid w:val="3C5B2F97"/>
    <w:rsid w:val="3C5D0A77"/>
    <w:rsid w:val="3C61109A"/>
    <w:rsid w:val="3C6D73A0"/>
    <w:rsid w:val="3C722C08"/>
    <w:rsid w:val="3C776471"/>
    <w:rsid w:val="3C783A46"/>
    <w:rsid w:val="3C795D45"/>
    <w:rsid w:val="3C7A386B"/>
    <w:rsid w:val="3C8178B5"/>
    <w:rsid w:val="3C85541D"/>
    <w:rsid w:val="3CA32DC2"/>
    <w:rsid w:val="3CAF5C0A"/>
    <w:rsid w:val="3CB3170C"/>
    <w:rsid w:val="3CBB4F2E"/>
    <w:rsid w:val="3CCF005B"/>
    <w:rsid w:val="3CD155B4"/>
    <w:rsid w:val="3CE80A10"/>
    <w:rsid w:val="3CE824D8"/>
    <w:rsid w:val="3CF17FD1"/>
    <w:rsid w:val="3CF65E3F"/>
    <w:rsid w:val="3D080C3E"/>
    <w:rsid w:val="3D1E60DF"/>
    <w:rsid w:val="3D26736E"/>
    <w:rsid w:val="3D2C1009"/>
    <w:rsid w:val="3D2F28A7"/>
    <w:rsid w:val="3D343881"/>
    <w:rsid w:val="3D416706"/>
    <w:rsid w:val="3D4F4CF8"/>
    <w:rsid w:val="3D567FA2"/>
    <w:rsid w:val="3D5E764C"/>
    <w:rsid w:val="3D712EC0"/>
    <w:rsid w:val="3D766728"/>
    <w:rsid w:val="3D7C3859"/>
    <w:rsid w:val="3D8E6121"/>
    <w:rsid w:val="3D9168F3"/>
    <w:rsid w:val="3D94095C"/>
    <w:rsid w:val="3D95451F"/>
    <w:rsid w:val="3D98044D"/>
    <w:rsid w:val="3D98669F"/>
    <w:rsid w:val="3DA167F8"/>
    <w:rsid w:val="3DAF71B4"/>
    <w:rsid w:val="3DB01C3A"/>
    <w:rsid w:val="3DB86D41"/>
    <w:rsid w:val="3DBC3C24"/>
    <w:rsid w:val="3DC362E6"/>
    <w:rsid w:val="3DC56972"/>
    <w:rsid w:val="3DC70D32"/>
    <w:rsid w:val="3DD11945"/>
    <w:rsid w:val="3DD551FD"/>
    <w:rsid w:val="3DE03560"/>
    <w:rsid w:val="3DE16E67"/>
    <w:rsid w:val="3DE364E4"/>
    <w:rsid w:val="3DE94F69"/>
    <w:rsid w:val="3DEA67CE"/>
    <w:rsid w:val="3DF04AA9"/>
    <w:rsid w:val="3DF06474"/>
    <w:rsid w:val="3DF1402B"/>
    <w:rsid w:val="3DF150A0"/>
    <w:rsid w:val="3DF67F6A"/>
    <w:rsid w:val="3DF8713D"/>
    <w:rsid w:val="3E012496"/>
    <w:rsid w:val="3E043D34"/>
    <w:rsid w:val="3E09759C"/>
    <w:rsid w:val="3E136F34"/>
    <w:rsid w:val="3E1C72D0"/>
    <w:rsid w:val="3E1F320A"/>
    <w:rsid w:val="3E251EF5"/>
    <w:rsid w:val="3E287A22"/>
    <w:rsid w:val="3E2D5039"/>
    <w:rsid w:val="3E2E7003"/>
    <w:rsid w:val="3E32264F"/>
    <w:rsid w:val="3E3363B2"/>
    <w:rsid w:val="3E481E73"/>
    <w:rsid w:val="3E522CF1"/>
    <w:rsid w:val="3E5A1BA6"/>
    <w:rsid w:val="3E5C147A"/>
    <w:rsid w:val="3E63205A"/>
    <w:rsid w:val="3E646581"/>
    <w:rsid w:val="3E6818BC"/>
    <w:rsid w:val="3E6B3412"/>
    <w:rsid w:val="3E6E73FF"/>
    <w:rsid w:val="3E6F38A3"/>
    <w:rsid w:val="3E706050"/>
    <w:rsid w:val="3E737A4C"/>
    <w:rsid w:val="3E754DC7"/>
    <w:rsid w:val="3E7C4D5A"/>
    <w:rsid w:val="3E7D5847"/>
    <w:rsid w:val="3E8135D7"/>
    <w:rsid w:val="3E833B3B"/>
    <w:rsid w:val="3E84008B"/>
    <w:rsid w:val="3E890375"/>
    <w:rsid w:val="3E94330A"/>
    <w:rsid w:val="3E9440FA"/>
    <w:rsid w:val="3E9B7303"/>
    <w:rsid w:val="3E9C5D1B"/>
    <w:rsid w:val="3EAE391C"/>
    <w:rsid w:val="3EB017C6"/>
    <w:rsid w:val="3EC71707"/>
    <w:rsid w:val="3EC864B8"/>
    <w:rsid w:val="3ED119A3"/>
    <w:rsid w:val="3EDA33EE"/>
    <w:rsid w:val="3EE020AB"/>
    <w:rsid w:val="3EE576C2"/>
    <w:rsid w:val="3EEA4CD8"/>
    <w:rsid w:val="3EEB5BD3"/>
    <w:rsid w:val="3EEF4D57"/>
    <w:rsid w:val="3EF148F5"/>
    <w:rsid w:val="3EF36B45"/>
    <w:rsid w:val="3EF47905"/>
    <w:rsid w:val="3EF7687F"/>
    <w:rsid w:val="3EF94085"/>
    <w:rsid w:val="3EFA405E"/>
    <w:rsid w:val="3F1E3B25"/>
    <w:rsid w:val="3F2261CC"/>
    <w:rsid w:val="3F2266ED"/>
    <w:rsid w:val="3F23468E"/>
    <w:rsid w:val="3F243F83"/>
    <w:rsid w:val="3F2B67B3"/>
    <w:rsid w:val="3F2B709E"/>
    <w:rsid w:val="3F3013EB"/>
    <w:rsid w:val="3F327A47"/>
    <w:rsid w:val="3F430443"/>
    <w:rsid w:val="3F4A5777"/>
    <w:rsid w:val="3F4C4E24"/>
    <w:rsid w:val="3F54210F"/>
    <w:rsid w:val="3F5612C1"/>
    <w:rsid w:val="3F5900B0"/>
    <w:rsid w:val="3F5C04AC"/>
    <w:rsid w:val="3F703557"/>
    <w:rsid w:val="3F740A45"/>
    <w:rsid w:val="3F7B6278"/>
    <w:rsid w:val="3F8F1F95"/>
    <w:rsid w:val="3F945626"/>
    <w:rsid w:val="3FA0183A"/>
    <w:rsid w:val="3FB377C0"/>
    <w:rsid w:val="3FBE7F13"/>
    <w:rsid w:val="3FC0590E"/>
    <w:rsid w:val="3FC2032D"/>
    <w:rsid w:val="3FCE63A8"/>
    <w:rsid w:val="3FD87226"/>
    <w:rsid w:val="3FE1257F"/>
    <w:rsid w:val="3FE5557A"/>
    <w:rsid w:val="3FEA152B"/>
    <w:rsid w:val="3FEE0071"/>
    <w:rsid w:val="3FFE4076"/>
    <w:rsid w:val="400B13AA"/>
    <w:rsid w:val="40147FD7"/>
    <w:rsid w:val="40196395"/>
    <w:rsid w:val="401F5E62"/>
    <w:rsid w:val="40274478"/>
    <w:rsid w:val="4028272F"/>
    <w:rsid w:val="403135E9"/>
    <w:rsid w:val="403536BB"/>
    <w:rsid w:val="40355EA9"/>
    <w:rsid w:val="403A40E6"/>
    <w:rsid w:val="403A795B"/>
    <w:rsid w:val="403B1563"/>
    <w:rsid w:val="40415E6A"/>
    <w:rsid w:val="40445B2C"/>
    <w:rsid w:val="40490124"/>
    <w:rsid w:val="4059102A"/>
    <w:rsid w:val="405C5F4A"/>
    <w:rsid w:val="405D37F9"/>
    <w:rsid w:val="4061546E"/>
    <w:rsid w:val="406356BE"/>
    <w:rsid w:val="40640ABA"/>
    <w:rsid w:val="406805AA"/>
    <w:rsid w:val="40752CC7"/>
    <w:rsid w:val="40782FEA"/>
    <w:rsid w:val="40793F3F"/>
    <w:rsid w:val="408621A7"/>
    <w:rsid w:val="409F1AF2"/>
    <w:rsid w:val="409F7D44"/>
    <w:rsid w:val="40A030D6"/>
    <w:rsid w:val="40A62E81"/>
    <w:rsid w:val="40A738A5"/>
    <w:rsid w:val="40AF01C1"/>
    <w:rsid w:val="40AF3B40"/>
    <w:rsid w:val="40B557B9"/>
    <w:rsid w:val="40BB2BF9"/>
    <w:rsid w:val="40C003E6"/>
    <w:rsid w:val="40C96B6F"/>
    <w:rsid w:val="40D64955"/>
    <w:rsid w:val="40D741AF"/>
    <w:rsid w:val="40E83499"/>
    <w:rsid w:val="40EF4827"/>
    <w:rsid w:val="40F57964"/>
    <w:rsid w:val="40FA31CC"/>
    <w:rsid w:val="40FD796C"/>
    <w:rsid w:val="410B53D9"/>
    <w:rsid w:val="41110C42"/>
    <w:rsid w:val="41123C58"/>
    <w:rsid w:val="41182D1A"/>
    <w:rsid w:val="411A73CB"/>
    <w:rsid w:val="413353D4"/>
    <w:rsid w:val="41336AA3"/>
    <w:rsid w:val="4134048C"/>
    <w:rsid w:val="41373CF9"/>
    <w:rsid w:val="413D7725"/>
    <w:rsid w:val="41427690"/>
    <w:rsid w:val="41456B3D"/>
    <w:rsid w:val="414803DC"/>
    <w:rsid w:val="4157061F"/>
    <w:rsid w:val="415C7589"/>
    <w:rsid w:val="41605419"/>
    <w:rsid w:val="416861AE"/>
    <w:rsid w:val="41726934"/>
    <w:rsid w:val="41732ED5"/>
    <w:rsid w:val="4176763F"/>
    <w:rsid w:val="418036D2"/>
    <w:rsid w:val="4181131A"/>
    <w:rsid w:val="41841179"/>
    <w:rsid w:val="41856C50"/>
    <w:rsid w:val="41856F3A"/>
    <w:rsid w:val="419716E1"/>
    <w:rsid w:val="419E624E"/>
    <w:rsid w:val="41A339E2"/>
    <w:rsid w:val="41A46E67"/>
    <w:rsid w:val="41AC2719"/>
    <w:rsid w:val="41AF045B"/>
    <w:rsid w:val="41B25933"/>
    <w:rsid w:val="41B25E54"/>
    <w:rsid w:val="41B83344"/>
    <w:rsid w:val="41B8730F"/>
    <w:rsid w:val="41C5009F"/>
    <w:rsid w:val="41C53741"/>
    <w:rsid w:val="41C61933"/>
    <w:rsid w:val="41C932CA"/>
    <w:rsid w:val="41C95079"/>
    <w:rsid w:val="41CA2021"/>
    <w:rsid w:val="41CE2FC4"/>
    <w:rsid w:val="41D66F27"/>
    <w:rsid w:val="41DC353F"/>
    <w:rsid w:val="41DE664A"/>
    <w:rsid w:val="41E2497C"/>
    <w:rsid w:val="41E51EAC"/>
    <w:rsid w:val="41E579D9"/>
    <w:rsid w:val="41F540C0"/>
    <w:rsid w:val="41F63994"/>
    <w:rsid w:val="41FD11C6"/>
    <w:rsid w:val="41FD2F74"/>
    <w:rsid w:val="4207560F"/>
    <w:rsid w:val="420A5691"/>
    <w:rsid w:val="42114C71"/>
    <w:rsid w:val="421309EA"/>
    <w:rsid w:val="42181B5C"/>
    <w:rsid w:val="421B528D"/>
    <w:rsid w:val="421F113C"/>
    <w:rsid w:val="422C4AC9"/>
    <w:rsid w:val="42396E11"/>
    <w:rsid w:val="423A4637"/>
    <w:rsid w:val="423C04CE"/>
    <w:rsid w:val="42442951"/>
    <w:rsid w:val="42497F67"/>
    <w:rsid w:val="42625FA7"/>
    <w:rsid w:val="426D634C"/>
    <w:rsid w:val="426E5C20"/>
    <w:rsid w:val="427174BE"/>
    <w:rsid w:val="42731488"/>
    <w:rsid w:val="427D40B5"/>
    <w:rsid w:val="4283791D"/>
    <w:rsid w:val="428C3CA7"/>
    <w:rsid w:val="42976F25"/>
    <w:rsid w:val="429D02B3"/>
    <w:rsid w:val="42A955DC"/>
    <w:rsid w:val="42AB6E74"/>
    <w:rsid w:val="42B20202"/>
    <w:rsid w:val="42B25272"/>
    <w:rsid w:val="42B44C9C"/>
    <w:rsid w:val="42B71375"/>
    <w:rsid w:val="42D57A4D"/>
    <w:rsid w:val="42D87BE7"/>
    <w:rsid w:val="42DA32B5"/>
    <w:rsid w:val="42E64C5D"/>
    <w:rsid w:val="42E73224"/>
    <w:rsid w:val="42EA346B"/>
    <w:rsid w:val="42EA799C"/>
    <w:rsid w:val="42F84ED0"/>
    <w:rsid w:val="42F97BDF"/>
    <w:rsid w:val="42FC1070"/>
    <w:rsid w:val="42FF4354"/>
    <w:rsid w:val="430A3B9B"/>
    <w:rsid w:val="430D4E13"/>
    <w:rsid w:val="43171D4C"/>
    <w:rsid w:val="431E568F"/>
    <w:rsid w:val="43345AE2"/>
    <w:rsid w:val="43503F67"/>
    <w:rsid w:val="4357581E"/>
    <w:rsid w:val="43650DD1"/>
    <w:rsid w:val="43693443"/>
    <w:rsid w:val="436D43F2"/>
    <w:rsid w:val="438101FB"/>
    <w:rsid w:val="43880F63"/>
    <w:rsid w:val="43911BC6"/>
    <w:rsid w:val="4395185D"/>
    <w:rsid w:val="43A0005B"/>
    <w:rsid w:val="43A51B15"/>
    <w:rsid w:val="43A63197"/>
    <w:rsid w:val="43A91A0A"/>
    <w:rsid w:val="43B12268"/>
    <w:rsid w:val="43B41D58"/>
    <w:rsid w:val="43D04FBC"/>
    <w:rsid w:val="43DB20E4"/>
    <w:rsid w:val="43DE29EF"/>
    <w:rsid w:val="43FE2FD4"/>
    <w:rsid w:val="440108A9"/>
    <w:rsid w:val="44037791"/>
    <w:rsid w:val="440C7D39"/>
    <w:rsid w:val="441427F7"/>
    <w:rsid w:val="441B3B85"/>
    <w:rsid w:val="44232DA7"/>
    <w:rsid w:val="44472BCC"/>
    <w:rsid w:val="444D2855"/>
    <w:rsid w:val="445444A5"/>
    <w:rsid w:val="445E2A97"/>
    <w:rsid w:val="4466465B"/>
    <w:rsid w:val="4467501D"/>
    <w:rsid w:val="446A2417"/>
    <w:rsid w:val="446C2633"/>
    <w:rsid w:val="44784B34"/>
    <w:rsid w:val="447A4E24"/>
    <w:rsid w:val="44803601"/>
    <w:rsid w:val="44823C05"/>
    <w:rsid w:val="44872E3D"/>
    <w:rsid w:val="448A2907"/>
    <w:rsid w:val="448E724C"/>
    <w:rsid w:val="44926D8E"/>
    <w:rsid w:val="44983428"/>
    <w:rsid w:val="449F6565"/>
    <w:rsid w:val="44A113DB"/>
    <w:rsid w:val="44A1408B"/>
    <w:rsid w:val="44A26055"/>
    <w:rsid w:val="44B4702F"/>
    <w:rsid w:val="44BA15F0"/>
    <w:rsid w:val="44BB679E"/>
    <w:rsid w:val="44C24001"/>
    <w:rsid w:val="44C27B85"/>
    <w:rsid w:val="44C923DE"/>
    <w:rsid w:val="44CC2074"/>
    <w:rsid w:val="44CF28C0"/>
    <w:rsid w:val="44D15BD3"/>
    <w:rsid w:val="44DE708D"/>
    <w:rsid w:val="44EC44AD"/>
    <w:rsid w:val="44EE3AD6"/>
    <w:rsid w:val="44F31FDD"/>
    <w:rsid w:val="450335E5"/>
    <w:rsid w:val="45064405"/>
    <w:rsid w:val="450A60D4"/>
    <w:rsid w:val="45163CE2"/>
    <w:rsid w:val="45176708"/>
    <w:rsid w:val="452847AC"/>
    <w:rsid w:val="45357ED5"/>
    <w:rsid w:val="45361227"/>
    <w:rsid w:val="45381D30"/>
    <w:rsid w:val="453F5652"/>
    <w:rsid w:val="453F69E8"/>
    <w:rsid w:val="454347E2"/>
    <w:rsid w:val="454664B5"/>
    <w:rsid w:val="45473C9B"/>
    <w:rsid w:val="45474F11"/>
    <w:rsid w:val="45561D3F"/>
    <w:rsid w:val="4558401B"/>
    <w:rsid w:val="45592BB7"/>
    <w:rsid w:val="455F7AA2"/>
    <w:rsid w:val="45660E30"/>
    <w:rsid w:val="45672343"/>
    <w:rsid w:val="456946EE"/>
    <w:rsid w:val="456F23DB"/>
    <w:rsid w:val="457F1EF2"/>
    <w:rsid w:val="45806396"/>
    <w:rsid w:val="45815C6A"/>
    <w:rsid w:val="458227A7"/>
    <w:rsid w:val="458D0AB3"/>
    <w:rsid w:val="45927E77"/>
    <w:rsid w:val="45942055"/>
    <w:rsid w:val="459D4988"/>
    <w:rsid w:val="45A11732"/>
    <w:rsid w:val="45A81449"/>
    <w:rsid w:val="45B42155"/>
    <w:rsid w:val="45B93656"/>
    <w:rsid w:val="45B95404"/>
    <w:rsid w:val="45C1250B"/>
    <w:rsid w:val="45C650AA"/>
    <w:rsid w:val="45C76E25"/>
    <w:rsid w:val="45D4223E"/>
    <w:rsid w:val="45E0118F"/>
    <w:rsid w:val="45EF224F"/>
    <w:rsid w:val="45F43E60"/>
    <w:rsid w:val="45F4468E"/>
    <w:rsid w:val="45F53F88"/>
    <w:rsid w:val="45FB45F6"/>
    <w:rsid w:val="45FC0381"/>
    <w:rsid w:val="46031BBC"/>
    <w:rsid w:val="460F2CAD"/>
    <w:rsid w:val="460F3276"/>
    <w:rsid w:val="46100148"/>
    <w:rsid w:val="46113D93"/>
    <w:rsid w:val="46153F0E"/>
    <w:rsid w:val="462907DC"/>
    <w:rsid w:val="462F3918"/>
    <w:rsid w:val="46323B86"/>
    <w:rsid w:val="46440B86"/>
    <w:rsid w:val="46442BF4"/>
    <w:rsid w:val="464C1BF9"/>
    <w:rsid w:val="465002BD"/>
    <w:rsid w:val="46516A8A"/>
    <w:rsid w:val="465E7D59"/>
    <w:rsid w:val="46692C7D"/>
    <w:rsid w:val="466E4440"/>
    <w:rsid w:val="4670640B"/>
    <w:rsid w:val="467632F5"/>
    <w:rsid w:val="4685178A"/>
    <w:rsid w:val="469B2D5C"/>
    <w:rsid w:val="46A15647"/>
    <w:rsid w:val="46AB4E9E"/>
    <w:rsid w:val="46B1257F"/>
    <w:rsid w:val="46B8390E"/>
    <w:rsid w:val="46BF51B8"/>
    <w:rsid w:val="46CF6D9E"/>
    <w:rsid w:val="46D15C73"/>
    <w:rsid w:val="46DA3884"/>
    <w:rsid w:val="46E06372"/>
    <w:rsid w:val="46E6047B"/>
    <w:rsid w:val="470152B5"/>
    <w:rsid w:val="47021D0D"/>
    <w:rsid w:val="47044DA5"/>
    <w:rsid w:val="47121270"/>
    <w:rsid w:val="47136D96"/>
    <w:rsid w:val="471825FE"/>
    <w:rsid w:val="471A0124"/>
    <w:rsid w:val="471D19C3"/>
    <w:rsid w:val="471F1BDF"/>
    <w:rsid w:val="472E0FA7"/>
    <w:rsid w:val="472F1E22"/>
    <w:rsid w:val="47333031"/>
    <w:rsid w:val="47496783"/>
    <w:rsid w:val="474B29D4"/>
    <w:rsid w:val="475B0D80"/>
    <w:rsid w:val="4761585B"/>
    <w:rsid w:val="4769234B"/>
    <w:rsid w:val="476D64A6"/>
    <w:rsid w:val="47723ABC"/>
    <w:rsid w:val="47824475"/>
    <w:rsid w:val="47892B7B"/>
    <w:rsid w:val="47975C19"/>
    <w:rsid w:val="479E2B03"/>
    <w:rsid w:val="47A51084"/>
    <w:rsid w:val="47A75CCD"/>
    <w:rsid w:val="47A911FF"/>
    <w:rsid w:val="47B5468C"/>
    <w:rsid w:val="47CF0F0F"/>
    <w:rsid w:val="47D26C51"/>
    <w:rsid w:val="47D6229D"/>
    <w:rsid w:val="47D65007"/>
    <w:rsid w:val="47E210AF"/>
    <w:rsid w:val="47EB7590"/>
    <w:rsid w:val="47EC1AC1"/>
    <w:rsid w:val="47FB7F56"/>
    <w:rsid w:val="47FF283D"/>
    <w:rsid w:val="480A3538"/>
    <w:rsid w:val="48124F71"/>
    <w:rsid w:val="4817119C"/>
    <w:rsid w:val="481728B6"/>
    <w:rsid w:val="4819662E"/>
    <w:rsid w:val="481B3E57"/>
    <w:rsid w:val="4820176A"/>
    <w:rsid w:val="482374AD"/>
    <w:rsid w:val="482570AD"/>
    <w:rsid w:val="482C010F"/>
    <w:rsid w:val="482E3109"/>
    <w:rsid w:val="482F2E61"/>
    <w:rsid w:val="48360F8E"/>
    <w:rsid w:val="48362D3C"/>
    <w:rsid w:val="48367BDF"/>
    <w:rsid w:val="4840005F"/>
    <w:rsid w:val="48410B9B"/>
    <w:rsid w:val="48435459"/>
    <w:rsid w:val="484418FD"/>
    <w:rsid w:val="48482A6F"/>
    <w:rsid w:val="484D0086"/>
    <w:rsid w:val="485035B9"/>
    <w:rsid w:val="48547666"/>
    <w:rsid w:val="487108F9"/>
    <w:rsid w:val="487675DC"/>
    <w:rsid w:val="48777D12"/>
    <w:rsid w:val="48852B40"/>
    <w:rsid w:val="488E2B78"/>
    <w:rsid w:val="488F017F"/>
    <w:rsid w:val="48913BD1"/>
    <w:rsid w:val="48917477"/>
    <w:rsid w:val="48924A27"/>
    <w:rsid w:val="489F2FD7"/>
    <w:rsid w:val="48A061B9"/>
    <w:rsid w:val="48A17D12"/>
    <w:rsid w:val="48AE321A"/>
    <w:rsid w:val="48B3438D"/>
    <w:rsid w:val="48B73F95"/>
    <w:rsid w:val="48BC5937"/>
    <w:rsid w:val="48BD345D"/>
    <w:rsid w:val="48C437EC"/>
    <w:rsid w:val="48CC6426"/>
    <w:rsid w:val="48D013E2"/>
    <w:rsid w:val="48D507A7"/>
    <w:rsid w:val="48D569F9"/>
    <w:rsid w:val="48D81EC2"/>
    <w:rsid w:val="48DA0A8C"/>
    <w:rsid w:val="48E42798"/>
    <w:rsid w:val="48E44E8E"/>
    <w:rsid w:val="48E629B4"/>
    <w:rsid w:val="48E80C5B"/>
    <w:rsid w:val="48E94697"/>
    <w:rsid w:val="48F84495"/>
    <w:rsid w:val="48FD1AAC"/>
    <w:rsid w:val="49042FF5"/>
    <w:rsid w:val="49060A69"/>
    <w:rsid w:val="49077AC4"/>
    <w:rsid w:val="49090450"/>
    <w:rsid w:val="491017DF"/>
    <w:rsid w:val="4912417D"/>
    <w:rsid w:val="49162368"/>
    <w:rsid w:val="491A08B0"/>
    <w:rsid w:val="49210164"/>
    <w:rsid w:val="4929464F"/>
    <w:rsid w:val="492C4DD3"/>
    <w:rsid w:val="493150F6"/>
    <w:rsid w:val="49400B9B"/>
    <w:rsid w:val="494476DB"/>
    <w:rsid w:val="494C43B1"/>
    <w:rsid w:val="49553696"/>
    <w:rsid w:val="49581D9D"/>
    <w:rsid w:val="495A6EFE"/>
    <w:rsid w:val="495F4514"/>
    <w:rsid w:val="49627B61"/>
    <w:rsid w:val="49646CDE"/>
    <w:rsid w:val="49653495"/>
    <w:rsid w:val="4968161B"/>
    <w:rsid w:val="49691876"/>
    <w:rsid w:val="496B110B"/>
    <w:rsid w:val="49746D0E"/>
    <w:rsid w:val="498D1081"/>
    <w:rsid w:val="49935E47"/>
    <w:rsid w:val="49987B1F"/>
    <w:rsid w:val="499A72FA"/>
    <w:rsid w:val="499C7517"/>
    <w:rsid w:val="499F21BF"/>
    <w:rsid w:val="49A40179"/>
    <w:rsid w:val="49A8026C"/>
    <w:rsid w:val="49A85EBB"/>
    <w:rsid w:val="49AD36B2"/>
    <w:rsid w:val="49B02FC2"/>
    <w:rsid w:val="49B0392D"/>
    <w:rsid w:val="49B51A7F"/>
    <w:rsid w:val="49BF4FB3"/>
    <w:rsid w:val="49C144F7"/>
    <w:rsid w:val="49C16F7D"/>
    <w:rsid w:val="49CA5E32"/>
    <w:rsid w:val="49CB3958"/>
    <w:rsid w:val="49CD480A"/>
    <w:rsid w:val="49D17CD9"/>
    <w:rsid w:val="49D4280C"/>
    <w:rsid w:val="49DD09E0"/>
    <w:rsid w:val="49EB0B3C"/>
    <w:rsid w:val="49ED0675"/>
    <w:rsid w:val="49EF5F9E"/>
    <w:rsid w:val="49F869B9"/>
    <w:rsid w:val="49F96717"/>
    <w:rsid w:val="4A003355"/>
    <w:rsid w:val="4A050C18"/>
    <w:rsid w:val="4A196469"/>
    <w:rsid w:val="4A2C2648"/>
    <w:rsid w:val="4A3E05CE"/>
    <w:rsid w:val="4A4060F4"/>
    <w:rsid w:val="4A437992"/>
    <w:rsid w:val="4A44648C"/>
    <w:rsid w:val="4A495573"/>
    <w:rsid w:val="4A4A138C"/>
    <w:rsid w:val="4A4C1A86"/>
    <w:rsid w:val="4A4D4C02"/>
    <w:rsid w:val="4A530A94"/>
    <w:rsid w:val="4A566DF3"/>
    <w:rsid w:val="4A5751EC"/>
    <w:rsid w:val="4A6336E2"/>
    <w:rsid w:val="4A690B9F"/>
    <w:rsid w:val="4A6C457F"/>
    <w:rsid w:val="4A6F21D0"/>
    <w:rsid w:val="4A71615B"/>
    <w:rsid w:val="4A82670C"/>
    <w:rsid w:val="4A82734F"/>
    <w:rsid w:val="4A881849"/>
    <w:rsid w:val="4A8A0D65"/>
    <w:rsid w:val="4A8A6819"/>
    <w:rsid w:val="4A90145A"/>
    <w:rsid w:val="4A961FD0"/>
    <w:rsid w:val="4AA03036"/>
    <w:rsid w:val="4AA737E7"/>
    <w:rsid w:val="4AAD03D0"/>
    <w:rsid w:val="4AB16FF2"/>
    <w:rsid w:val="4AC72C8D"/>
    <w:rsid w:val="4AD23022"/>
    <w:rsid w:val="4AD351BA"/>
    <w:rsid w:val="4AE954C1"/>
    <w:rsid w:val="4AEA4ACB"/>
    <w:rsid w:val="4AED7781"/>
    <w:rsid w:val="4AF5281C"/>
    <w:rsid w:val="4AF869CF"/>
    <w:rsid w:val="4AFA2747"/>
    <w:rsid w:val="4AFF1B0B"/>
    <w:rsid w:val="4B076EEB"/>
    <w:rsid w:val="4B0A4C46"/>
    <w:rsid w:val="4B0C36FB"/>
    <w:rsid w:val="4B2A405F"/>
    <w:rsid w:val="4B2B7EBA"/>
    <w:rsid w:val="4B2C595F"/>
    <w:rsid w:val="4B315A3D"/>
    <w:rsid w:val="4B316836"/>
    <w:rsid w:val="4B38501D"/>
    <w:rsid w:val="4B3B15B8"/>
    <w:rsid w:val="4B3F45FD"/>
    <w:rsid w:val="4B45356B"/>
    <w:rsid w:val="4B4671BD"/>
    <w:rsid w:val="4B4E33F9"/>
    <w:rsid w:val="4B517E8D"/>
    <w:rsid w:val="4B6776B0"/>
    <w:rsid w:val="4B6E44C9"/>
    <w:rsid w:val="4B706857"/>
    <w:rsid w:val="4B720F60"/>
    <w:rsid w:val="4B736055"/>
    <w:rsid w:val="4B792D73"/>
    <w:rsid w:val="4B8169C4"/>
    <w:rsid w:val="4B8F7333"/>
    <w:rsid w:val="4B946370"/>
    <w:rsid w:val="4B95760A"/>
    <w:rsid w:val="4B9C37FE"/>
    <w:rsid w:val="4B9C55AC"/>
    <w:rsid w:val="4B9D30D2"/>
    <w:rsid w:val="4B9E1324"/>
    <w:rsid w:val="4B9F152D"/>
    <w:rsid w:val="4B9F2C72"/>
    <w:rsid w:val="4BA102D4"/>
    <w:rsid w:val="4BA24D84"/>
    <w:rsid w:val="4BA24F39"/>
    <w:rsid w:val="4BA40904"/>
    <w:rsid w:val="4BA44460"/>
    <w:rsid w:val="4BA6467C"/>
    <w:rsid w:val="4BA95FFA"/>
    <w:rsid w:val="4BC13264"/>
    <w:rsid w:val="4BD34386"/>
    <w:rsid w:val="4BD62EC5"/>
    <w:rsid w:val="4BD905AE"/>
    <w:rsid w:val="4BDF7A95"/>
    <w:rsid w:val="4BE8663F"/>
    <w:rsid w:val="4BF21670"/>
    <w:rsid w:val="4BF2341E"/>
    <w:rsid w:val="4BF2702F"/>
    <w:rsid w:val="4BF52F0E"/>
    <w:rsid w:val="4C0D64AA"/>
    <w:rsid w:val="4C0F4D8B"/>
    <w:rsid w:val="4C17006D"/>
    <w:rsid w:val="4C1C493F"/>
    <w:rsid w:val="4C260EAE"/>
    <w:rsid w:val="4C3103EA"/>
    <w:rsid w:val="4C3347A3"/>
    <w:rsid w:val="4C357DD9"/>
    <w:rsid w:val="4C3C76D5"/>
    <w:rsid w:val="4C3D77A7"/>
    <w:rsid w:val="4C433C79"/>
    <w:rsid w:val="4C4B0D80"/>
    <w:rsid w:val="4C5365B2"/>
    <w:rsid w:val="4C543187"/>
    <w:rsid w:val="4C6777D2"/>
    <w:rsid w:val="4C6A145D"/>
    <w:rsid w:val="4C7402D7"/>
    <w:rsid w:val="4C7744FC"/>
    <w:rsid w:val="4C7C7A72"/>
    <w:rsid w:val="4C856040"/>
    <w:rsid w:val="4C86342A"/>
    <w:rsid w:val="4C8A5D4C"/>
    <w:rsid w:val="4C9038B4"/>
    <w:rsid w:val="4C994F4D"/>
    <w:rsid w:val="4CA54934"/>
    <w:rsid w:val="4CBB5F06"/>
    <w:rsid w:val="4CBD1C7E"/>
    <w:rsid w:val="4CCE5C39"/>
    <w:rsid w:val="4CD11285"/>
    <w:rsid w:val="4CD16197"/>
    <w:rsid w:val="4CD561B4"/>
    <w:rsid w:val="4CDD7C2A"/>
    <w:rsid w:val="4CE47A3D"/>
    <w:rsid w:val="4CEC2563"/>
    <w:rsid w:val="4CEE2D04"/>
    <w:rsid w:val="4CF74A17"/>
    <w:rsid w:val="4CFA4C80"/>
    <w:rsid w:val="4CFD651E"/>
    <w:rsid w:val="4CFF4044"/>
    <w:rsid w:val="4D01701D"/>
    <w:rsid w:val="4D021A66"/>
    <w:rsid w:val="4D022FC0"/>
    <w:rsid w:val="4D0A0CFE"/>
    <w:rsid w:val="4D1E4E03"/>
    <w:rsid w:val="4D2770F7"/>
    <w:rsid w:val="4D2B308B"/>
    <w:rsid w:val="4D2B369F"/>
    <w:rsid w:val="4D301872"/>
    <w:rsid w:val="4D362D38"/>
    <w:rsid w:val="4D41465D"/>
    <w:rsid w:val="4D4B7289"/>
    <w:rsid w:val="4D5A571F"/>
    <w:rsid w:val="4D5C476C"/>
    <w:rsid w:val="4D5D25DB"/>
    <w:rsid w:val="4D665E71"/>
    <w:rsid w:val="4D6C7200"/>
    <w:rsid w:val="4D704F42"/>
    <w:rsid w:val="4D783DF7"/>
    <w:rsid w:val="4D7A36CB"/>
    <w:rsid w:val="4D8E7176"/>
    <w:rsid w:val="4D9D560B"/>
    <w:rsid w:val="4D9F4C40"/>
    <w:rsid w:val="4DA60964"/>
    <w:rsid w:val="4DB37864"/>
    <w:rsid w:val="4DBF5582"/>
    <w:rsid w:val="4DC31516"/>
    <w:rsid w:val="4DCB03CA"/>
    <w:rsid w:val="4DCB0411"/>
    <w:rsid w:val="4DCD2983"/>
    <w:rsid w:val="4DCD7C9F"/>
    <w:rsid w:val="4DCF7EBB"/>
    <w:rsid w:val="4DD37A60"/>
    <w:rsid w:val="4DD52FF7"/>
    <w:rsid w:val="4DDD3C5A"/>
    <w:rsid w:val="4DDF79D2"/>
    <w:rsid w:val="4DE44FE8"/>
    <w:rsid w:val="4DE75353"/>
    <w:rsid w:val="4DE81A0F"/>
    <w:rsid w:val="4DFA480C"/>
    <w:rsid w:val="4DFC0584"/>
    <w:rsid w:val="4E0A0EF3"/>
    <w:rsid w:val="4E0D2791"/>
    <w:rsid w:val="4E142D9E"/>
    <w:rsid w:val="4E191136"/>
    <w:rsid w:val="4E225FDF"/>
    <w:rsid w:val="4E263853"/>
    <w:rsid w:val="4E332A62"/>
    <w:rsid w:val="4E352777"/>
    <w:rsid w:val="4E3B72FE"/>
    <w:rsid w:val="4E4A5793"/>
    <w:rsid w:val="4E4D7031"/>
    <w:rsid w:val="4E5458A5"/>
    <w:rsid w:val="4E5C23AE"/>
    <w:rsid w:val="4E5C6293"/>
    <w:rsid w:val="4E5D456E"/>
    <w:rsid w:val="4E66521C"/>
    <w:rsid w:val="4E742810"/>
    <w:rsid w:val="4E7A7799"/>
    <w:rsid w:val="4E7D6D7D"/>
    <w:rsid w:val="4E8428CC"/>
    <w:rsid w:val="4E872D28"/>
    <w:rsid w:val="4E914EAA"/>
    <w:rsid w:val="4E996102"/>
    <w:rsid w:val="4E9E788D"/>
    <w:rsid w:val="4EA03605"/>
    <w:rsid w:val="4EA41181"/>
    <w:rsid w:val="4EA41F28"/>
    <w:rsid w:val="4EA546AD"/>
    <w:rsid w:val="4EAD13BA"/>
    <w:rsid w:val="4EB32E0E"/>
    <w:rsid w:val="4EB67DC0"/>
    <w:rsid w:val="4EC2357B"/>
    <w:rsid w:val="4EC95CE1"/>
    <w:rsid w:val="4ED10111"/>
    <w:rsid w:val="4ED662FA"/>
    <w:rsid w:val="4EDB38E7"/>
    <w:rsid w:val="4EDE412D"/>
    <w:rsid w:val="4EE5726A"/>
    <w:rsid w:val="4EE670FE"/>
    <w:rsid w:val="4EEE4370"/>
    <w:rsid w:val="4EF643A0"/>
    <w:rsid w:val="4EF75830"/>
    <w:rsid w:val="4EF82D51"/>
    <w:rsid w:val="4F0269D0"/>
    <w:rsid w:val="4F027E1C"/>
    <w:rsid w:val="4F0B065C"/>
    <w:rsid w:val="4F132029"/>
    <w:rsid w:val="4F1B2C8C"/>
    <w:rsid w:val="4F2C30EB"/>
    <w:rsid w:val="4F326E51"/>
    <w:rsid w:val="4F38288A"/>
    <w:rsid w:val="4F392A63"/>
    <w:rsid w:val="4F3B1644"/>
    <w:rsid w:val="4F4A3571"/>
    <w:rsid w:val="4F4C4CC1"/>
    <w:rsid w:val="4F532425"/>
    <w:rsid w:val="4F563CC4"/>
    <w:rsid w:val="4F581C5F"/>
    <w:rsid w:val="4F587A3C"/>
    <w:rsid w:val="4F5D14F6"/>
    <w:rsid w:val="4F5D32A4"/>
    <w:rsid w:val="4F5F0DCA"/>
    <w:rsid w:val="4F6D5AD4"/>
    <w:rsid w:val="4F6E763C"/>
    <w:rsid w:val="4F732AC8"/>
    <w:rsid w:val="4F77184F"/>
    <w:rsid w:val="4F7D74A2"/>
    <w:rsid w:val="4F806F93"/>
    <w:rsid w:val="4F844CD5"/>
    <w:rsid w:val="4F847373"/>
    <w:rsid w:val="4F8C5EB6"/>
    <w:rsid w:val="4F8F08C6"/>
    <w:rsid w:val="4F9273F2"/>
    <w:rsid w:val="4F952F12"/>
    <w:rsid w:val="4FA233AD"/>
    <w:rsid w:val="4FAE4949"/>
    <w:rsid w:val="4FB31116"/>
    <w:rsid w:val="4FDF7053"/>
    <w:rsid w:val="4FE42699"/>
    <w:rsid w:val="4FE45773"/>
    <w:rsid w:val="4FE466E1"/>
    <w:rsid w:val="4FE62A53"/>
    <w:rsid w:val="4FF37764"/>
    <w:rsid w:val="4FFA6DD9"/>
    <w:rsid w:val="4FFC486B"/>
    <w:rsid w:val="50060376"/>
    <w:rsid w:val="500C19CB"/>
    <w:rsid w:val="500E2419"/>
    <w:rsid w:val="501124D1"/>
    <w:rsid w:val="50127344"/>
    <w:rsid w:val="50175B49"/>
    <w:rsid w:val="501B7CEE"/>
    <w:rsid w:val="502C04E3"/>
    <w:rsid w:val="502D711A"/>
    <w:rsid w:val="502E4997"/>
    <w:rsid w:val="50337A37"/>
    <w:rsid w:val="50350ED7"/>
    <w:rsid w:val="50355A70"/>
    <w:rsid w:val="503A0A39"/>
    <w:rsid w:val="503C110B"/>
    <w:rsid w:val="504306EC"/>
    <w:rsid w:val="504F0E3F"/>
    <w:rsid w:val="50593A6B"/>
    <w:rsid w:val="505940EE"/>
    <w:rsid w:val="505B4777"/>
    <w:rsid w:val="50631789"/>
    <w:rsid w:val="506A2C24"/>
    <w:rsid w:val="50753880"/>
    <w:rsid w:val="507571C9"/>
    <w:rsid w:val="50795EBC"/>
    <w:rsid w:val="50861C6B"/>
    <w:rsid w:val="508703E0"/>
    <w:rsid w:val="50887115"/>
    <w:rsid w:val="50901457"/>
    <w:rsid w:val="50903205"/>
    <w:rsid w:val="50947199"/>
    <w:rsid w:val="509C377A"/>
    <w:rsid w:val="509C7DFC"/>
    <w:rsid w:val="50A259E6"/>
    <w:rsid w:val="50B04608"/>
    <w:rsid w:val="50B52772"/>
    <w:rsid w:val="50B53FBE"/>
    <w:rsid w:val="50B75666"/>
    <w:rsid w:val="50BA65E4"/>
    <w:rsid w:val="50BB0282"/>
    <w:rsid w:val="50C16BDB"/>
    <w:rsid w:val="50C53DC6"/>
    <w:rsid w:val="50C75CD0"/>
    <w:rsid w:val="50CE7C1E"/>
    <w:rsid w:val="50D15CF8"/>
    <w:rsid w:val="50DE21C3"/>
    <w:rsid w:val="50E340AF"/>
    <w:rsid w:val="50F433EC"/>
    <w:rsid w:val="50F73284"/>
    <w:rsid w:val="50FB0FC7"/>
    <w:rsid w:val="50FD12C7"/>
    <w:rsid w:val="510A67DD"/>
    <w:rsid w:val="510B49FC"/>
    <w:rsid w:val="510F05CE"/>
    <w:rsid w:val="510F6820"/>
    <w:rsid w:val="51122012"/>
    <w:rsid w:val="51153049"/>
    <w:rsid w:val="51184BB9"/>
    <w:rsid w:val="511958BF"/>
    <w:rsid w:val="511C6DB6"/>
    <w:rsid w:val="51200A2D"/>
    <w:rsid w:val="51204589"/>
    <w:rsid w:val="512562C1"/>
    <w:rsid w:val="512C5624"/>
    <w:rsid w:val="51372589"/>
    <w:rsid w:val="513B7615"/>
    <w:rsid w:val="514324CE"/>
    <w:rsid w:val="51452242"/>
    <w:rsid w:val="514F6C1B"/>
    <w:rsid w:val="51510BE7"/>
    <w:rsid w:val="51534A93"/>
    <w:rsid w:val="51595CED"/>
    <w:rsid w:val="51621E44"/>
    <w:rsid w:val="51662699"/>
    <w:rsid w:val="51672150"/>
    <w:rsid w:val="516721B8"/>
    <w:rsid w:val="517335C1"/>
    <w:rsid w:val="517448D5"/>
    <w:rsid w:val="517D5E7F"/>
    <w:rsid w:val="517D63EF"/>
    <w:rsid w:val="517E4498"/>
    <w:rsid w:val="518F1D82"/>
    <w:rsid w:val="51905BB3"/>
    <w:rsid w:val="519311FF"/>
    <w:rsid w:val="51993E87"/>
    <w:rsid w:val="51A451BA"/>
    <w:rsid w:val="51BA2C30"/>
    <w:rsid w:val="51CB2747"/>
    <w:rsid w:val="51CB5192"/>
    <w:rsid w:val="51D04201"/>
    <w:rsid w:val="51D079BF"/>
    <w:rsid w:val="51DD376A"/>
    <w:rsid w:val="51E34E96"/>
    <w:rsid w:val="51FD529C"/>
    <w:rsid w:val="52007CE1"/>
    <w:rsid w:val="520416DE"/>
    <w:rsid w:val="520B6FE7"/>
    <w:rsid w:val="520C480A"/>
    <w:rsid w:val="521A36CE"/>
    <w:rsid w:val="521B041D"/>
    <w:rsid w:val="521C039C"/>
    <w:rsid w:val="5221680B"/>
    <w:rsid w:val="52290251"/>
    <w:rsid w:val="52383978"/>
    <w:rsid w:val="52384A5B"/>
    <w:rsid w:val="523A1AA0"/>
    <w:rsid w:val="523A48A5"/>
    <w:rsid w:val="523A7A72"/>
    <w:rsid w:val="52410C5B"/>
    <w:rsid w:val="52452450"/>
    <w:rsid w:val="5248023B"/>
    <w:rsid w:val="52554706"/>
    <w:rsid w:val="526075D9"/>
    <w:rsid w:val="52625478"/>
    <w:rsid w:val="526813F4"/>
    <w:rsid w:val="527821A3"/>
    <w:rsid w:val="52785ABD"/>
    <w:rsid w:val="527B66F8"/>
    <w:rsid w:val="527E5A0B"/>
    <w:rsid w:val="528079D5"/>
    <w:rsid w:val="529010A5"/>
    <w:rsid w:val="529822AD"/>
    <w:rsid w:val="52A665A4"/>
    <w:rsid w:val="52AB4731"/>
    <w:rsid w:val="52B633F7"/>
    <w:rsid w:val="52BB6C5F"/>
    <w:rsid w:val="52BE30EA"/>
    <w:rsid w:val="52BF6685"/>
    <w:rsid w:val="52C5188C"/>
    <w:rsid w:val="52CC74CA"/>
    <w:rsid w:val="52D054FF"/>
    <w:rsid w:val="52D63A1C"/>
    <w:rsid w:val="52DA3410"/>
    <w:rsid w:val="52DF683D"/>
    <w:rsid w:val="52DF6978"/>
    <w:rsid w:val="52E141EC"/>
    <w:rsid w:val="52E37F64"/>
    <w:rsid w:val="52E8557B"/>
    <w:rsid w:val="52EA4E4F"/>
    <w:rsid w:val="52F07B6D"/>
    <w:rsid w:val="52FE08FA"/>
    <w:rsid w:val="52FE79C4"/>
    <w:rsid w:val="5305283D"/>
    <w:rsid w:val="53126808"/>
    <w:rsid w:val="531537CC"/>
    <w:rsid w:val="53176435"/>
    <w:rsid w:val="531A007C"/>
    <w:rsid w:val="53230361"/>
    <w:rsid w:val="5329076C"/>
    <w:rsid w:val="532C5467"/>
    <w:rsid w:val="533662E6"/>
    <w:rsid w:val="533D58C6"/>
    <w:rsid w:val="533F78B1"/>
    <w:rsid w:val="53430609"/>
    <w:rsid w:val="534A7FE3"/>
    <w:rsid w:val="534C7EF0"/>
    <w:rsid w:val="534D66DE"/>
    <w:rsid w:val="53640895"/>
    <w:rsid w:val="537137C2"/>
    <w:rsid w:val="53714220"/>
    <w:rsid w:val="53733096"/>
    <w:rsid w:val="537E1A3B"/>
    <w:rsid w:val="53820528"/>
    <w:rsid w:val="53875DA7"/>
    <w:rsid w:val="53883F0B"/>
    <w:rsid w:val="53887C35"/>
    <w:rsid w:val="538F59F6"/>
    <w:rsid w:val="53953009"/>
    <w:rsid w:val="539B439B"/>
    <w:rsid w:val="539F06A8"/>
    <w:rsid w:val="53A14298"/>
    <w:rsid w:val="53AC32DB"/>
    <w:rsid w:val="53AE5D68"/>
    <w:rsid w:val="53B536AF"/>
    <w:rsid w:val="53BA6F17"/>
    <w:rsid w:val="53BF0089"/>
    <w:rsid w:val="53C0057F"/>
    <w:rsid w:val="53C04396"/>
    <w:rsid w:val="53C11487"/>
    <w:rsid w:val="53CC7C42"/>
    <w:rsid w:val="53D06524"/>
    <w:rsid w:val="53D14070"/>
    <w:rsid w:val="53D570CF"/>
    <w:rsid w:val="53D72999"/>
    <w:rsid w:val="53D76061"/>
    <w:rsid w:val="53DD0F53"/>
    <w:rsid w:val="53EE096F"/>
    <w:rsid w:val="53F65A75"/>
    <w:rsid w:val="53FC752F"/>
    <w:rsid w:val="54001E70"/>
    <w:rsid w:val="5402441A"/>
    <w:rsid w:val="540B1521"/>
    <w:rsid w:val="540F50EC"/>
    <w:rsid w:val="5414351A"/>
    <w:rsid w:val="5415414D"/>
    <w:rsid w:val="54183990"/>
    <w:rsid w:val="541859EC"/>
    <w:rsid w:val="541923D0"/>
    <w:rsid w:val="541C1980"/>
    <w:rsid w:val="541E6914"/>
    <w:rsid w:val="541F6D7A"/>
    <w:rsid w:val="54287E9C"/>
    <w:rsid w:val="54300F87"/>
    <w:rsid w:val="54321220"/>
    <w:rsid w:val="54322F51"/>
    <w:rsid w:val="543A3BB4"/>
    <w:rsid w:val="54446DFB"/>
    <w:rsid w:val="54576514"/>
    <w:rsid w:val="5457674F"/>
    <w:rsid w:val="54686973"/>
    <w:rsid w:val="546D3F89"/>
    <w:rsid w:val="5472334E"/>
    <w:rsid w:val="547C241E"/>
    <w:rsid w:val="547D5CF8"/>
    <w:rsid w:val="54A24918"/>
    <w:rsid w:val="54A56347"/>
    <w:rsid w:val="54B706EB"/>
    <w:rsid w:val="54B867AF"/>
    <w:rsid w:val="54BE47E5"/>
    <w:rsid w:val="54C824D5"/>
    <w:rsid w:val="54D44806"/>
    <w:rsid w:val="54D77655"/>
    <w:rsid w:val="54DA77FE"/>
    <w:rsid w:val="54E104D3"/>
    <w:rsid w:val="54E66BA9"/>
    <w:rsid w:val="54E87AB4"/>
    <w:rsid w:val="54EB1352"/>
    <w:rsid w:val="54F232A5"/>
    <w:rsid w:val="54F40207"/>
    <w:rsid w:val="54F71DA5"/>
    <w:rsid w:val="54F93A6F"/>
    <w:rsid w:val="54FB77E7"/>
    <w:rsid w:val="54FC4615"/>
    <w:rsid w:val="550462B6"/>
    <w:rsid w:val="55077557"/>
    <w:rsid w:val="55085A60"/>
    <w:rsid w:val="550C4BFD"/>
    <w:rsid w:val="550D12C8"/>
    <w:rsid w:val="55180E31"/>
    <w:rsid w:val="552339D4"/>
    <w:rsid w:val="55256612"/>
    <w:rsid w:val="552C4622"/>
    <w:rsid w:val="55384597"/>
    <w:rsid w:val="553C5677"/>
    <w:rsid w:val="553D1BAE"/>
    <w:rsid w:val="5540169E"/>
    <w:rsid w:val="5546444E"/>
    <w:rsid w:val="554C3B9F"/>
    <w:rsid w:val="55572544"/>
    <w:rsid w:val="55587FE7"/>
    <w:rsid w:val="55600CC6"/>
    <w:rsid w:val="556A671B"/>
    <w:rsid w:val="55747599"/>
    <w:rsid w:val="557E73EF"/>
    <w:rsid w:val="55826011"/>
    <w:rsid w:val="55894DF3"/>
    <w:rsid w:val="55906489"/>
    <w:rsid w:val="559E390F"/>
    <w:rsid w:val="559F49C7"/>
    <w:rsid w:val="55A0213D"/>
    <w:rsid w:val="55A25DBA"/>
    <w:rsid w:val="55A277C6"/>
    <w:rsid w:val="55B1434A"/>
    <w:rsid w:val="55B73B71"/>
    <w:rsid w:val="55BA0EA3"/>
    <w:rsid w:val="55BA356A"/>
    <w:rsid w:val="55C4407D"/>
    <w:rsid w:val="55C90B4D"/>
    <w:rsid w:val="55CC3F76"/>
    <w:rsid w:val="55D96EB2"/>
    <w:rsid w:val="55E22755"/>
    <w:rsid w:val="55E30278"/>
    <w:rsid w:val="55E47EA7"/>
    <w:rsid w:val="55EA634F"/>
    <w:rsid w:val="55EE10FA"/>
    <w:rsid w:val="55F11270"/>
    <w:rsid w:val="55F85AD5"/>
    <w:rsid w:val="55FC1EE9"/>
    <w:rsid w:val="56024CB6"/>
    <w:rsid w:val="56050830"/>
    <w:rsid w:val="56064695"/>
    <w:rsid w:val="56066443"/>
    <w:rsid w:val="560922C6"/>
    <w:rsid w:val="561346BC"/>
    <w:rsid w:val="56222B52"/>
    <w:rsid w:val="562356B7"/>
    <w:rsid w:val="562763BA"/>
    <w:rsid w:val="56293EE0"/>
    <w:rsid w:val="562B4DF0"/>
    <w:rsid w:val="562B7C58"/>
    <w:rsid w:val="562C4BF8"/>
    <w:rsid w:val="563424F2"/>
    <w:rsid w:val="56371B23"/>
    <w:rsid w:val="5637264E"/>
    <w:rsid w:val="56395591"/>
    <w:rsid w:val="56535401"/>
    <w:rsid w:val="56546007"/>
    <w:rsid w:val="56574EF1"/>
    <w:rsid w:val="565A437B"/>
    <w:rsid w:val="565C2507"/>
    <w:rsid w:val="565E57F8"/>
    <w:rsid w:val="565F3CA3"/>
    <w:rsid w:val="56682256"/>
    <w:rsid w:val="566E5F5F"/>
    <w:rsid w:val="566F185D"/>
    <w:rsid w:val="56754CFD"/>
    <w:rsid w:val="567809C3"/>
    <w:rsid w:val="567875A3"/>
    <w:rsid w:val="567A0BDF"/>
    <w:rsid w:val="567B7416"/>
    <w:rsid w:val="567C75AB"/>
    <w:rsid w:val="56892BD1"/>
    <w:rsid w:val="56933A4F"/>
    <w:rsid w:val="56933C1B"/>
    <w:rsid w:val="56AA5540"/>
    <w:rsid w:val="56AF0889"/>
    <w:rsid w:val="56B109A9"/>
    <w:rsid w:val="56B440F1"/>
    <w:rsid w:val="56BA2859"/>
    <w:rsid w:val="56BF62D6"/>
    <w:rsid w:val="56C66E8C"/>
    <w:rsid w:val="56C85727"/>
    <w:rsid w:val="56D057DA"/>
    <w:rsid w:val="56D160DB"/>
    <w:rsid w:val="56D4639E"/>
    <w:rsid w:val="56E10F23"/>
    <w:rsid w:val="56E55706"/>
    <w:rsid w:val="56E60023"/>
    <w:rsid w:val="56EA6605"/>
    <w:rsid w:val="56F049FE"/>
    <w:rsid w:val="56F12916"/>
    <w:rsid w:val="56F12E37"/>
    <w:rsid w:val="56FC2A7A"/>
    <w:rsid w:val="56FC4931"/>
    <w:rsid w:val="56FD1137"/>
    <w:rsid w:val="571C3A45"/>
    <w:rsid w:val="571F7091"/>
    <w:rsid w:val="572D5C52"/>
    <w:rsid w:val="572F1517"/>
    <w:rsid w:val="57327131"/>
    <w:rsid w:val="5737087F"/>
    <w:rsid w:val="573945F7"/>
    <w:rsid w:val="573A5A2F"/>
    <w:rsid w:val="57480DF4"/>
    <w:rsid w:val="5748483A"/>
    <w:rsid w:val="575D16AF"/>
    <w:rsid w:val="57610B9F"/>
    <w:rsid w:val="57640E0F"/>
    <w:rsid w:val="576A47B0"/>
    <w:rsid w:val="577A44B3"/>
    <w:rsid w:val="5780017C"/>
    <w:rsid w:val="57821E15"/>
    <w:rsid w:val="578C4726"/>
    <w:rsid w:val="57923845"/>
    <w:rsid w:val="579864DA"/>
    <w:rsid w:val="579B705F"/>
    <w:rsid w:val="579E08FE"/>
    <w:rsid w:val="57A37CC2"/>
    <w:rsid w:val="57A56253"/>
    <w:rsid w:val="57B01F06"/>
    <w:rsid w:val="57B53E63"/>
    <w:rsid w:val="57BD5ECA"/>
    <w:rsid w:val="57BE129C"/>
    <w:rsid w:val="57C245EC"/>
    <w:rsid w:val="57CA524F"/>
    <w:rsid w:val="57CC2DDA"/>
    <w:rsid w:val="57D4431F"/>
    <w:rsid w:val="57DF519E"/>
    <w:rsid w:val="57E43B3C"/>
    <w:rsid w:val="57E9601D"/>
    <w:rsid w:val="57F02AB0"/>
    <w:rsid w:val="57F3384D"/>
    <w:rsid w:val="57F66044"/>
    <w:rsid w:val="58065D6B"/>
    <w:rsid w:val="58090610"/>
    <w:rsid w:val="58094C63"/>
    <w:rsid w:val="580F741E"/>
    <w:rsid w:val="5814471C"/>
    <w:rsid w:val="58154F81"/>
    <w:rsid w:val="581F37ED"/>
    <w:rsid w:val="58214F74"/>
    <w:rsid w:val="58242BB1"/>
    <w:rsid w:val="583152CE"/>
    <w:rsid w:val="58353010"/>
    <w:rsid w:val="58390F39"/>
    <w:rsid w:val="583D0117"/>
    <w:rsid w:val="58411B59"/>
    <w:rsid w:val="58454840"/>
    <w:rsid w:val="58482E44"/>
    <w:rsid w:val="586066E8"/>
    <w:rsid w:val="586A523D"/>
    <w:rsid w:val="586B6A32"/>
    <w:rsid w:val="58782EFD"/>
    <w:rsid w:val="587A13E7"/>
    <w:rsid w:val="58813143"/>
    <w:rsid w:val="588637EF"/>
    <w:rsid w:val="58883BC4"/>
    <w:rsid w:val="5889335C"/>
    <w:rsid w:val="588C05C0"/>
    <w:rsid w:val="588E2720"/>
    <w:rsid w:val="588F6E1D"/>
    <w:rsid w:val="58937D37"/>
    <w:rsid w:val="589715D5"/>
    <w:rsid w:val="589A7317"/>
    <w:rsid w:val="58A23BD7"/>
    <w:rsid w:val="58A261CC"/>
    <w:rsid w:val="58A50CE3"/>
    <w:rsid w:val="58A65D5A"/>
    <w:rsid w:val="58AD4210"/>
    <w:rsid w:val="58B038B4"/>
    <w:rsid w:val="58B32FF0"/>
    <w:rsid w:val="58D26AB1"/>
    <w:rsid w:val="58DB73AF"/>
    <w:rsid w:val="58E44F7B"/>
    <w:rsid w:val="59071207"/>
    <w:rsid w:val="590B1FC3"/>
    <w:rsid w:val="590B5B1F"/>
    <w:rsid w:val="590C55AB"/>
    <w:rsid w:val="591433D5"/>
    <w:rsid w:val="591A6E62"/>
    <w:rsid w:val="59202A65"/>
    <w:rsid w:val="5923730C"/>
    <w:rsid w:val="592D1F39"/>
    <w:rsid w:val="594159E5"/>
    <w:rsid w:val="59540A16"/>
    <w:rsid w:val="595440D5"/>
    <w:rsid w:val="59547A07"/>
    <w:rsid w:val="595B4CF8"/>
    <w:rsid w:val="595F0856"/>
    <w:rsid w:val="5960040B"/>
    <w:rsid w:val="59802754"/>
    <w:rsid w:val="59814033"/>
    <w:rsid w:val="59816825"/>
    <w:rsid w:val="59831B59"/>
    <w:rsid w:val="59912795"/>
    <w:rsid w:val="59941FB8"/>
    <w:rsid w:val="599C0E6D"/>
    <w:rsid w:val="599C7F9A"/>
    <w:rsid w:val="59A0270B"/>
    <w:rsid w:val="59A26483"/>
    <w:rsid w:val="59A57D21"/>
    <w:rsid w:val="59AA781E"/>
    <w:rsid w:val="59BA435D"/>
    <w:rsid w:val="59C81C62"/>
    <w:rsid w:val="59CA3C2C"/>
    <w:rsid w:val="59CA7788"/>
    <w:rsid w:val="59CB7611"/>
    <w:rsid w:val="59CE22C7"/>
    <w:rsid w:val="59D35B1C"/>
    <w:rsid w:val="59D41513"/>
    <w:rsid w:val="59E940B2"/>
    <w:rsid w:val="59ED3759"/>
    <w:rsid w:val="59EE4D9E"/>
    <w:rsid w:val="59F34F31"/>
    <w:rsid w:val="59F86AC0"/>
    <w:rsid w:val="5A0957F1"/>
    <w:rsid w:val="5A0B6D64"/>
    <w:rsid w:val="5A152E4C"/>
    <w:rsid w:val="5A1804F3"/>
    <w:rsid w:val="5A236C86"/>
    <w:rsid w:val="5A276988"/>
    <w:rsid w:val="5A2F3A8F"/>
    <w:rsid w:val="5A3B68D8"/>
    <w:rsid w:val="5A41687A"/>
    <w:rsid w:val="5A59170E"/>
    <w:rsid w:val="5A5A0B0C"/>
    <w:rsid w:val="5A607BB2"/>
    <w:rsid w:val="5A625C12"/>
    <w:rsid w:val="5A6A4AC7"/>
    <w:rsid w:val="5A6B0F6B"/>
    <w:rsid w:val="5A6C3939"/>
    <w:rsid w:val="5A6E6B7D"/>
    <w:rsid w:val="5A7A7400"/>
    <w:rsid w:val="5A7E475F"/>
    <w:rsid w:val="5A800AE9"/>
    <w:rsid w:val="5A897CF1"/>
    <w:rsid w:val="5A9164F8"/>
    <w:rsid w:val="5A9B1124"/>
    <w:rsid w:val="5AA71877"/>
    <w:rsid w:val="5AD405CE"/>
    <w:rsid w:val="5ADA1C4D"/>
    <w:rsid w:val="5ADA39FB"/>
    <w:rsid w:val="5ADC2D5B"/>
    <w:rsid w:val="5AE12FDB"/>
    <w:rsid w:val="5AE221B5"/>
    <w:rsid w:val="5AED7BD2"/>
    <w:rsid w:val="5AF2343A"/>
    <w:rsid w:val="5AF251E8"/>
    <w:rsid w:val="5AF27774"/>
    <w:rsid w:val="5AF57C21"/>
    <w:rsid w:val="5AF70A51"/>
    <w:rsid w:val="5AFE72EF"/>
    <w:rsid w:val="5AFF1563"/>
    <w:rsid w:val="5B0311A3"/>
    <w:rsid w:val="5B0312A9"/>
    <w:rsid w:val="5B0D2022"/>
    <w:rsid w:val="5B0E7B48"/>
    <w:rsid w:val="5B123195"/>
    <w:rsid w:val="5B1342FB"/>
    <w:rsid w:val="5B1C2265"/>
    <w:rsid w:val="5B1D0603"/>
    <w:rsid w:val="5B2472F7"/>
    <w:rsid w:val="5B255A9F"/>
    <w:rsid w:val="5B2846A4"/>
    <w:rsid w:val="5B2B4256"/>
    <w:rsid w:val="5B37709F"/>
    <w:rsid w:val="5B3937FA"/>
    <w:rsid w:val="5B394BC5"/>
    <w:rsid w:val="5B411CCC"/>
    <w:rsid w:val="5B4147D2"/>
    <w:rsid w:val="5B442C58"/>
    <w:rsid w:val="5B482AE8"/>
    <w:rsid w:val="5B527A35"/>
    <w:rsid w:val="5B546059"/>
    <w:rsid w:val="5B5A2D8E"/>
    <w:rsid w:val="5B61290C"/>
    <w:rsid w:val="5B6A2FD1"/>
    <w:rsid w:val="5B727555"/>
    <w:rsid w:val="5B765E19"/>
    <w:rsid w:val="5B7E766A"/>
    <w:rsid w:val="5B8A757F"/>
    <w:rsid w:val="5B8D36D4"/>
    <w:rsid w:val="5B903F17"/>
    <w:rsid w:val="5B991BA7"/>
    <w:rsid w:val="5B9A15AA"/>
    <w:rsid w:val="5B9C6F02"/>
    <w:rsid w:val="5B9E2C7A"/>
    <w:rsid w:val="5BA64DC5"/>
    <w:rsid w:val="5BB04C2C"/>
    <w:rsid w:val="5BB75BFE"/>
    <w:rsid w:val="5BBB7CD0"/>
    <w:rsid w:val="5BBC5EDA"/>
    <w:rsid w:val="5BC052E6"/>
    <w:rsid w:val="5BC63E73"/>
    <w:rsid w:val="5BC87CF7"/>
    <w:rsid w:val="5BCD7046"/>
    <w:rsid w:val="5BD668B8"/>
    <w:rsid w:val="5BDB3ECE"/>
    <w:rsid w:val="5BE54D4D"/>
    <w:rsid w:val="5BE55984"/>
    <w:rsid w:val="5BE72873"/>
    <w:rsid w:val="5BEC1C38"/>
    <w:rsid w:val="5BEC6AB5"/>
    <w:rsid w:val="5BEF1728"/>
    <w:rsid w:val="5BEF34D6"/>
    <w:rsid w:val="5BF1724E"/>
    <w:rsid w:val="5BFB1E39"/>
    <w:rsid w:val="5C0C4088"/>
    <w:rsid w:val="5C0F06B0"/>
    <w:rsid w:val="5C291AE7"/>
    <w:rsid w:val="5C295FAD"/>
    <w:rsid w:val="5C2B35EA"/>
    <w:rsid w:val="5C327B4C"/>
    <w:rsid w:val="5C384E7D"/>
    <w:rsid w:val="5C392AD6"/>
    <w:rsid w:val="5C4750C0"/>
    <w:rsid w:val="5C484BDD"/>
    <w:rsid w:val="5C4E729B"/>
    <w:rsid w:val="5C517EEF"/>
    <w:rsid w:val="5C524368"/>
    <w:rsid w:val="5C54403A"/>
    <w:rsid w:val="5C552B13"/>
    <w:rsid w:val="5C5872CD"/>
    <w:rsid w:val="5C5E240A"/>
    <w:rsid w:val="5C6C2D78"/>
    <w:rsid w:val="5C7165E1"/>
    <w:rsid w:val="5C733E6A"/>
    <w:rsid w:val="5C741C2D"/>
    <w:rsid w:val="5C777E87"/>
    <w:rsid w:val="5C797243"/>
    <w:rsid w:val="5C7F0CFE"/>
    <w:rsid w:val="5C7F0D24"/>
    <w:rsid w:val="5C870080"/>
    <w:rsid w:val="5C8956D8"/>
    <w:rsid w:val="5C936557"/>
    <w:rsid w:val="5C981DBF"/>
    <w:rsid w:val="5C9B540C"/>
    <w:rsid w:val="5CA240BE"/>
    <w:rsid w:val="5CA37ECD"/>
    <w:rsid w:val="5CAC13C7"/>
    <w:rsid w:val="5CAD47A2"/>
    <w:rsid w:val="5CB32755"/>
    <w:rsid w:val="5CB564CD"/>
    <w:rsid w:val="5CBC3D00"/>
    <w:rsid w:val="5CC76201"/>
    <w:rsid w:val="5CD03304"/>
    <w:rsid w:val="5CD526CC"/>
    <w:rsid w:val="5CD728E8"/>
    <w:rsid w:val="5CE13766"/>
    <w:rsid w:val="5CE45005"/>
    <w:rsid w:val="5CED210B"/>
    <w:rsid w:val="5CED5FBE"/>
    <w:rsid w:val="5CF615B6"/>
    <w:rsid w:val="5CFF78B2"/>
    <w:rsid w:val="5D03340F"/>
    <w:rsid w:val="5D0905C7"/>
    <w:rsid w:val="5D0E5BDE"/>
    <w:rsid w:val="5D1115A1"/>
    <w:rsid w:val="5D137698"/>
    <w:rsid w:val="5D153410"/>
    <w:rsid w:val="5D160859"/>
    <w:rsid w:val="5D1D22C5"/>
    <w:rsid w:val="5D316D69"/>
    <w:rsid w:val="5D380C0A"/>
    <w:rsid w:val="5D386F41"/>
    <w:rsid w:val="5D4A4757"/>
    <w:rsid w:val="5D4A5E95"/>
    <w:rsid w:val="5D4D485E"/>
    <w:rsid w:val="5D55249C"/>
    <w:rsid w:val="5D5B27A1"/>
    <w:rsid w:val="5D654234"/>
    <w:rsid w:val="5D706898"/>
    <w:rsid w:val="5D7243BE"/>
    <w:rsid w:val="5D8B722E"/>
    <w:rsid w:val="5D8C6892"/>
    <w:rsid w:val="5D8F31C2"/>
    <w:rsid w:val="5D902A97"/>
    <w:rsid w:val="5D9731C9"/>
    <w:rsid w:val="5DA12EF6"/>
    <w:rsid w:val="5DA165FC"/>
    <w:rsid w:val="5DB05952"/>
    <w:rsid w:val="5DB25078"/>
    <w:rsid w:val="5DB3780B"/>
    <w:rsid w:val="5DB9023F"/>
    <w:rsid w:val="5DBC388C"/>
    <w:rsid w:val="5DBF512A"/>
    <w:rsid w:val="5DCC6AFE"/>
    <w:rsid w:val="5DCD274A"/>
    <w:rsid w:val="5DCD57F8"/>
    <w:rsid w:val="5DD45079"/>
    <w:rsid w:val="5DD97537"/>
    <w:rsid w:val="5DDB1F64"/>
    <w:rsid w:val="5DDC6ADA"/>
    <w:rsid w:val="5DDE1A54"/>
    <w:rsid w:val="5DDE3B09"/>
    <w:rsid w:val="5DE132F2"/>
    <w:rsid w:val="5DF9773E"/>
    <w:rsid w:val="5DFB0858"/>
    <w:rsid w:val="5E090436"/>
    <w:rsid w:val="5E0F5B86"/>
    <w:rsid w:val="5E1816F8"/>
    <w:rsid w:val="5E1E4AD4"/>
    <w:rsid w:val="5E2002BE"/>
    <w:rsid w:val="5E272270"/>
    <w:rsid w:val="5E280F21"/>
    <w:rsid w:val="5E2C6C63"/>
    <w:rsid w:val="5E317DD6"/>
    <w:rsid w:val="5E3D2C1E"/>
    <w:rsid w:val="5E421FE3"/>
    <w:rsid w:val="5E48511F"/>
    <w:rsid w:val="5E505E3C"/>
    <w:rsid w:val="5E65071E"/>
    <w:rsid w:val="5E684804"/>
    <w:rsid w:val="5E6F08FE"/>
    <w:rsid w:val="5E7029E5"/>
    <w:rsid w:val="5E710B1A"/>
    <w:rsid w:val="5E786124"/>
    <w:rsid w:val="5E824AD5"/>
    <w:rsid w:val="5E824F54"/>
    <w:rsid w:val="5E8878D3"/>
    <w:rsid w:val="5E8E1C6D"/>
    <w:rsid w:val="5E9640DD"/>
    <w:rsid w:val="5E9A19B1"/>
    <w:rsid w:val="5E9C47B5"/>
    <w:rsid w:val="5E9F7435"/>
    <w:rsid w:val="5EAA549F"/>
    <w:rsid w:val="5EAD0B7A"/>
    <w:rsid w:val="5EC7015A"/>
    <w:rsid w:val="5ED343FC"/>
    <w:rsid w:val="5ED71496"/>
    <w:rsid w:val="5EDD1D0C"/>
    <w:rsid w:val="5EE25574"/>
    <w:rsid w:val="5EE27405"/>
    <w:rsid w:val="5EE45084"/>
    <w:rsid w:val="5EF2251B"/>
    <w:rsid w:val="5EF57055"/>
    <w:rsid w:val="5EF74E44"/>
    <w:rsid w:val="5F000796"/>
    <w:rsid w:val="5F0157EA"/>
    <w:rsid w:val="5F06732B"/>
    <w:rsid w:val="5F136503"/>
    <w:rsid w:val="5F155949"/>
    <w:rsid w:val="5F197C00"/>
    <w:rsid w:val="5F4916B0"/>
    <w:rsid w:val="5F4D4A90"/>
    <w:rsid w:val="5F4D71F4"/>
    <w:rsid w:val="5F4E479B"/>
    <w:rsid w:val="5F57386C"/>
    <w:rsid w:val="5F5A15AE"/>
    <w:rsid w:val="5F6661A5"/>
    <w:rsid w:val="5F6F6A29"/>
    <w:rsid w:val="5F7024A5"/>
    <w:rsid w:val="5F7268F8"/>
    <w:rsid w:val="5F797C86"/>
    <w:rsid w:val="5F7B2BA2"/>
    <w:rsid w:val="5F7C7776"/>
    <w:rsid w:val="5F864151"/>
    <w:rsid w:val="5F8A2976"/>
    <w:rsid w:val="5F8B5C0B"/>
    <w:rsid w:val="5F926F9A"/>
    <w:rsid w:val="5F970311"/>
    <w:rsid w:val="5F9F5720"/>
    <w:rsid w:val="5FA158DC"/>
    <w:rsid w:val="5FAD16DE"/>
    <w:rsid w:val="5FB07420"/>
    <w:rsid w:val="5FB20648"/>
    <w:rsid w:val="5FB26231"/>
    <w:rsid w:val="5FB76FA7"/>
    <w:rsid w:val="5FBB029F"/>
    <w:rsid w:val="5FBD4096"/>
    <w:rsid w:val="5FBE38EB"/>
    <w:rsid w:val="5FC15A05"/>
    <w:rsid w:val="5FC2644A"/>
    <w:rsid w:val="5FC436B0"/>
    <w:rsid w:val="5FC66458"/>
    <w:rsid w:val="5FC66C44"/>
    <w:rsid w:val="5FC85B85"/>
    <w:rsid w:val="5FCB426A"/>
    <w:rsid w:val="5FCD6511"/>
    <w:rsid w:val="5FCF78A6"/>
    <w:rsid w:val="5FD72BFF"/>
    <w:rsid w:val="5FDA624B"/>
    <w:rsid w:val="5FE94095"/>
    <w:rsid w:val="60060996"/>
    <w:rsid w:val="600A6B30"/>
    <w:rsid w:val="600F2399"/>
    <w:rsid w:val="60123C37"/>
    <w:rsid w:val="60136A83"/>
    <w:rsid w:val="60193217"/>
    <w:rsid w:val="60196D73"/>
    <w:rsid w:val="601C4AB5"/>
    <w:rsid w:val="60275934"/>
    <w:rsid w:val="602816AC"/>
    <w:rsid w:val="602C2F4B"/>
    <w:rsid w:val="602E3E17"/>
    <w:rsid w:val="60362253"/>
    <w:rsid w:val="60367925"/>
    <w:rsid w:val="603A0266"/>
    <w:rsid w:val="603C4F45"/>
    <w:rsid w:val="603F0DDC"/>
    <w:rsid w:val="60471CC2"/>
    <w:rsid w:val="604A797B"/>
    <w:rsid w:val="605129B1"/>
    <w:rsid w:val="60526456"/>
    <w:rsid w:val="60583D40"/>
    <w:rsid w:val="60583E35"/>
    <w:rsid w:val="60593614"/>
    <w:rsid w:val="605A02DB"/>
    <w:rsid w:val="605A6899"/>
    <w:rsid w:val="60631B06"/>
    <w:rsid w:val="60662C73"/>
    <w:rsid w:val="60675D31"/>
    <w:rsid w:val="606B20AB"/>
    <w:rsid w:val="606E4588"/>
    <w:rsid w:val="60732927"/>
    <w:rsid w:val="607466A0"/>
    <w:rsid w:val="60791AEB"/>
    <w:rsid w:val="607B521D"/>
    <w:rsid w:val="607E56B2"/>
    <w:rsid w:val="6084265C"/>
    <w:rsid w:val="60844B35"/>
    <w:rsid w:val="608E7761"/>
    <w:rsid w:val="60937FE1"/>
    <w:rsid w:val="609A52AA"/>
    <w:rsid w:val="609D0A67"/>
    <w:rsid w:val="60A56859"/>
    <w:rsid w:val="60AF2097"/>
    <w:rsid w:val="60B84F37"/>
    <w:rsid w:val="60C018E5"/>
    <w:rsid w:val="60C37C88"/>
    <w:rsid w:val="60C70EC5"/>
    <w:rsid w:val="60CA2366"/>
    <w:rsid w:val="60CB1B31"/>
    <w:rsid w:val="60CC028A"/>
    <w:rsid w:val="60CF36F6"/>
    <w:rsid w:val="60E1402B"/>
    <w:rsid w:val="60E21325"/>
    <w:rsid w:val="60E27AAD"/>
    <w:rsid w:val="60E91BE2"/>
    <w:rsid w:val="60ED7553"/>
    <w:rsid w:val="60F15F42"/>
    <w:rsid w:val="60FB5BB9"/>
    <w:rsid w:val="60FD3BA3"/>
    <w:rsid w:val="61180DC7"/>
    <w:rsid w:val="61186592"/>
    <w:rsid w:val="612B3202"/>
    <w:rsid w:val="612B4FB0"/>
    <w:rsid w:val="612C071A"/>
    <w:rsid w:val="612C423C"/>
    <w:rsid w:val="6135146B"/>
    <w:rsid w:val="61355E2F"/>
    <w:rsid w:val="61371BA7"/>
    <w:rsid w:val="61397812"/>
    <w:rsid w:val="61475B62"/>
    <w:rsid w:val="6148433B"/>
    <w:rsid w:val="615838CB"/>
    <w:rsid w:val="615E35D8"/>
    <w:rsid w:val="61630BEE"/>
    <w:rsid w:val="6164671D"/>
    <w:rsid w:val="61690F80"/>
    <w:rsid w:val="61761FA3"/>
    <w:rsid w:val="61783F6D"/>
    <w:rsid w:val="6179345E"/>
    <w:rsid w:val="617A7266"/>
    <w:rsid w:val="617B4ECB"/>
    <w:rsid w:val="61863B99"/>
    <w:rsid w:val="61895260"/>
    <w:rsid w:val="618E553F"/>
    <w:rsid w:val="618F6740"/>
    <w:rsid w:val="61947C35"/>
    <w:rsid w:val="619743F4"/>
    <w:rsid w:val="619C5EAE"/>
    <w:rsid w:val="61A22D98"/>
    <w:rsid w:val="61A93B9A"/>
    <w:rsid w:val="61B06987"/>
    <w:rsid w:val="61B51F6D"/>
    <w:rsid w:val="61BC02FE"/>
    <w:rsid w:val="61BD32C1"/>
    <w:rsid w:val="61CB2F12"/>
    <w:rsid w:val="61D00205"/>
    <w:rsid w:val="61D75138"/>
    <w:rsid w:val="61DB4C28"/>
    <w:rsid w:val="61E86918"/>
    <w:rsid w:val="61F335F4"/>
    <w:rsid w:val="61F359F2"/>
    <w:rsid w:val="61F51E64"/>
    <w:rsid w:val="61FA02C2"/>
    <w:rsid w:val="61FB7D23"/>
    <w:rsid w:val="6200643D"/>
    <w:rsid w:val="62045801"/>
    <w:rsid w:val="620852F1"/>
    <w:rsid w:val="620D3E17"/>
    <w:rsid w:val="620D6760"/>
    <w:rsid w:val="62143A89"/>
    <w:rsid w:val="621C1871"/>
    <w:rsid w:val="621C49F9"/>
    <w:rsid w:val="621E4F3C"/>
    <w:rsid w:val="62330506"/>
    <w:rsid w:val="623600B0"/>
    <w:rsid w:val="623C143F"/>
    <w:rsid w:val="62402CDD"/>
    <w:rsid w:val="624A37B7"/>
    <w:rsid w:val="624C78D4"/>
    <w:rsid w:val="624E2E3B"/>
    <w:rsid w:val="624E68D5"/>
    <w:rsid w:val="62527693"/>
    <w:rsid w:val="62562501"/>
    <w:rsid w:val="62585B87"/>
    <w:rsid w:val="62614A02"/>
    <w:rsid w:val="62632983"/>
    <w:rsid w:val="626A0161"/>
    <w:rsid w:val="626A1B08"/>
    <w:rsid w:val="626F2755"/>
    <w:rsid w:val="62705956"/>
    <w:rsid w:val="62791D4B"/>
    <w:rsid w:val="62811D1C"/>
    <w:rsid w:val="628A3F58"/>
    <w:rsid w:val="6294694F"/>
    <w:rsid w:val="629D12CA"/>
    <w:rsid w:val="62A31718"/>
    <w:rsid w:val="62AD115F"/>
    <w:rsid w:val="62B545C6"/>
    <w:rsid w:val="62B876BA"/>
    <w:rsid w:val="62B9483E"/>
    <w:rsid w:val="62C15D22"/>
    <w:rsid w:val="62C2367E"/>
    <w:rsid w:val="62CD0900"/>
    <w:rsid w:val="62D41677"/>
    <w:rsid w:val="62D52542"/>
    <w:rsid w:val="62DB47B4"/>
    <w:rsid w:val="62E0626E"/>
    <w:rsid w:val="62FA7330"/>
    <w:rsid w:val="62FB6C04"/>
    <w:rsid w:val="6306451B"/>
    <w:rsid w:val="63091321"/>
    <w:rsid w:val="630930CF"/>
    <w:rsid w:val="63095E24"/>
    <w:rsid w:val="630B32EB"/>
    <w:rsid w:val="630C60A6"/>
    <w:rsid w:val="63175732"/>
    <w:rsid w:val="631B2E02"/>
    <w:rsid w:val="632919C3"/>
    <w:rsid w:val="632B74E9"/>
    <w:rsid w:val="6338795A"/>
    <w:rsid w:val="633A0D5A"/>
    <w:rsid w:val="633B16F7"/>
    <w:rsid w:val="633F5DED"/>
    <w:rsid w:val="63402869"/>
    <w:rsid w:val="63456FA8"/>
    <w:rsid w:val="634B355F"/>
    <w:rsid w:val="634B514E"/>
    <w:rsid w:val="634C3904"/>
    <w:rsid w:val="635114F2"/>
    <w:rsid w:val="636874DE"/>
    <w:rsid w:val="636B5B38"/>
    <w:rsid w:val="636D5D54"/>
    <w:rsid w:val="637D3ABD"/>
    <w:rsid w:val="63825CD6"/>
    <w:rsid w:val="6384309D"/>
    <w:rsid w:val="638766EA"/>
    <w:rsid w:val="63885851"/>
    <w:rsid w:val="63892462"/>
    <w:rsid w:val="63952BB5"/>
    <w:rsid w:val="639B20E8"/>
    <w:rsid w:val="63AF4018"/>
    <w:rsid w:val="63B166B4"/>
    <w:rsid w:val="63B219B9"/>
    <w:rsid w:val="63B35731"/>
    <w:rsid w:val="63B360CF"/>
    <w:rsid w:val="63B53257"/>
    <w:rsid w:val="63BB0E85"/>
    <w:rsid w:val="63BC16CC"/>
    <w:rsid w:val="63C34831"/>
    <w:rsid w:val="63C67212"/>
    <w:rsid w:val="63C94F54"/>
    <w:rsid w:val="63CC5849"/>
    <w:rsid w:val="63CD67F3"/>
    <w:rsid w:val="63CE59FF"/>
    <w:rsid w:val="63DE27AE"/>
    <w:rsid w:val="63E76553"/>
    <w:rsid w:val="63F70C4B"/>
    <w:rsid w:val="63FD78E3"/>
    <w:rsid w:val="64025D70"/>
    <w:rsid w:val="640D3093"/>
    <w:rsid w:val="64137683"/>
    <w:rsid w:val="64137F7D"/>
    <w:rsid w:val="641E605D"/>
    <w:rsid w:val="642B52C7"/>
    <w:rsid w:val="642C2FFF"/>
    <w:rsid w:val="642D7DF9"/>
    <w:rsid w:val="642F1E02"/>
    <w:rsid w:val="643A375C"/>
    <w:rsid w:val="64405EC1"/>
    <w:rsid w:val="64406FC4"/>
    <w:rsid w:val="64440CE6"/>
    <w:rsid w:val="644B1C02"/>
    <w:rsid w:val="645934B8"/>
    <w:rsid w:val="646A5BE0"/>
    <w:rsid w:val="648C220A"/>
    <w:rsid w:val="648D270F"/>
    <w:rsid w:val="6492186F"/>
    <w:rsid w:val="64946DA6"/>
    <w:rsid w:val="64990F49"/>
    <w:rsid w:val="649B244D"/>
    <w:rsid w:val="64A27E5C"/>
    <w:rsid w:val="64A37553"/>
    <w:rsid w:val="64A5151D"/>
    <w:rsid w:val="64B27796"/>
    <w:rsid w:val="64B953BB"/>
    <w:rsid w:val="64BF2F67"/>
    <w:rsid w:val="64C82749"/>
    <w:rsid w:val="64C9691A"/>
    <w:rsid w:val="64CE1ADF"/>
    <w:rsid w:val="64CF218E"/>
    <w:rsid w:val="64D8544F"/>
    <w:rsid w:val="64DA57C2"/>
    <w:rsid w:val="64DB4361"/>
    <w:rsid w:val="64DD55CE"/>
    <w:rsid w:val="64F8789F"/>
    <w:rsid w:val="64FD2EA1"/>
    <w:rsid w:val="6502122D"/>
    <w:rsid w:val="65055B18"/>
    <w:rsid w:val="650730DA"/>
    <w:rsid w:val="6509385A"/>
    <w:rsid w:val="650E0E71"/>
    <w:rsid w:val="651F62A0"/>
    <w:rsid w:val="65313307"/>
    <w:rsid w:val="65336821"/>
    <w:rsid w:val="65444892"/>
    <w:rsid w:val="654666FA"/>
    <w:rsid w:val="65551596"/>
    <w:rsid w:val="655C6080"/>
    <w:rsid w:val="656071F2"/>
    <w:rsid w:val="65610E1C"/>
    <w:rsid w:val="65626BE9"/>
    <w:rsid w:val="656715F7"/>
    <w:rsid w:val="656960A7"/>
    <w:rsid w:val="656E190F"/>
    <w:rsid w:val="65744A4C"/>
    <w:rsid w:val="657767E8"/>
    <w:rsid w:val="65792400"/>
    <w:rsid w:val="657A6B85"/>
    <w:rsid w:val="657B402C"/>
    <w:rsid w:val="65876E75"/>
    <w:rsid w:val="658B2578"/>
    <w:rsid w:val="65A43583"/>
    <w:rsid w:val="65A748A2"/>
    <w:rsid w:val="65AB2B63"/>
    <w:rsid w:val="65B13FDF"/>
    <w:rsid w:val="65B66C75"/>
    <w:rsid w:val="65BD2897"/>
    <w:rsid w:val="65BF03BD"/>
    <w:rsid w:val="65C508D3"/>
    <w:rsid w:val="65C51CA9"/>
    <w:rsid w:val="65D11F36"/>
    <w:rsid w:val="65D8147F"/>
    <w:rsid w:val="65D86017"/>
    <w:rsid w:val="65DB7500"/>
    <w:rsid w:val="65DF55FB"/>
    <w:rsid w:val="65EE0A11"/>
    <w:rsid w:val="65F8526B"/>
    <w:rsid w:val="65F90152"/>
    <w:rsid w:val="65FA125A"/>
    <w:rsid w:val="65FD3D85"/>
    <w:rsid w:val="66042274"/>
    <w:rsid w:val="66081D64"/>
    <w:rsid w:val="660C5B63"/>
    <w:rsid w:val="660E4F5F"/>
    <w:rsid w:val="66110D10"/>
    <w:rsid w:val="6628178B"/>
    <w:rsid w:val="662B7800"/>
    <w:rsid w:val="66363A30"/>
    <w:rsid w:val="663A49CF"/>
    <w:rsid w:val="664133F1"/>
    <w:rsid w:val="6646463A"/>
    <w:rsid w:val="664A244C"/>
    <w:rsid w:val="664C15AB"/>
    <w:rsid w:val="664D3C1B"/>
    <w:rsid w:val="665723A3"/>
    <w:rsid w:val="665B6338"/>
    <w:rsid w:val="665F0ED1"/>
    <w:rsid w:val="6660394E"/>
    <w:rsid w:val="666343BB"/>
    <w:rsid w:val="6664360E"/>
    <w:rsid w:val="66681372"/>
    <w:rsid w:val="66682803"/>
    <w:rsid w:val="666902A6"/>
    <w:rsid w:val="66716C77"/>
    <w:rsid w:val="66787717"/>
    <w:rsid w:val="6679056C"/>
    <w:rsid w:val="668A157A"/>
    <w:rsid w:val="6691111A"/>
    <w:rsid w:val="66940880"/>
    <w:rsid w:val="6696527A"/>
    <w:rsid w:val="66985FFF"/>
    <w:rsid w:val="66996E60"/>
    <w:rsid w:val="669D65D7"/>
    <w:rsid w:val="66B3120B"/>
    <w:rsid w:val="66B477F6"/>
    <w:rsid w:val="66BB6DD6"/>
    <w:rsid w:val="66BC18C7"/>
    <w:rsid w:val="66BF0218"/>
    <w:rsid w:val="66CB62AD"/>
    <w:rsid w:val="66D93700"/>
    <w:rsid w:val="66DA3FFA"/>
    <w:rsid w:val="66E520A5"/>
    <w:rsid w:val="66E77BCB"/>
    <w:rsid w:val="66EC51E2"/>
    <w:rsid w:val="66F83B86"/>
    <w:rsid w:val="66FD73EF"/>
    <w:rsid w:val="670C5884"/>
    <w:rsid w:val="671169F6"/>
    <w:rsid w:val="671273F1"/>
    <w:rsid w:val="67222BCE"/>
    <w:rsid w:val="67281F92"/>
    <w:rsid w:val="672C55DE"/>
    <w:rsid w:val="67330B4D"/>
    <w:rsid w:val="673E5744"/>
    <w:rsid w:val="673F5705"/>
    <w:rsid w:val="674212A6"/>
    <w:rsid w:val="67481191"/>
    <w:rsid w:val="674A0958"/>
    <w:rsid w:val="675133D8"/>
    <w:rsid w:val="67535261"/>
    <w:rsid w:val="6759126B"/>
    <w:rsid w:val="67634DBC"/>
    <w:rsid w:val="67642FCA"/>
    <w:rsid w:val="67771B1A"/>
    <w:rsid w:val="677E1BB2"/>
    <w:rsid w:val="67825B46"/>
    <w:rsid w:val="67832408"/>
    <w:rsid w:val="678626E3"/>
    <w:rsid w:val="67875AB5"/>
    <w:rsid w:val="678A0557"/>
    <w:rsid w:val="678F1183"/>
    <w:rsid w:val="67955879"/>
    <w:rsid w:val="67A03A53"/>
    <w:rsid w:val="67A400BF"/>
    <w:rsid w:val="67B54A9A"/>
    <w:rsid w:val="67B83316"/>
    <w:rsid w:val="67C751F6"/>
    <w:rsid w:val="67CF7936"/>
    <w:rsid w:val="67E062C9"/>
    <w:rsid w:val="67E1286C"/>
    <w:rsid w:val="67E759A9"/>
    <w:rsid w:val="67EE4F89"/>
    <w:rsid w:val="67F1641A"/>
    <w:rsid w:val="67F56318"/>
    <w:rsid w:val="67FB209D"/>
    <w:rsid w:val="680B1697"/>
    <w:rsid w:val="680E5F39"/>
    <w:rsid w:val="6817628E"/>
    <w:rsid w:val="681C1AF7"/>
    <w:rsid w:val="681D13CB"/>
    <w:rsid w:val="681E586F"/>
    <w:rsid w:val="681E5DE9"/>
    <w:rsid w:val="683010FE"/>
    <w:rsid w:val="68330BEE"/>
    <w:rsid w:val="683809A6"/>
    <w:rsid w:val="684B4CAC"/>
    <w:rsid w:val="68550B65"/>
    <w:rsid w:val="68686AEA"/>
    <w:rsid w:val="68694610"/>
    <w:rsid w:val="686C2E83"/>
    <w:rsid w:val="686D0766"/>
    <w:rsid w:val="68703BF0"/>
    <w:rsid w:val="68726AB9"/>
    <w:rsid w:val="687731D1"/>
    <w:rsid w:val="6878480A"/>
    <w:rsid w:val="687B00B0"/>
    <w:rsid w:val="687E1273"/>
    <w:rsid w:val="68831B76"/>
    <w:rsid w:val="688E4A19"/>
    <w:rsid w:val="68994EF5"/>
    <w:rsid w:val="689B14F6"/>
    <w:rsid w:val="689E250C"/>
    <w:rsid w:val="68A22F22"/>
    <w:rsid w:val="68A67612"/>
    <w:rsid w:val="68B00491"/>
    <w:rsid w:val="68B0255A"/>
    <w:rsid w:val="68B12AC7"/>
    <w:rsid w:val="68B6208E"/>
    <w:rsid w:val="68B95597"/>
    <w:rsid w:val="68BB130F"/>
    <w:rsid w:val="68BE670A"/>
    <w:rsid w:val="68C06926"/>
    <w:rsid w:val="68C2564E"/>
    <w:rsid w:val="68C33D20"/>
    <w:rsid w:val="68C36E24"/>
    <w:rsid w:val="68C741D6"/>
    <w:rsid w:val="68CC1914"/>
    <w:rsid w:val="68CF6B69"/>
    <w:rsid w:val="68DB6D4C"/>
    <w:rsid w:val="68DB72BC"/>
    <w:rsid w:val="68DE32AE"/>
    <w:rsid w:val="68E24128"/>
    <w:rsid w:val="68E65C61"/>
    <w:rsid w:val="68F22857"/>
    <w:rsid w:val="68F24605"/>
    <w:rsid w:val="68F2471A"/>
    <w:rsid w:val="690041AC"/>
    <w:rsid w:val="69026F3E"/>
    <w:rsid w:val="690313ED"/>
    <w:rsid w:val="69166904"/>
    <w:rsid w:val="69191363"/>
    <w:rsid w:val="691A6652"/>
    <w:rsid w:val="691B590A"/>
    <w:rsid w:val="69216C99"/>
    <w:rsid w:val="69293B40"/>
    <w:rsid w:val="69323203"/>
    <w:rsid w:val="69331AD8"/>
    <w:rsid w:val="693E5A9D"/>
    <w:rsid w:val="694C01BA"/>
    <w:rsid w:val="6951757E"/>
    <w:rsid w:val="695452C0"/>
    <w:rsid w:val="69581096"/>
    <w:rsid w:val="6958153E"/>
    <w:rsid w:val="696A37BE"/>
    <w:rsid w:val="69847953"/>
    <w:rsid w:val="698E0152"/>
    <w:rsid w:val="69906A78"/>
    <w:rsid w:val="699F478D"/>
    <w:rsid w:val="69A155D0"/>
    <w:rsid w:val="69A2465A"/>
    <w:rsid w:val="69A26D0E"/>
    <w:rsid w:val="69A94906"/>
    <w:rsid w:val="69AA1A66"/>
    <w:rsid w:val="69AB5C99"/>
    <w:rsid w:val="69B83AA1"/>
    <w:rsid w:val="69C01C85"/>
    <w:rsid w:val="69C042CC"/>
    <w:rsid w:val="69C865E3"/>
    <w:rsid w:val="69DF47C8"/>
    <w:rsid w:val="69E623BC"/>
    <w:rsid w:val="69EF6982"/>
    <w:rsid w:val="69F119F4"/>
    <w:rsid w:val="69F30635"/>
    <w:rsid w:val="69F745C9"/>
    <w:rsid w:val="6A0665BA"/>
    <w:rsid w:val="6A0868C0"/>
    <w:rsid w:val="6A0C16F7"/>
    <w:rsid w:val="6A1A2066"/>
    <w:rsid w:val="6A1E20ED"/>
    <w:rsid w:val="6A310F89"/>
    <w:rsid w:val="6A3A44B6"/>
    <w:rsid w:val="6A402F3A"/>
    <w:rsid w:val="6A470981"/>
    <w:rsid w:val="6A495025"/>
    <w:rsid w:val="6A4E644F"/>
    <w:rsid w:val="6A5322B1"/>
    <w:rsid w:val="6A582B8E"/>
    <w:rsid w:val="6A6257BB"/>
    <w:rsid w:val="6A647785"/>
    <w:rsid w:val="6A6634FD"/>
    <w:rsid w:val="6A6872A3"/>
    <w:rsid w:val="6A6B466F"/>
    <w:rsid w:val="6A7379C8"/>
    <w:rsid w:val="6A7A6FA8"/>
    <w:rsid w:val="6A7C062B"/>
    <w:rsid w:val="6A7E2C0A"/>
    <w:rsid w:val="6A9A1E88"/>
    <w:rsid w:val="6A9C2CB6"/>
    <w:rsid w:val="6A9D5F27"/>
    <w:rsid w:val="6AA10FA8"/>
    <w:rsid w:val="6AA14535"/>
    <w:rsid w:val="6AA560DB"/>
    <w:rsid w:val="6AA70E9C"/>
    <w:rsid w:val="6AAA68BF"/>
    <w:rsid w:val="6ABC311D"/>
    <w:rsid w:val="6ABD0839"/>
    <w:rsid w:val="6AC00592"/>
    <w:rsid w:val="6AC0510F"/>
    <w:rsid w:val="6AC34955"/>
    <w:rsid w:val="6ACD70D8"/>
    <w:rsid w:val="6AD1341B"/>
    <w:rsid w:val="6AD54E94"/>
    <w:rsid w:val="6AD617F8"/>
    <w:rsid w:val="6ADD7329"/>
    <w:rsid w:val="6AE52674"/>
    <w:rsid w:val="6AEB57B0"/>
    <w:rsid w:val="6AED32D6"/>
    <w:rsid w:val="6AF503DD"/>
    <w:rsid w:val="6AFA51C9"/>
    <w:rsid w:val="6AFF300A"/>
    <w:rsid w:val="6B086362"/>
    <w:rsid w:val="6B0C5E52"/>
    <w:rsid w:val="6B1747F7"/>
    <w:rsid w:val="6B176FF1"/>
    <w:rsid w:val="6B1C3BBC"/>
    <w:rsid w:val="6B1F2F91"/>
    <w:rsid w:val="6B282560"/>
    <w:rsid w:val="6B3929BF"/>
    <w:rsid w:val="6B397730"/>
    <w:rsid w:val="6B4C26F3"/>
    <w:rsid w:val="6B59096C"/>
    <w:rsid w:val="6B5B52EC"/>
    <w:rsid w:val="6B5D66AE"/>
    <w:rsid w:val="6B5F6074"/>
    <w:rsid w:val="6B67752D"/>
    <w:rsid w:val="6B685053"/>
    <w:rsid w:val="6B6860EC"/>
    <w:rsid w:val="6B6C069F"/>
    <w:rsid w:val="6B6F4633"/>
    <w:rsid w:val="6B741C4A"/>
    <w:rsid w:val="6B7D28AC"/>
    <w:rsid w:val="6B8712C5"/>
    <w:rsid w:val="6B981494"/>
    <w:rsid w:val="6B9876E6"/>
    <w:rsid w:val="6BA21D5A"/>
    <w:rsid w:val="6BA44E39"/>
    <w:rsid w:val="6BA92E11"/>
    <w:rsid w:val="6BAA566B"/>
    <w:rsid w:val="6BAC0823"/>
    <w:rsid w:val="6BAD2A66"/>
    <w:rsid w:val="6BC4672D"/>
    <w:rsid w:val="6BC73B27"/>
    <w:rsid w:val="6BC90CE4"/>
    <w:rsid w:val="6BCB6BB1"/>
    <w:rsid w:val="6BD44496"/>
    <w:rsid w:val="6BD56D88"/>
    <w:rsid w:val="6BD749B7"/>
    <w:rsid w:val="6BDA09CA"/>
    <w:rsid w:val="6BDD2845"/>
    <w:rsid w:val="6BDE3191"/>
    <w:rsid w:val="6BE847F9"/>
    <w:rsid w:val="6BEC6B68"/>
    <w:rsid w:val="6BEC7A32"/>
    <w:rsid w:val="6BEE057C"/>
    <w:rsid w:val="6BEE2725"/>
    <w:rsid w:val="6BF219F0"/>
    <w:rsid w:val="6BF95CAB"/>
    <w:rsid w:val="6BFB5EC7"/>
    <w:rsid w:val="6BFE44B6"/>
    <w:rsid w:val="6C0B435C"/>
    <w:rsid w:val="6C0D75E2"/>
    <w:rsid w:val="6C1331CB"/>
    <w:rsid w:val="6C136D6D"/>
    <w:rsid w:val="6C1C4E12"/>
    <w:rsid w:val="6C226373"/>
    <w:rsid w:val="6C262F44"/>
    <w:rsid w:val="6C270A6A"/>
    <w:rsid w:val="6C336341"/>
    <w:rsid w:val="6C3867D3"/>
    <w:rsid w:val="6C3A254B"/>
    <w:rsid w:val="6C4258A4"/>
    <w:rsid w:val="6C507FC1"/>
    <w:rsid w:val="6C580C23"/>
    <w:rsid w:val="6C5A0E3F"/>
    <w:rsid w:val="6C6104C5"/>
    <w:rsid w:val="6C631F97"/>
    <w:rsid w:val="6C633B55"/>
    <w:rsid w:val="6C6972D4"/>
    <w:rsid w:val="6C697A79"/>
    <w:rsid w:val="6C6A2B35"/>
    <w:rsid w:val="6C6C4AF3"/>
    <w:rsid w:val="6C7812C6"/>
    <w:rsid w:val="6C7C0FBC"/>
    <w:rsid w:val="6C7D068A"/>
    <w:rsid w:val="6C8934D3"/>
    <w:rsid w:val="6C8B724B"/>
    <w:rsid w:val="6C911304"/>
    <w:rsid w:val="6C983716"/>
    <w:rsid w:val="6C9854C4"/>
    <w:rsid w:val="6CA34594"/>
    <w:rsid w:val="6CAE2F39"/>
    <w:rsid w:val="6CAF619F"/>
    <w:rsid w:val="6CB247D7"/>
    <w:rsid w:val="6CB30550"/>
    <w:rsid w:val="6CB43BD9"/>
    <w:rsid w:val="6CBA368C"/>
    <w:rsid w:val="6CBB78D5"/>
    <w:rsid w:val="6CBF0CA2"/>
    <w:rsid w:val="6CC02668"/>
    <w:rsid w:val="6CC21AA7"/>
    <w:rsid w:val="6CC77AF7"/>
    <w:rsid w:val="6CCD72EF"/>
    <w:rsid w:val="6CD40BF2"/>
    <w:rsid w:val="6CD56718"/>
    <w:rsid w:val="6CDD04AE"/>
    <w:rsid w:val="6CDE464C"/>
    <w:rsid w:val="6CDF38D3"/>
    <w:rsid w:val="6CE62B16"/>
    <w:rsid w:val="6CE95D1F"/>
    <w:rsid w:val="6CF638B9"/>
    <w:rsid w:val="6CF77E87"/>
    <w:rsid w:val="6D18035A"/>
    <w:rsid w:val="6D194017"/>
    <w:rsid w:val="6D1B530F"/>
    <w:rsid w:val="6D1C0120"/>
    <w:rsid w:val="6D21195D"/>
    <w:rsid w:val="6D2A25C0"/>
    <w:rsid w:val="6D364707"/>
    <w:rsid w:val="6D3C3782"/>
    <w:rsid w:val="6D447771"/>
    <w:rsid w:val="6D4573FA"/>
    <w:rsid w:val="6D47309D"/>
    <w:rsid w:val="6D4E7641"/>
    <w:rsid w:val="6D543AE1"/>
    <w:rsid w:val="6D596693"/>
    <w:rsid w:val="6D616BAD"/>
    <w:rsid w:val="6D673814"/>
    <w:rsid w:val="6D763A57"/>
    <w:rsid w:val="6D76442B"/>
    <w:rsid w:val="6D77332B"/>
    <w:rsid w:val="6D7D4DE5"/>
    <w:rsid w:val="6D880234"/>
    <w:rsid w:val="6D881C5D"/>
    <w:rsid w:val="6D8F68C7"/>
    <w:rsid w:val="6D913503"/>
    <w:rsid w:val="6D9E6B0A"/>
    <w:rsid w:val="6DA106DD"/>
    <w:rsid w:val="6DA700B4"/>
    <w:rsid w:val="6DAC4B73"/>
    <w:rsid w:val="6DB81631"/>
    <w:rsid w:val="6DBB156B"/>
    <w:rsid w:val="6DBE56AF"/>
    <w:rsid w:val="6DC74A88"/>
    <w:rsid w:val="6DC77211"/>
    <w:rsid w:val="6DD15131"/>
    <w:rsid w:val="6DD62748"/>
    <w:rsid w:val="6DE22E9A"/>
    <w:rsid w:val="6DE74955"/>
    <w:rsid w:val="6DE76703"/>
    <w:rsid w:val="6DEA1D4F"/>
    <w:rsid w:val="6DFB0400"/>
    <w:rsid w:val="6E046A79"/>
    <w:rsid w:val="6E072901"/>
    <w:rsid w:val="6E093483"/>
    <w:rsid w:val="6E1119D2"/>
    <w:rsid w:val="6E1374F8"/>
    <w:rsid w:val="6E1D3ED3"/>
    <w:rsid w:val="6E201C15"/>
    <w:rsid w:val="6E274D51"/>
    <w:rsid w:val="6E293ED4"/>
    <w:rsid w:val="6E33426E"/>
    <w:rsid w:val="6E35746E"/>
    <w:rsid w:val="6E3B25AB"/>
    <w:rsid w:val="6E4B2E0A"/>
    <w:rsid w:val="6E5001A7"/>
    <w:rsid w:val="6E5A7A44"/>
    <w:rsid w:val="6E5F7FBC"/>
    <w:rsid w:val="6E600263"/>
    <w:rsid w:val="6E62222D"/>
    <w:rsid w:val="6E66587A"/>
    <w:rsid w:val="6E66791E"/>
    <w:rsid w:val="6E712470"/>
    <w:rsid w:val="6E716F85"/>
    <w:rsid w:val="6E7F693B"/>
    <w:rsid w:val="6E8042EA"/>
    <w:rsid w:val="6E8827BD"/>
    <w:rsid w:val="6E9B12A8"/>
    <w:rsid w:val="6EA01450"/>
    <w:rsid w:val="6EA039EE"/>
    <w:rsid w:val="6EA24FCD"/>
    <w:rsid w:val="6EB02F99"/>
    <w:rsid w:val="6EB33900"/>
    <w:rsid w:val="6EC3650B"/>
    <w:rsid w:val="6ECB1154"/>
    <w:rsid w:val="6ECD3B4B"/>
    <w:rsid w:val="6ECD6F03"/>
    <w:rsid w:val="6ED44ED9"/>
    <w:rsid w:val="6ED76777"/>
    <w:rsid w:val="6ED9678D"/>
    <w:rsid w:val="6EDA6521"/>
    <w:rsid w:val="6EDC0332"/>
    <w:rsid w:val="6EDF387E"/>
    <w:rsid w:val="6EE209A5"/>
    <w:rsid w:val="6EEB2223"/>
    <w:rsid w:val="6EF1151A"/>
    <w:rsid w:val="6EF34A31"/>
    <w:rsid w:val="6F0D4795"/>
    <w:rsid w:val="6F174DC6"/>
    <w:rsid w:val="6F2179F2"/>
    <w:rsid w:val="6F2614AD"/>
    <w:rsid w:val="6F27464F"/>
    <w:rsid w:val="6F285B39"/>
    <w:rsid w:val="6F321E6A"/>
    <w:rsid w:val="6F392F8E"/>
    <w:rsid w:val="6F3D645C"/>
    <w:rsid w:val="6F3E3F71"/>
    <w:rsid w:val="6F40256E"/>
    <w:rsid w:val="6F40631D"/>
    <w:rsid w:val="6F4D336D"/>
    <w:rsid w:val="6F4E211B"/>
    <w:rsid w:val="6F50316F"/>
    <w:rsid w:val="6F525DFE"/>
    <w:rsid w:val="6F564E7D"/>
    <w:rsid w:val="6F59718C"/>
    <w:rsid w:val="6F6049BF"/>
    <w:rsid w:val="6F614293"/>
    <w:rsid w:val="6F685621"/>
    <w:rsid w:val="6F6C08B9"/>
    <w:rsid w:val="6F6D46CD"/>
    <w:rsid w:val="6F7E4E45"/>
    <w:rsid w:val="6F821B1B"/>
    <w:rsid w:val="6F881820"/>
    <w:rsid w:val="6F892AA5"/>
    <w:rsid w:val="6F8C57B4"/>
    <w:rsid w:val="6F8F776A"/>
    <w:rsid w:val="6F9A449D"/>
    <w:rsid w:val="6FA25BDC"/>
    <w:rsid w:val="6FAC3760"/>
    <w:rsid w:val="6FAD572A"/>
    <w:rsid w:val="6FB6638D"/>
    <w:rsid w:val="6FB72105"/>
    <w:rsid w:val="6FB80735"/>
    <w:rsid w:val="6FBD57C0"/>
    <w:rsid w:val="6FC211D5"/>
    <w:rsid w:val="6FC50CC6"/>
    <w:rsid w:val="6FCC593E"/>
    <w:rsid w:val="6FD1766A"/>
    <w:rsid w:val="6FE423F0"/>
    <w:rsid w:val="6FE45E13"/>
    <w:rsid w:val="6FED7AF5"/>
    <w:rsid w:val="6FEF1874"/>
    <w:rsid w:val="6FF07311"/>
    <w:rsid w:val="6FF7346A"/>
    <w:rsid w:val="6FFC3047"/>
    <w:rsid w:val="70027824"/>
    <w:rsid w:val="700A317F"/>
    <w:rsid w:val="700C0C26"/>
    <w:rsid w:val="700C69E4"/>
    <w:rsid w:val="700E5D38"/>
    <w:rsid w:val="70141305"/>
    <w:rsid w:val="701D640C"/>
    <w:rsid w:val="702B3633"/>
    <w:rsid w:val="702C49B3"/>
    <w:rsid w:val="70441BEA"/>
    <w:rsid w:val="704A2F79"/>
    <w:rsid w:val="705C3C8C"/>
    <w:rsid w:val="70726C6C"/>
    <w:rsid w:val="707D50FC"/>
    <w:rsid w:val="70840239"/>
    <w:rsid w:val="708E10B8"/>
    <w:rsid w:val="708F6DAD"/>
    <w:rsid w:val="70904E30"/>
    <w:rsid w:val="709F1517"/>
    <w:rsid w:val="70AD69B0"/>
    <w:rsid w:val="70BF1417"/>
    <w:rsid w:val="70CB2F29"/>
    <w:rsid w:val="70D23504"/>
    <w:rsid w:val="70D86EF4"/>
    <w:rsid w:val="70DA09FB"/>
    <w:rsid w:val="70DB74A5"/>
    <w:rsid w:val="70DC62C7"/>
    <w:rsid w:val="70E405A3"/>
    <w:rsid w:val="70E46F2A"/>
    <w:rsid w:val="70E60EF4"/>
    <w:rsid w:val="70EE7DA8"/>
    <w:rsid w:val="70F626C0"/>
    <w:rsid w:val="70F76C5D"/>
    <w:rsid w:val="70F80C27"/>
    <w:rsid w:val="70FD2FB0"/>
    <w:rsid w:val="71082A99"/>
    <w:rsid w:val="711463AD"/>
    <w:rsid w:val="71153587"/>
    <w:rsid w:val="711A294B"/>
    <w:rsid w:val="711A2AB9"/>
    <w:rsid w:val="711B7BED"/>
    <w:rsid w:val="711D1287"/>
    <w:rsid w:val="711F7F62"/>
    <w:rsid w:val="712678DA"/>
    <w:rsid w:val="712D08D1"/>
    <w:rsid w:val="712D267F"/>
    <w:rsid w:val="713129B2"/>
    <w:rsid w:val="715C0DE6"/>
    <w:rsid w:val="71786B43"/>
    <w:rsid w:val="717A02F0"/>
    <w:rsid w:val="717E737E"/>
    <w:rsid w:val="71804559"/>
    <w:rsid w:val="71864485"/>
    <w:rsid w:val="7186530C"/>
    <w:rsid w:val="71872123"/>
    <w:rsid w:val="71874638"/>
    <w:rsid w:val="71940950"/>
    <w:rsid w:val="71954A4E"/>
    <w:rsid w:val="71972B8A"/>
    <w:rsid w:val="71997D14"/>
    <w:rsid w:val="719A7642"/>
    <w:rsid w:val="719B7F30"/>
    <w:rsid w:val="719E7958"/>
    <w:rsid w:val="71A06D61"/>
    <w:rsid w:val="71AC4C4E"/>
    <w:rsid w:val="71AF3F93"/>
    <w:rsid w:val="71B15BA8"/>
    <w:rsid w:val="71B27028"/>
    <w:rsid w:val="71B52674"/>
    <w:rsid w:val="71B763EC"/>
    <w:rsid w:val="71C54FAD"/>
    <w:rsid w:val="71C84B3A"/>
    <w:rsid w:val="71CF615B"/>
    <w:rsid w:val="71D41ADC"/>
    <w:rsid w:val="71DB180B"/>
    <w:rsid w:val="71E2790D"/>
    <w:rsid w:val="71E73175"/>
    <w:rsid w:val="71EA6A44"/>
    <w:rsid w:val="71F118FE"/>
    <w:rsid w:val="71F23293"/>
    <w:rsid w:val="71F25676"/>
    <w:rsid w:val="71F475E4"/>
    <w:rsid w:val="71F81592"/>
    <w:rsid w:val="71F820D6"/>
    <w:rsid w:val="71F96A05"/>
    <w:rsid w:val="71FB5066"/>
    <w:rsid w:val="72014408"/>
    <w:rsid w:val="72022025"/>
    <w:rsid w:val="72067721"/>
    <w:rsid w:val="720D1255"/>
    <w:rsid w:val="72186B9B"/>
    <w:rsid w:val="721879D9"/>
    <w:rsid w:val="721A7869"/>
    <w:rsid w:val="722021E3"/>
    <w:rsid w:val="722B03C7"/>
    <w:rsid w:val="722E709D"/>
    <w:rsid w:val="722F2426"/>
    <w:rsid w:val="7230106C"/>
    <w:rsid w:val="72330169"/>
    <w:rsid w:val="72331F17"/>
    <w:rsid w:val="72364028"/>
    <w:rsid w:val="724179B2"/>
    <w:rsid w:val="72477770"/>
    <w:rsid w:val="7249798C"/>
    <w:rsid w:val="72505D04"/>
    <w:rsid w:val="72645BFF"/>
    <w:rsid w:val="72691DDC"/>
    <w:rsid w:val="726D2594"/>
    <w:rsid w:val="727B38BE"/>
    <w:rsid w:val="727B7064"/>
    <w:rsid w:val="727E14FC"/>
    <w:rsid w:val="72835636"/>
    <w:rsid w:val="72851A38"/>
    <w:rsid w:val="728A6F0F"/>
    <w:rsid w:val="728C5E46"/>
    <w:rsid w:val="728D7209"/>
    <w:rsid w:val="72912870"/>
    <w:rsid w:val="72933FAE"/>
    <w:rsid w:val="729B372D"/>
    <w:rsid w:val="729B5D0E"/>
    <w:rsid w:val="72A26EFE"/>
    <w:rsid w:val="72A42E14"/>
    <w:rsid w:val="72AB5D3E"/>
    <w:rsid w:val="72B15531"/>
    <w:rsid w:val="72B56DCF"/>
    <w:rsid w:val="72B62B48"/>
    <w:rsid w:val="72BA2FE3"/>
    <w:rsid w:val="72BF19FC"/>
    <w:rsid w:val="72C2329A"/>
    <w:rsid w:val="72C47013"/>
    <w:rsid w:val="72C63C7F"/>
    <w:rsid w:val="72C76B03"/>
    <w:rsid w:val="72C83F3E"/>
    <w:rsid w:val="72D27981"/>
    <w:rsid w:val="72D354A8"/>
    <w:rsid w:val="72E20C2F"/>
    <w:rsid w:val="72E535BB"/>
    <w:rsid w:val="72E651DB"/>
    <w:rsid w:val="72F21DD2"/>
    <w:rsid w:val="72F2223B"/>
    <w:rsid w:val="72FC67AC"/>
    <w:rsid w:val="7301621E"/>
    <w:rsid w:val="730A1B38"/>
    <w:rsid w:val="730A3BF2"/>
    <w:rsid w:val="731A30D6"/>
    <w:rsid w:val="731A4E85"/>
    <w:rsid w:val="73214465"/>
    <w:rsid w:val="732301DD"/>
    <w:rsid w:val="732D105C"/>
    <w:rsid w:val="732F15BE"/>
    <w:rsid w:val="7339611F"/>
    <w:rsid w:val="733E5017"/>
    <w:rsid w:val="733F48EB"/>
    <w:rsid w:val="73441F01"/>
    <w:rsid w:val="734844B1"/>
    <w:rsid w:val="734C0DB6"/>
    <w:rsid w:val="734E41BF"/>
    <w:rsid w:val="73517F54"/>
    <w:rsid w:val="73526652"/>
    <w:rsid w:val="735C724B"/>
    <w:rsid w:val="73676D32"/>
    <w:rsid w:val="736B3932"/>
    <w:rsid w:val="73721419"/>
    <w:rsid w:val="737A3B75"/>
    <w:rsid w:val="737A5923"/>
    <w:rsid w:val="737B1770"/>
    <w:rsid w:val="73834578"/>
    <w:rsid w:val="73840550"/>
    <w:rsid w:val="7388317E"/>
    <w:rsid w:val="73886292"/>
    <w:rsid w:val="73972979"/>
    <w:rsid w:val="739F0CFB"/>
    <w:rsid w:val="73B0236C"/>
    <w:rsid w:val="73BB6668"/>
    <w:rsid w:val="73BD5E16"/>
    <w:rsid w:val="73BE02D8"/>
    <w:rsid w:val="73BF2A78"/>
    <w:rsid w:val="73BF7E01"/>
    <w:rsid w:val="73C6500C"/>
    <w:rsid w:val="73CB43D1"/>
    <w:rsid w:val="73D50AB3"/>
    <w:rsid w:val="73DB4206"/>
    <w:rsid w:val="73DC6F23"/>
    <w:rsid w:val="73DE4F7C"/>
    <w:rsid w:val="73E536E4"/>
    <w:rsid w:val="73E86D45"/>
    <w:rsid w:val="73EA61B1"/>
    <w:rsid w:val="73EB2787"/>
    <w:rsid w:val="73F30AFC"/>
    <w:rsid w:val="73F47D90"/>
    <w:rsid w:val="74017DF2"/>
    <w:rsid w:val="74143FCA"/>
    <w:rsid w:val="741E6C86"/>
    <w:rsid w:val="74222B8F"/>
    <w:rsid w:val="74244C3E"/>
    <w:rsid w:val="74253798"/>
    <w:rsid w:val="74427684"/>
    <w:rsid w:val="745412CE"/>
    <w:rsid w:val="745D14CD"/>
    <w:rsid w:val="745D771F"/>
    <w:rsid w:val="7467234B"/>
    <w:rsid w:val="746D6D3F"/>
    <w:rsid w:val="746E4B9F"/>
    <w:rsid w:val="746F26E3"/>
    <w:rsid w:val="74712CD4"/>
    <w:rsid w:val="748E79EE"/>
    <w:rsid w:val="74997316"/>
    <w:rsid w:val="74A36BA8"/>
    <w:rsid w:val="74A4534E"/>
    <w:rsid w:val="74AC5174"/>
    <w:rsid w:val="74B66E2F"/>
    <w:rsid w:val="74BA133C"/>
    <w:rsid w:val="74BB4A17"/>
    <w:rsid w:val="74BF5CE3"/>
    <w:rsid w:val="74C0135E"/>
    <w:rsid w:val="74C07CAE"/>
    <w:rsid w:val="74C34F52"/>
    <w:rsid w:val="74C66D2B"/>
    <w:rsid w:val="74CA4688"/>
    <w:rsid w:val="74D3353D"/>
    <w:rsid w:val="74DC429F"/>
    <w:rsid w:val="74E03A67"/>
    <w:rsid w:val="74E12E7E"/>
    <w:rsid w:val="74F32E9A"/>
    <w:rsid w:val="74F6722B"/>
    <w:rsid w:val="74F846C4"/>
    <w:rsid w:val="74FA5107"/>
    <w:rsid w:val="74FE1ABE"/>
    <w:rsid w:val="7506570B"/>
    <w:rsid w:val="750A4F09"/>
    <w:rsid w:val="750C2B28"/>
    <w:rsid w:val="750D1A10"/>
    <w:rsid w:val="750E27C7"/>
    <w:rsid w:val="75125495"/>
    <w:rsid w:val="7513069A"/>
    <w:rsid w:val="75143F3E"/>
    <w:rsid w:val="75151E51"/>
    <w:rsid w:val="75153B55"/>
    <w:rsid w:val="7516167C"/>
    <w:rsid w:val="751C1388"/>
    <w:rsid w:val="751D25D3"/>
    <w:rsid w:val="751F5950"/>
    <w:rsid w:val="75264CAF"/>
    <w:rsid w:val="75273889"/>
    <w:rsid w:val="7530273D"/>
    <w:rsid w:val="75306BE1"/>
    <w:rsid w:val="7535244A"/>
    <w:rsid w:val="7537275F"/>
    <w:rsid w:val="75390766"/>
    <w:rsid w:val="753E1D9A"/>
    <w:rsid w:val="75422471"/>
    <w:rsid w:val="754900EA"/>
    <w:rsid w:val="755A1EB0"/>
    <w:rsid w:val="755C79D6"/>
    <w:rsid w:val="75614FED"/>
    <w:rsid w:val="75630D65"/>
    <w:rsid w:val="757005AB"/>
    <w:rsid w:val="75752846"/>
    <w:rsid w:val="7577036C"/>
    <w:rsid w:val="75802AC1"/>
    <w:rsid w:val="7581743D"/>
    <w:rsid w:val="758E56B6"/>
    <w:rsid w:val="7592164A"/>
    <w:rsid w:val="759470DB"/>
    <w:rsid w:val="75971662"/>
    <w:rsid w:val="75A4312B"/>
    <w:rsid w:val="75A60C51"/>
    <w:rsid w:val="75AD2CAB"/>
    <w:rsid w:val="75B557CB"/>
    <w:rsid w:val="75B90985"/>
    <w:rsid w:val="75BA0E4D"/>
    <w:rsid w:val="75BA6D25"/>
    <w:rsid w:val="75C55B53"/>
    <w:rsid w:val="75CA04F1"/>
    <w:rsid w:val="75D43A11"/>
    <w:rsid w:val="75D60E9A"/>
    <w:rsid w:val="75DB69E8"/>
    <w:rsid w:val="75DB7BB6"/>
    <w:rsid w:val="75DC4D0C"/>
    <w:rsid w:val="75DF016E"/>
    <w:rsid w:val="75E467A6"/>
    <w:rsid w:val="75E70E46"/>
    <w:rsid w:val="75EA3234"/>
    <w:rsid w:val="75F35EF7"/>
    <w:rsid w:val="75F47C0F"/>
    <w:rsid w:val="75F54172"/>
    <w:rsid w:val="76067942"/>
    <w:rsid w:val="7614205F"/>
    <w:rsid w:val="76152C7A"/>
    <w:rsid w:val="761738FD"/>
    <w:rsid w:val="761E6A3A"/>
    <w:rsid w:val="76297AAD"/>
    <w:rsid w:val="762D4ECF"/>
    <w:rsid w:val="76391AC6"/>
    <w:rsid w:val="76395D30"/>
    <w:rsid w:val="763B0338"/>
    <w:rsid w:val="763C15B6"/>
    <w:rsid w:val="763D3D03"/>
    <w:rsid w:val="763E2880"/>
    <w:rsid w:val="764217E8"/>
    <w:rsid w:val="764F12E9"/>
    <w:rsid w:val="76562678"/>
    <w:rsid w:val="765A09F7"/>
    <w:rsid w:val="7662101C"/>
    <w:rsid w:val="76642FB2"/>
    <w:rsid w:val="76694E5C"/>
    <w:rsid w:val="767E415F"/>
    <w:rsid w:val="768E0063"/>
    <w:rsid w:val="76911902"/>
    <w:rsid w:val="76930DDA"/>
    <w:rsid w:val="76A21E7B"/>
    <w:rsid w:val="76A42CBE"/>
    <w:rsid w:val="76A52BBD"/>
    <w:rsid w:val="76AC766F"/>
    <w:rsid w:val="76AF1D88"/>
    <w:rsid w:val="76B13D52"/>
    <w:rsid w:val="76B63116"/>
    <w:rsid w:val="76BA0E58"/>
    <w:rsid w:val="76BA7305"/>
    <w:rsid w:val="76C577FD"/>
    <w:rsid w:val="76CA6119"/>
    <w:rsid w:val="76CD73D0"/>
    <w:rsid w:val="76D87530"/>
    <w:rsid w:val="76DF08BF"/>
    <w:rsid w:val="76DF30D9"/>
    <w:rsid w:val="76E41A31"/>
    <w:rsid w:val="76FB1C24"/>
    <w:rsid w:val="770420D4"/>
    <w:rsid w:val="77060EB2"/>
    <w:rsid w:val="7707194C"/>
    <w:rsid w:val="770B5B3B"/>
    <w:rsid w:val="770E2F52"/>
    <w:rsid w:val="771A165E"/>
    <w:rsid w:val="77244524"/>
    <w:rsid w:val="7726192C"/>
    <w:rsid w:val="77334767"/>
    <w:rsid w:val="77400C32"/>
    <w:rsid w:val="774523F0"/>
    <w:rsid w:val="775549AA"/>
    <w:rsid w:val="775766A7"/>
    <w:rsid w:val="775841CD"/>
    <w:rsid w:val="775F730A"/>
    <w:rsid w:val="77615311"/>
    <w:rsid w:val="776631E4"/>
    <w:rsid w:val="77664B3C"/>
    <w:rsid w:val="7768182A"/>
    <w:rsid w:val="776E3B94"/>
    <w:rsid w:val="77703384"/>
    <w:rsid w:val="777336A9"/>
    <w:rsid w:val="777B7B55"/>
    <w:rsid w:val="77811976"/>
    <w:rsid w:val="778D1F6A"/>
    <w:rsid w:val="77935205"/>
    <w:rsid w:val="77946252"/>
    <w:rsid w:val="779718E8"/>
    <w:rsid w:val="779908E0"/>
    <w:rsid w:val="77996AEC"/>
    <w:rsid w:val="77B957B4"/>
    <w:rsid w:val="77C03053"/>
    <w:rsid w:val="77C15CBD"/>
    <w:rsid w:val="77C655DB"/>
    <w:rsid w:val="77C74EAF"/>
    <w:rsid w:val="77CC4F9A"/>
    <w:rsid w:val="77CD2DED"/>
    <w:rsid w:val="77D4564A"/>
    <w:rsid w:val="77DA1086"/>
    <w:rsid w:val="77DA4423"/>
    <w:rsid w:val="77DF0702"/>
    <w:rsid w:val="77E372E8"/>
    <w:rsid w:val="77EA2ACD"/>
    <w:rsid w:val="77F57C6E"/>
    <w:rsid w:val="78072740"/>
    <w:rsid w:val="7808174F"/>
    <w:rsid w:val="780954C8"/>
    <w:rsid w:val="78100DE3"/>
    <w:rsid w:val="78125870"/>
    <w:rsid w:val="781E7E54"/>
    <w:rsid w:val="782C253B"/>
    <w:rsid w:val="782D3BC6"/>
    <w:rsid w:val="783267CC"/>
    <w:rsid w:val="783A38D3"/>
    <w:rsid w:val="783B4C61"/>
    <w:rsid w:val="783C589D"/>
    <w:rsid w:val="78404687"/>
    <w:rsid w:val="784976CA"/>
    <w:rsid w:val="784B788E"/>
    <w:rsid w:val="784C2381"/>
    <w:rsid w:val="78526E6F"/>
    <w:rsid w:val="785379BB"/>
    <w:rsid w:val="785748AE"/>
    <w:rsid w:val="785C2AD0"/>
    <w:rsid w:val="785D5F3F"/>
    <w:rsid w:val="7863124C"/>
    <w:rsid w:val="786F46F8"/>
    <w:rsid w:val="78765133"/>
    <w:rsid w:val="78774B27"/>
    <w:rsid w:val="78776B2A"/>
    <w:rsid w:val="788025B9"/>
    <w:rsid w:val="788060C0"/>
    <w:rsid w:val="78824EC6"/>
    <w:rsid w:val="78897940"/>
    <w:rsid w:val="78911745"/>
    <w:rsid w:val="78981BAF"/>
    <w:rsid w:val="78B43685"/>
    <w:rsid w:val="78B83176"/>
    <w:rsid w:val="78BF0096"/>
    <w:rsid w:val="78C31426"/>
    <w:rsid w:val="78CC3B41"/>
    <w:rsid w:val="78CC3CF7"/>
    <w:rsid w:val="78DA18D4"/>
    <w:rsid w:val="78DC4459"/>
    <w:rsid w:val="78E8332F"/>
    <w:rsid w:val="78F46178"/>
    <w:rsid w:val="78F84FB9"/>
    <w:rsid w:val="78FD6DDA"/>
    <w:rsid w:val="79004B1D"/>
    <w:rsid w:val="79022643"/>
    <w:rsid w:val="79050385"/>
    <w:rsid w:val="79083A3B"/>
    <w:rsid w:val="79183E47"/>
    <w:rsid w:val="791868FA"/>
    <w:rsid w:val="791B3704"/>
    <w:rsid w:val="79241437"/>
    <w:rsid w:val="792841C7"/>
    <w:rsid w:val="792F0DD0"/>
    <w:rsid w:val="79312F28"/>
    <w:rsid w:val="79314CD6"/>
    <w:rsid w:val="793B0B1F"/>
    <w:rsid w:val="79437F4F"/>
    <w:rsid w:val="79442C5B"/>
    <w:rsid w:val="79492020"/>
    <w:rsid w:val="79556C16"/>
    <w:rsid w:val="795B13AA"/>
    <w:rsid w:val="795B7FA5"/>
    <w:rsid w:val="795C744C"/>
    <w:rsid w:val="7961380D"/>
    <w:rsid w:val="796B53F0"/>
    <w:rsid w:val="796D3E79"/>
    <w:rsid w:val="796E5F2A"/>
    <w:rsid w:val="797002B2"/>
    <w:rsid w:val="7975017B"/>
    <w:rsid w:val="79752E15"/>
    <w:rsid w:val="79773031"/>
    <w:rsid w:val="797A48CF"/>
    <w:rsid w:val="797A789A"/>
    <w:rsid w:val="797B75B8"/>
    <w:rsid w:val="7988298D"/>
    <w:rsid w:val="798E2128"/>
    <w:rsid w:val="79A11E5C"/>
    <w:rsid w:val="79A35A3D"/>
    <w:rsid w:val="79AB6836"/>
    <w:rsid w:val="79AD6A52"/>
    <w:rsid w:val="79B42075"/>
    <w:rsid w:val="79B42F8A"/>
    <w:rsid w:val="79B53B59"/>
    <w:rsid w:val="79B85F2C"/>
    <w:rsid w:val="79BA4CCB"/>
    <w:rsid w:val="79C21DD2"/>
    <w:rsid w:val="79C30024"/>
    <w:rsid w:val="79C4388E"/>
    <w:rsid w:val="79C93160"/>
    <w:rsid w:val="79D57D57"/>
    <w:rsid w:val="79E419FF"/>
    <w:rsid w:val="79E67179"/>
    <w:rsid w:val="79E955B1"/>
    <w:rsid w:val="79F0674B"/>
    <w:rsid w:val="7A061C2F"/>
    <w:rsid w:val="7A0737BF"/>
    <w:rsid w:val="7A0C6DCC"/>
    <w:rsid w:val="7A130F40"/>
    <w:rsid w:val="7A146AD1"/>
    <w:rsid w:val="7A195E96"/>
    <w:rsid w:val="7A1C14E2"/>
    <w:rsid w:val="7A2051DB"/>
    <w:rsid w:val="7A287E87"/>
    <w:rsid w:val="7A2A0D51"/>
    <w:rsid w:val="7A36255A"/>
    <w:rsid w:val="7A3C315B"/>
    <w:rsid w:val="7A3E0DA9"/>
    <w:rsid w:val="7A3E6A45"/>
    <w:rsid w:val="7A455930"/>
    <w:rsid w:val="7A456C8B"/>
    <w:rsid w:val="7A4822D7"/>
    <w:rsid w:val="7A490202"/>
    <w:rsid w:val="7A4A0EE5"/>
    <w:rsid w:val="7A4B626B"/>
    <w:rsid w:val="7A5213A8"/>
    <w:rsid w:val="7A566F50"/>
    <w:rsid w:val="7A5E7D4D"/>
    <w:rsid w:val="7A607905"/>
    <w:rsid w:val="7A634FA4"/>
    <w:rsid w:val="7A65732D"/>
    <w:rsid w:val="7A794B87"/>
    <w:rsid w:val="7A7C37A9"/>
    <w:rsid w:val="7A7C4677"/>
    <w:rsid w:val="7A7F1A71"/>
    <w:rsid w:val="7A82024F"/>
    <w:rsid w:val="7A8E473B"/>
    <w:rsid w:val="7A8F43AA"/>
    <w:rsid w:val="7A9B4AFD"/>
    <w:rsid w:val="7A9B793E"/>
    <w:rsid w:val="7A9D399F"/>
    <w:rsid w:val="7ABC3DD5"/>
    <w:rsid w:val="7AC31DEF"/>
    <w:rsid w:val="7ACD0A2E"/>
    <w:rsid w:val="7AD11CFB"/>
    <w:rsid w:val="7AD26961"/>
    <w:rsid w:val="7AD973D3"/>
    <w:rsid w:val="7ADB4D39"/>
    <w:rsid w:val="7ADF4A82"/>
    <w:rsid w:val="7AE33ACE"/>
    <w:rsid w:val="7AE61CC6"/>
    <w:rsid w:val="7AEC35AA"/>
    <w:rsid w:val="7AF1471D"/>
    <w:rsid w:val="7AF34939"/>
    <w:rsid w:val="7B045492"/>
    <w:rsid w:val="7B072192"/>
    <w:rsid w:val="7B07460C"/>
    <w:rsid w:val="7B0F0765"/>
    <w:rsid w:val="7B0F7299"/>
    <w:rsid w:val="7B1D19B6"/>
    <w:rsid w:val="7B1D2D88"/>
    <w:rsid w:val="7B24209E"/>
    <w:rsid w:val="7B25086A"/>
    <w:rsid w:val="7B340AAD"/>
    <w:rsid w:val="7B345A0F"/>
    <w:rsid w:val="7B3D3B4B"/>
    <w:rsid w:val="7B3F680F"/>
    <w:rsid w:val="7B407452"/>
    <w:rsid w:val="7B42141C"/>
    <w:rsid w:val="7B4231CA"/>
    <w:rsid w:val="7B424F78"/>
    <w:rsid w:val="7B447C5D"/>
    <w:rsid w:val="7B450F0D"/>
    <w:rsid w:val="7B4C5C83"/>
    <w:rsid w:val="7B4E6013"/>
    <w:rsid w:val="7B746E0D"/>
    <w:rsid w:val="7B786BEC"/>
    <w:rsid w:val="7B7947AD"/>
    <w:rsid w:val="7B7C2037"/>
    <w:rsid w:val="7B851309"/>
    <w:rsid w:val="7B8515EA"/>
    <w:rsid w:val="7B9003DA"/>
    <w:rsid w:val="7B902188"/>
    <w:rsid w:val="7B91054B"/>
    <w:rsid w:val="7B911884"/>
    <w:rsid w:val="7B953BCC"/>
    <w:rsid w:val="7B955AA9"/>
    <w:rsid w:val="7B9A6B62"/>
    <w:rsid w:val="7BA619AB"/>
    <w:rsid w:val="7BA7127F"/>
    <w:rsid w:val="7BA765BD"/>
    <w:rsid w:val="7BAC2F7A"/>
    <w:rsid w:val="7BAE2FFF"/>
    <w:rsid w:val="7BAF62EE"/>
    <w:rsid w:val="7BB73BB8"/>
    <w:rsid w:val="7BC22016"/>
    <w:rsid w:val="7BC61EF7"/>
    <w:rsid w:val="7BC9569A"/>
    <w:rsid w:val="7BD55DED"/>
    <w:rsid w:val="7BD56B80"/>
    <w:rsid w:val="7BDD1298"/>
    <w:rsid w:val="7BDE06A1"/>
    <w:rsid w:val="7BDF3671"/>
    <w:rsid w:val="7BEF7922"/>
    <w:rsid w:val="7BF72207"/>
    <w:rsid w:val="7BFA33C9"/>
    <w:rsid w:val="7C0714F5"/>
    <w:rsid w:val="7C0861C2"/>
    <w:rsid w:val="7C0D2EFF"/>
    <w:rsid w:val="7C322F71"/>
    <w:rsid w:val="7C3945CD"/>
    <w:rsid w:val="7C3968EB"/>
    <w:rsid w:val="7C4B60AF"/>
    <w:rsid w:val="7C572CA5"/>
    <w:rsid w:val="7C5E4034"/>
    <w:rsid w:val="7C741AA9"/>
    <w:rsid w:val="7C743857"/>
    <w:rsid w:val="7C770DB1"/>
    <w:rsid w:val="7C7A6994"/>
    <w:rsid w:val="7C7C26FE"/>
    <w:rsid w:val="7C7E1E5C"/>
    <w:rsid w:val="7C813343"/>
    <w:rsid w:val="7C822DDA"/>
    <w:rsid w:val="7C884387"/>
    <w:rsid w:val="7C8C4D0F"/>
    <w:rsid w:val="7C9212DF"/>
    <w:rsid w:val="7C962393"/>
    <w:rsid w:val="7C99506C"/>
    <w:rsid w:val="7C9A0DE4"/>
    <w:rsid w:val="7C9E08D4"/>
    <w:rsid w:val="7CA0289E"/>
    <w:rsid w:val="7CA57EB5"/>
    <w:rsid w:val="7CB31958"/>
    <w:rsid w:val="7CB346E1"/>
    <w:rsid w:val="7CB73744"/>
    <w:rsid w:val="7CB77BE8"/>
    <w:rsid w:val="7CB9357D"/>
    <w:rsid w:val="7CBB76D8"/>
    <w:rsid w:val="7CD10CAA"/>
    <w:rsid w:val="7CD12A58"/>
    <w:rsid w:val="7CD75B94"/>
    <w:rsid w:val="7CDB38D7"/>
    <w:rsid w:val="7CDF44A7"/>
    <w:rsid w:val="7CE318DA"/>
    <w:rsid w:val="7CEF7382"/>
    <w:rsid w:val="7CFA26B1"/>
    <w:rsid w:val="7D0746CC"/>
    <w:rsid w:val="7D0916DB"/>
    <w:rsid w:val="7D0C34C4"/>
    <w:rsid w:val="7D100E3A"/>
    <w:rsid w:val="7D130CC2"/>
    <w:rsid w:val="7D1312C2"/>
    <w:rsid w:val="7D181A6A"/>
    <w:rsid w:val="7D1961AD"/>
    <w:rsid w:val="7D1B1F25"/>
    <w:rsid w:val="7D2863F0"/>
    <w:rsid w:val="7D2A65EC"/>
    <w:rsid w:val="7D2B7A55"/>
    <w:rsid w:val="7D3354C1"/>
    <w:rsid w:val="7D3C25A3"/>
    <w:rsid w:val="7D43322A"/>
    <w:rsid w:val="7D471493"/>
    <w:rsid w:val="7D4C6582"/>
    <w:rsid w:val="7D4E22FA"/>
    <w:rsid w:val="7D562F5D"/>
    <w:rsid w:val="7D5E727E"/>
    <w:rsid w:val="7D6C2781"/>
    <w:rsid w:val="7D766E9F"/>
    <w:rsid w:val="7D8E01D6"/>
    <w:rsid w:val="7D9046C1"/>
    <w:rsid w:val="7D9359A6"/>
    <w:rsid w:val="7D9C5A79"/>
    <w:rsid w:val="7D9F66B2"/>
    <w:rsid w:val="7DA0067C"/>
    <w:rsid w:val="7DAA194E"/>
    <w:rsid w:val="7DAF33A2"/>
    <w:rsid w:val="7DB12889"/>
    <w:rsid w:val="7DB52379"/>
    <w:rsid w:val="7DB76FD2"/>
    <w:rsid w:val="7DBA42A6"/>
    <w:rsid w:val="7DBB1012"/>
    <w:rsid w:val="7DC03912"/>
    <w:rsid w:val="7DC119CE"/>
    <w:rsid w:val="7DC12ACC"/>
    <w:rsid w:val="7DC22201"/>
    <w:rsid w:val="7DC26844"/>
    <w:rsid w:val="7DC425BD"/>
    <w:rsid w:val="7DC8346C"/>
    <w:rsid w:val="7DCF280A"/>
    <w:rsid w:val="7DD34A3D"/>
    <w:rsid w:val="7DD6242C"/>
    <w:rsid w:val="7DDB1F64"/>
    <w:rsid w:val="7DDF2F52"/>
    <w:rsid w:val="7DE64072"/>
    <w:rsid w:val="7DE70059"/>
    <w:rsid w:val="7DE70DAB"/>
    <w:rsid w:val="7DE8059E"/>
    <w:rsid w:val="7DF05160"/>
    <w:rsid w:val="7DF6432D"/>
    <w:rsid w:val="7DF80E09"/>
    <w:rsid w:val="7DFF04A5"/>
    <w:rsid w:val="7E046350"/>
    <w:rsid w:val="7E070622"/>
    <w:rsid w:val="7E146EA1"/>
    <w:rsid w:val="7E1F7ED0"/>
    <w:rsid w:val="7E245210"/>
    <w:rsid w:val="7E2547CF"/>
    <w:rsid w:val="7E293858"/>
    <w:rsid w:val="7E31676F"/>
    <w:rsid w:val="7E357016"/>
    <w:rsid w:val="7E394D59"/>
    <w:rsid w:val="7E3A287F"/>
    <w:rsid w:val="7E455CCF"/>
    <w:rsid w:val="7E490D14"/>
    <w:rsid w:val="7E4B6E7F"/>
    <w:rsid w:val="7E556505"/>
    <w:rsid w:val="7E5E51B3"/>
    <w:rsid w:val="7E6062CA"/>
    <w:rsid w:val="7E645B88"/>
    <w:rsid w:val="7E6913DD"/>
    <w:rsid w:val="7E6A3164"/>
    <w:rsid w:val="7E6C1962"/>
    <w:rsid w:val="7E71277C"/>
    <w:rsid w:val="7E7229BB"/>
    <w:rsid w:val="7E762BF0"/>
    <w:rsid w:val="7E7A62B1"/>
    <w:rsid w:val="7E7C115E"/>
    <w:rsid w:val="7E7D211D"/>
    <w:rsid w:val="7E871972"/>
    <w:rsid w:val="7E8743F2"/>
    <w:rsid w:val="7E891395"/>
    <w:rsid w:val="7E8D29AE"/>
    <w:rsid w:val="7E97161A"/>
    <w:rsid w:val="7E9975A5"/>
    <w:rsid w:val="7EA37E2C"/>
    <w:rsid w:val="7EA67DBA"/>
    <w:rsid w:val="7EAA17B2"/>
    <w:rsid w:val="7EAF501B"/>
    <w:rsid w:val="7EB10D93"/>
    <w:rsid w:val="7EB20667"/>
    <w:rsid w:val="7EB937A4"/>
    <w:rsid w:val="7EC363D0"/>
    <w:rsid w:val="7EC468E4"/>
    <w:rsid w:val="7EC5039A"/>
    <w:rsid w:val="7EC7454B"/>
    <w:rsid w:val="7ECD54D8"/>
    <w:rsid w:val="7ECF746B"/>
    <w:rsid w:val="7ED05331"/>
    <w:rsid w:val="7ED13D9B"/>
    <w:rsid w:val="7ED30EE1"/>
    <w:rsid w:val="7ED67756"/>
    <w:rsid w:val="7EDA5F30"/>
    <w:rsid w:val="7EDA77F4"/>
    <w:rsid w:val="7EE50A3C"/>
    <w:rsid w:val="7EE84089"/>
    <w:rsid w:val="7EEB3401"/>
    <w:rsid w:val="7EEF5417"/>
    <w:rsid w:val="7EF46ED2"/>
    <w:rsid w:val="7EFB36D8"/>
    <w:rsid w:val="7EFE4ED7"/>
    <w:rsid w:val="7EFE6EC1"/>
    <w:rsid w:val="7F08472B"/>
    <w:rsid w:val="7F0F293D"/>
    <w:rsid w:val="7F11694B"/>
    <w:rsid w:val="7F160BF6"/>
    <w:rsid w:val="7F17671C"/>
    <w:rsid w:val="7F196B2B"/>
    <w:rsid w:val="7F24069B"/>
    <w:rsid w:val="7F315A30"/>
    <w:rsid w:val="7F324AA5"/>
    <w:rsid w:val="7F34107C"/>
    <w:rsid w:val="7F370E72"/>
    <w:rsid w:val="7F392B36"/>
    <w:rsid w:val="7F3948E4"/>
    <w:rsid w:val="7F3F2B57"/>
    <w:rsid w:val="7F433A82"/>
    <w:rsid w:val="7F465167"/>
    <w:rsid w:val="7F473538"/>
    <w:rsid w:val="7F4C286A"/>
    <w:rsid w:val="7F4E2109"/>
    <w:rsid w:val="7F594F87"/>
    <w:rsid w:val="7F623E3B"/>
    <w:rsid w:val="7F635377"/>
    <w:rsid w:val="7F6357F4"/>
    <w:rsid w:val="7F663D79"/>
    <w:rsid w:val="7F6F47AA"/>
    <w:rsid w:val="7F792F33"/>
    <w:rsid w:val="7F7D704A"/>
    <w:rsid w:val="7F82628B"/>
    <w:rsid w:val="7F8A15E4"/>
    <w:rsid w:val="7FA53D28"/>
    <w:rsid w:val="7FAE25C3"/>
    <w:rsid w:val="7FAE7080"/>
    <w:rsid w:val="7FBB6308"/>
    <w:rsid w:val="7FBF5085"/>
    <w:rsid w:val="7FC05006"/>
    <w:rsid w:val="7FC3034F"/>
    <w:rsid w:val="7FC44851"/>
    <w:rsid w:val="7FC92F47"/>
    <w:rsid w:val="7FCA6E59"/>
    <w:rsid w:val="7FD748FB"/>
    <w:rsid w:val="7FD840FD"/>
    <w:rsid w:val="7FDA7E75"/>
    <w:rsid w:val="7FDD1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iPriority="99"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iPriority="99"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qFormat="1" w:uiPriority="0" w:semiHidden="0" w:name="Body Text Indent 3" w:locked="1"/>
    <w:lsdException w:qFormat="1"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9"/>
    <w:autoRedefine/>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7"/>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link w:val="50"/>
    <w:autoRedefine/>
    <w:qFormat/>
    <w:locked/>
    <w:uiPriority w:val="0"/>
    <w:pPr>
      <w:jc w:val="left"/>
      <w:outlineLvl w:val="3"/>
    </w:pPr>
    <w:rPr>
      <w:rFonts w:hint="eastAsia" w:ascii="宋体" w:hAnsi="宋体"/>
      <w:kern w:val="0"/>
      <w:sz w:val="18"/>
      <w:szCs w:val="1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locked/>
    <w:uiPriority w:val="99"/>
    <w:pPr>
      <w:ind w:left="420" w:leftChars="200"/>
    </w:pPr>
    <w:rPr>
      <w:rFonts w:ascii="Calibri" w:hAnsi="Calibri"/>
    </w:rPr>
  </w:style>
  <w:style w:type="paragraph" w:styleId="7">
    <w:name w:val="List 3"/>
    <w:basedOn w:val="1"/>
    <w:autoRedefine/>
    <w:qFormat/>
    <w:locked/>
    <w:uiPriority w:val="0"/>
    <w:pPr>
      <w:ind w:left="100" w:leftChars="400" w:hanging="200" w:hangingChars="200"/>
    </w:pPr>
  </w:style>
  <w:style w:type="paragraph" w:styleId="8">
    <w:name w:val="Normal Indent"/>
    <w:basedOn w:val="1"/>
    <w:link w:val="51"/>
    <w:autoRedefine/>
    <w:qFormat/>
    <w:locked/>
    <w:uiPriority w:val="0"/>
    <w:pPr>
      <w:adjustRightInd w:val="0"/>
      <w:ind w:firstLine="420"/>
      <w:jc w:val="left"/>
    </w:pPr>
    <w:rPr>
      <w:bCs/>
      <w:sz w:val="24"/>
      <w:szCs w:val="20"/>
    </w:rPr>
  </w:style>
  <w:style w:type="paragraph" w:styleId="9">
    <w:name w:val="caption"/>
    <w:basedOn w:val="1"/>
    <w:next w:val="1"/>
    <w:autoRedefine/>
    <w:qFormat/>
    <w:locked/>
    <w:uiPriority w:val="35"/>
    <w:rPr>
      <w:rFonts w:ascii="等线 Light" w:hAnsi="等线 Light" w:eastAsia="黑体"/>
      <w:sz w:val="20"/>
      <w:szCs w:val="20"/>
    </w:rPr>
  </w:style>
  <w:style w:type="paragraph" w:styleId="10">
    <w:name w:val="Document Map"/>
    <w:basedOn w:val="1"/>
    <w:link w:val="52"/>
    <w:autoRedefine/>
    <w:unhideWhenUsed/>
    <w:qFormat/>
    <w:locked/>
    <w:uiPriority w:val="0"/>
    <w:rPr>
      <w:rFonts w:ascii="宋体"/>
      <w:sz w:val="18"/>
      <w:szCs w:val="18"/>
    </w:rPr>
  </w:style>
  <w:style w:type="paragraph" w:styleId="11">
    <w:name w:val="annotation text"/>
    <w:basedOn w:val="1"/>
    <w:link w:val="53"/>
    <w:autoRedefine/>
    <w:semiHidden/>
    <w:qFormat/>
    <w:uiPriority w:val="0"/>
    <w:pPr>
      <w:jc w:val="left"/>
    </w:pPr>
    <w:rPr>
      <w:kern w:val="0"/>
      <w:sz w:val="24"/>
      <w:szCs w:val="20"/>
    </w:rPr>
  </w:style>
  <w:style w:type="paragraph" w:styleId="12">
    <w:name w:val="Body Text"/>
    <w:basedOn w:val="1"/>
    <w:link w:val="54"/>
    <w:autoRedefine/>
    <w:qFormat/>
    <w:uiPriority w:val="99"/>
    <w:pPr>
      <w:widowControl/>
      <w:snapToGrid w:val="0"/>
      <w:spacing w:before="60" w:after="160" w:line="259" w:lineRule="auto"/>
      <w:ind w:right="113"/>
    </w:pPr>
    <w:rPr>
      <w:kern w:val="0"/>
      <w:sz w:val="18"/>
      <w:szCs w:val="20"/>
    </w:rPr>
  </w:style>
  <w:style w:type="paragraph" w:styleId="13">
    <w:name w:val="Body Text Indent"/>
    <w:basedOn w:val="1"/>
    <w:link w:val="55"/>
    <w:autoRedefine/>
    <w:qFormat/>
    <w:uiPriority w:val="0"/>
    <w:pPr>
      <w:spacing w:after="120"/>
      <w:ind w:left="420" w:leftChars="200"/>
    </w:pPr>
    <w:rPr>
      <w:kern w:val="0"/>
      <w:sz w:val="24"/>
      <w:szCs w:val="20"/>
    </w:rPr>
  </w:style>
  <w:style w:type="paragraph" w:styleId="14">
    <w:name w:val="Block Text"/>
    <w:basedOn w:val="1"/>
    <w:autoRedefine/>
    <w:qFormat/>
    <w:locked/>
    <w:uiPriority w:val="0"/>
    <w:pPr>
      <w:spacing w:line="240" w:lineRule="exact"/>
      <w:ind w:left="46" w:leftChars="22" w:right="113"/>
    </w:pPr>
    <w:rPr>
      <w:rFonts w:ascii="宋体"/>
      <w:bCs/>
      <w:spacing w:val="-10"/>
      <w:sz w:val="18"/>
      <w:szCs w:val="18"/>
    </w:rPr>
  </w:style>
  <w:style w:type="paragraph" w:styleId="15">
    <w:name w:val="Plain Text"/>
    <w:basedOn w:val="1"/>
    <w:link w:val="56"/>
    <w:autoRedefine/>
    <w:qFormat/>
    <w:locked/>
    <w:uiPriority w:val="0"/>
    <w:rPr>
      <w:rFonts w:ascii="宋体" w:hAnsi="Courier New"/>
      <w:szCs w:val="20"/>
    </w:rPr>
  </w:style>
  <w:style w:type="paragraph" w:styleId="16">
    <w:name w:val="Date"/>
    <w:basedOn w:val="1"/>
    <w:next w:val="1"/>
    <w:link w:val="57"/>
    <w:autoRedefine/>
    <w:qFormat/>
    <w:uiPriority w:val="0"/>
    <w:pPr>
      <w:ind w:left="100" w:leftChars="2500"/>
    </w:pPr>
    <w:rPr>
      <w:kern w:val="0"/>
      <w:sz w:val="24"/>
      <w:szCs w:val="20"/>
    </w:rPr>
  </w:style>
  <w:style w:type="paragraph" w:styleId="17">
    <w:name w:val="Body Text Indent 2"/>
    <w:basedOn w:val="1"/>
    <w:link w:val="58"/>
    <w:autoRedefine/>
    <w:unhideWhenUsed/>
    <w:qFormat/>
    <w:locked/>
    <w:uiPriority w:val="99"/>
    <w:pPr>
      <w:spacing w:after="120" w:line="480" w:lineRule="auto"/>
      <w:ind w:left="420" w:leftChars="200"/>
    </w:pPr>
  </w:style>
  <w:style w:type="paragraph" w:styleId="18">
    <w:name w:val="Balloon Text"/>
    <w:basedOn w:val="1"/>
    <w:link w:val="59"/>
    <w:autoRedefine/>
    <w:qFormat/>
    <w:uiPriority w:val="0"/>
    <w:rPr>
      <w:kern w:val="0"/>
      <w:sz w:val="18"/>
      <w:szCs w:val="20"/>
    </w:rPr>
  </w:style>
  <w:style w:type="paragraph" w:styleId="19">
    <w:name w:val="footer"/>
    <w:basedOn w:val="1"/>
    <w:link w:val="60"/>
    <w:autoRedefine/>
    <w:qFormat/>
    <w:uiPriority w:val="99"/>
    <w:pPr>
      <w:tabs>
        <w:tab w:val="center" w:pos="4153"/>
        <w:tab w:val="right" w:pos="8306"/>
      </w:tabs>
      <w:snapToGrid w:val="0"/>
      <w:jc w:val="left"/>
    </w:pPr>
    <w:rPr>
      <w:kern w:val="0"/>
      <w:sz w:val="18"/>
      <w:szCs w:val="20"/>
    </w:rPr>
  </w:style>
  <w:style w:type="paragraph" w:styleId="20">
    <w:name w:val="header"/>
    <w:basedOn w:val="1"/>
    <w:link w:val="6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autoRedefine/>
    <w:qFormat/>
    <w:locked/>
    <w:uiPriority w:val="39"/>
  </w:style>
  <w:style w:type="paragraph" w:styleId="22">
    <w:name w:val="footnote text"/>
    <w:basedOn w:val="1"/>
    <w:link w:val="62"/>
    <w:autoRedefine/>
    <w:unhideWhenUsed/>
    <w:qFormat/>
    <w:locked/>
    <w:uiPriority w:val="99"/>
    <w:pPr>
      <w:snapToGrid w:val="0"/>
      <w:jc w:val="left"/>
    </w:pPr>
    <w:rPr>
      <w:sz w:val="18"/>
      <w:szCs w:val="18"/>
    </w:rPr>
  </w:style>
  <w:style w:type="paragraph" w:styleId="23">
    <w:name w:val="Body Text Indent 3"/>
    <w:basedOn w:val="1"/>
    <w:link w:val="63"/>
    <w:autoRedefine/>
    <w:unhideWhenUsed/>
    <w:qFormat/>
    <w:locked/>
    <w:uiPriority w:val="0"/>
    <w:pPr>
      <w:spacing w:after="120"/>
      <w:ind w:left="420" w:leftChars="200"/>
    </w:pPr>
    <w:rPr>
      <w:sz w:val="16"/>
      <w:szCs w:val="16"/>
    </w:rPr>
  </w:style>
  <w:style w:type="paragraph" w:styleId="24">
    <w:name w:val="toc 2"/>
    <w:basedOn w:val="1"/>
    <w:next w:val="1"/>
    <w:autoRedefine/>
    <w:unhideWhenUsed/>
    <w:qFormat/>
    <w:locked/>
    <w:uiPriority w:val="39"/>
    <w:pPr>
      <w:ind w:left="420" w:leftChars="200"/>
    </w:pPr>
  </w:style>
  <w:style w:type="paragraph" w:styleId="25">
    <w:name w:val="Body Text 2"/>
    <w:basedOn w:val="1"/>
    <w:link w:val="64"/>
    <w:autoRedefine/>
    <w:qFormat/>
    <w:locked/>
    <w:uiPriority w:val="0"/>
    <w:pPr>
      <w:spacing w:after="120" w:line="480" w:lineRule="auto"/>
    </w:pPr>
  </w:style>
  <w:style w:type="paragraph" w:styleId="26">
    <w:name w:val="Normal (Web)"/>
    <w:basedOn w:val="1"/>
    <w:link w:val="65"/>
    <w:autoRedefine/>
    <w:qFormat/>
    <w:uiPriority w:val="0"/>
    <w:pPr>
      <w:widowControl/>
      <w:spacing w:before="100" w:beforeAutospacing="1" w:after="100" w:afterAutospacing="1"/>
      <w:jc w:val="left"/>
    </w:pPr>
    <w:rPr>
      <w:rFonts w:ascii="宋体" w:hAnsi="宋体"/>
      <w:kern w:val="0"/>
      <w:sz w:val="24"/>
      <w:szCs w:val="20"/>
    </w:rPr>
  </w:style>
  <w:style w:type="paragraph" w:styleId="27">
    <w:name w:val="index 1"/>
    <w:basedOn w:val="1"/>
    <w:next w:val="1"/>
    <w:autoRedefine/>
    <w:qFormat/>
    <w:locked/>
    <w:uiPriority w:val="0"/>
    <w:pPr>
      <w:spacing w:line="280" w:lineRule="exact"/>
    </w:pPr>
    <w:rPr>
      <w:rFonts w:ascii="仿宋_GB2312" w:hAnsi="宋体" w:eastAsia="仿宋_GB2312"/>
      <w:szCs w:val="21"/>
    </w:rPr>
  </w:style>
  <w:style w:type="paragraph" w:styleId="28">
    <w:name w:val="Title"/>
    <w:basedOn w:val="1"/>
    <w:next w:val="1"/>
    <w:link w:val="66"/>
    <w:autoRedefine/>
    <w:qFormat/>
    <w:locked/>
    <w:uiPriority w:val="99"/>
    <w:pPr>
      <w:spacing w:before="240" w:after="60"/>
      <w:jc w:val="center"/>
      <w:outlineLvl w:val="0"/>
    </w:pPr>
    <w:rPr>
      <w:rFonts w:ascii="Cambria" w:hAnsi="Cambria"/>
      <w:b/>
      <w:bCs/>
      <w:sz w:val="32"/>
      <w:szCs w:val="32"/>
    </w:rPr>
  </w:style>
  <w:style w:type="paragraph" w:styleId="29">
    <w:name w:val="annotation subject"/>
    <w:basedOn w:val="11"/>
    <w:next w:val="11"/>
    <w:link w:val="67"/>
    <w:autoRedefine/>
    <w:semiHidden/>
    <w:qFormat/>
    <w:uiPriority w:val="0"/>
    <w:rPr>
      <w:b/>
    </w:rPr>
  </w:style>
  <w:style w:type="paragraph" w:styleId="30">
    <w:name w:val="Body Text First Indent"/>
    <w:basedOn w:val="12"/>
    <w:link w:val="68"/>
    <w:autoRedefine/>
    <w:qFormat/>
    <w:locked/>
    <w:uiPriority w:val="0"/>
    <w:pPr>
      <w:widowControl w:val="0"/>
      <w:snapToGrid/>
      <w:spacing w:before="0" w:after="120" w:line="240" w:lineRule="auto"/>
      <w:ind w:right="0" w:firstLine="420" w:firstLineChars="100"/>
    </w:pPr>
    <w:rPr>
      <w:kern w:val="2"/>
      <w:sz w:val="21"/>
      <w:szCs w:val="24"/>
    </w:rPr>
  </w:style>
  <w:style w:type="paragraph" w:styleId="31">
    <w:name w:val="Body Text First Indent 2"/>
    <w:basedOn w:val="1"/>
    <w:next w:val="1"/>
    <w:link w:val="69"/>
    <w:autoRedefine/>
    <w:unhideWhenUsed/>
    <w:qFormat/>
    <w:locked/>
    <w:uiPriority w:val="0"/>
    <w:pPr>
      <w:ind w:firstLine="420"/>
    </w:pPr>
    <w:rPr>
      <w:rFonts w:eastAsia="仿宋_GB2312"/>
      <w:sz w:val="28"/>
    </w:rPr>
  </w:style>
  <w:style w:type="table" w:styleId="33">
    <w:name w:val="Table Grid"/>
    <w:basedOn w:val="3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autoRedefine/>
    <w:qFormat/>
    <w:locked/>
    <w:uiPriority w:val="0"/>
  </w:style>
  <w:style w:type="character" w:styleId="36">
    <w:name w:val="FollowedHyperlink"/>
    <w:autoRedefine/>
    <w:unhideWhenUsed/>
    <w:qFormat/>
    <w:locked/>
    <w:uiPriority w:val="99"/>
    <w:rPr>
      <w:color w:val="000000"/>
      <w:u w:val="none"/>
    </w:rPr>
  </w:style>
  <w:style w:type="character" w:styleId="37">
    <w:name w:val="Hyperlink"/>
    <w:autoRedefine/>
    <w:qFormat/>
    <w:locked/>
    <w:uiPriority w:val="99"/>
    <w:rPr>
      <w:rFonts w:cs="Times New Roman"/>
      <w:color w:val="0000FF"/>
      <w:u w:val="single"/>
    </w:rPr>
  </w:style>
  <w:style w:type="character" w:styleId="38">
    <w:name w:val="annotation reference"/>
    <w:autoRedefine/>
    <w:qFormat/>
    <w:uiPriority w:val="0"/>
    <w:rPr>
      <w:sz w:val="21"/>
    </w:rPr>
  </w:style>
  <w:style w:type="character" w:styleId="39">
    <w:name w:val="footnote reference"/>
    <w:autoRedefine/>
    <w:unhideWhenUsed/>
    <w:qFormat/>
    <w:locked/>
    <w:uiPriority w:val="99"/>
    <w:rPr>
      <w:vertAlign w:val="superscript"/>
    </w:rPr>
  </w:style>
  <w:style w:type="paragraph" w:customStyle="1" w:styleId="40">
    <w:name w:val="0正文"/>
    <w:basedOn w:val="1"/>
    <w:autoRedefine/>
    <w:qFormat/>
    <w:uiPriority w:val="0"/>
    <w:pPr>
      <w:spacing w:line="360" w:lineRule="auto"/>
      <w:ind w:firstLine="480" w:firstLineChars="200"/>
    </w:pPr>
    <w:rPr>
      <w:rFonts w:ascii="Calibri" w:hAnsi="Calibri"/>
      <w:sz w:val="24"/>
      <w:szCs w:val="22"/>
    </w:rPr>
  </w:style>
  <w:style w:type="paragraph" w:customStyle="1" w:styleId="41">
    <w:name w:val="Default"/>
    <w:basedOn w:val="42"/>
    <w:next w:val="43"/>
    <w:autoRedefine/>
    <w:qFormat/>
    <w:uiPriority w:val="0"/>
    <w:pPr>
      <w:autoSpaceDE w:val="0"/>
      <w:autoSpaceDN w:val="0"/>
    </w:pPr>
    <w:rPr>
      <w:rFonts w:ascii="Calibri" w:hAnsi="Calibri" w:cs="Calibri"/>
      <w:color w:val="000000"/>
      <w:sz w:val="24"/>
      <w:szCs w:val="24"/>
    </w:rPr>
  </w:style>
  <w:style w:type="paragraph" w:customStyle="1" w:styleId="42">
    <w:name w:val="纯文本1"/>
    <w:basedOn w:val="1"/>
    <w:autoRedefine/>
    <w:qFormat/>
    <w:uiPriority w:val="0"/>
    <w:pPr>
      <w:adjustRightInd w:val="0"/>
    </w:pPr>
    <w:rPr>
      <w:rFonts w:ascii="宋体" w:hAnsi="Courier New"/>
      <w:szCs w:val="20"/>
    </w:rPr>
  </w:style>
  <w:style w:type="paragraph" w:customStyle="1" w:styleId="43">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4">
    <w:name w:val="Normal (Web)1"/>
    <w:basedOn w:val="1"/>
    <w:next w:val="45"/>
    <w:autoRedefine/>
    <w:qFormat/>
    <w:uiPriority w:val="0"/>
    <w:pPr>
      <w:widowControl/>
    </w:pPr>
    <w:rPr>
      <w:rFonts w:ascii="宋体"/>
      <w:sz w:val="24"/>
      <w:szCs w:val="21"/>
    </w:rPr>
  </w:style>
  <w:style w:type="paragraph" w:customStyle="1" w:styleId="45">
    <w:name w:val="Date1"/>
    <w:basedOn w:val="1"/>
    <w:next w:val="1"/>
    <w:autoRedefine/>
    <w:qFormat/>
    <w:uiPriority w:val="0"/>
    <w:pPr>
      <w:ind w:left="2500" w:leftChars="2500"/>
    </w:pPr>
  </w:style>
  <w:style w:type="paragraph" w:customStyle="1" w:styleId="46">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7">
    <w:name w:val="标题 3 Char"/>
    <w:link w:val="5"/>
    <w:autoRedefine/>
    <w:qFormat/>
    <w:uiPriority w:val="0"/>
    <w:rPr>
      <w:b/>
      <w:bCs/>
      <w:kern w:val="2"/>
      <w:sz w:val="32"/>
      <w:szCs w:val="32"/>
    </w:rPr>
  </w:style>
  <w:style w:type="character" w:customStyle="1" w:styleId="48">
    <w:name w:val="标题 1 Char"/>
    <w:link w:val="3"/>
    <w:autoRedefine/>
    <w:qFormat/>
    <w:uiPriority w:val="0"/>
    <w:rPr>
      <w:rFonts w:eastAsia="黑体"/>
      <w:b/>
      <w:bCs/>
      <w:color w:val="000000"/>
      <w:kern w:val="44"/>
      <w:sz w:val="30"/>
      <w:szCs w:val="30"/>
    </w:rPr>
  </w:style>
  <w:style w:type="character" w:customStyle="1" w:styleId="49">
    <w:name w:val="标题 2 Char"/>
    <w:link w:val="4"/>
    <w:autoRedefine/>
    <w:qFormat/>
    <w:uiPriority w:val="0"/>
    <w:rPr>
      <w:rFonts w:ascii="Arial" w:hAnsi="Arial" w:eastAsia="黑体"/>
      <w:b/>
      <w:bCs/>
      <w:kern w:val="2"/>
      <w:sz w:val="32"/>
      <w:szCs w:val="32"/>
    </w:rPr>
  </w:style>
  <w:style w:type="character" w:customStyle="1" w:styleId="50">
    <w:name w:val="标题 4 Char"/>
    <w:link w:val="6"/>
    <w:autoRedefine/>
    <w:semiHidden/>
    <w:qFormat/>
    <w:uiPriority w:val="0"/>
    <w:rPr>
      <w:rFonts w:ascii="宋体" w:hAnsi="宋体"/>
      <w:sz w:val="18"/>
      <w:szCs w:val="18"/>
    </w:rPr>
  </w:style>
  <w:style w:type="character" w:customStyle="1" w:styleId="51">
    <w:name w:val="正文缩进 Char"/>
    <w:link w:val="8"/>
    <w:autoRedefine/>
    <w:qFormat/>
    <w:uiPriority w:val="0"/>
    <w:rPr>
      <w:bCs/>
      <w:kern w:val="2"/>
      <w:sz w:val="24"/>
    </w:rPr>
  </w:style>
  <w:style w:type="character" w:customStyle="1" w:styleId="52">
    <w:name w:val="文档结构图 Char"/>
    <w:link w:val="10"/>
    <w:autoRedefine/>
    <w:qFormat/>
    <w:uiPriority w:val="0"/>
    <w:rPr>
      <w:rFonts w:ascii="宋体"/>
      <w:kern w:val="2"/>
      <w:sz w:val="18"/>
      <w:szCs w:val="18"/>
    </w:rPr>
  </w:style>
  <w:style w:type="character" w:customStyle="1" w:styleId="53">
    <w:name w:val="批注文字 Char"/>
    <w:link w:val="11"/>
    <w:autoRedefine/>
    <w:qFormat/>
    <w:locked/>
    <w:uiPriority w:val="0"/>
    <w:rPr>
      <w:rFonts w:ascii="Times New Roman" w:hAnsi="Times New Roman" w:eastAsia="宋体"/>
      <w:sz w:val="24"/>
    </w:rPr>
  </w:style>
  <w:style w:type="character" w:customStyle="1" w:styleId="54">
    <w:name w:val="正文文本 Char"/>
    <w:link w:val="12"/>
    <w:autoRedefine/>
    <w:qFormat/>
    <w:locked/>
    <w:uiPriority w:val="99"/>
    <w:rPr>
      <w:sz w:val="18"/>
    </w:rPr>
  </w:style>
  <w:style w:type="character" w:customStyle="1" w:styleId="55">
    <w:name w:val="正文文本缩进 Char"/>
    <w:link w:val="13"/>
    <w:autoRedefine/>
    <w:qFormat/>
    <w:locked/>
    <w:uiPriority w:val="0"/>
    <w:rPr>
      <w:rFonts w:ascii="Times New Roman" w:hAnsi="Times New Roman" w:eastAsia="宋体"/>
      <w:sz w:val="24"/>
    </w:rPr>
  </w:style>
  <w:style w:type="character" w:customStyle="1" w:styleId="56">
    <w:name w:val="纯文本 Char"/>
    <w:link w:val="15"/>
    <w:autoRedefine/>
    <w:qFormat/>
    <w:uiPriority w:val="0"/>
    <w:rPr>
      <w:rFonts w:ascii="宋体" w:hAnsi="Courier New"/>
      <w:kern w:val="2"/>
      <w:sz w:val="21"/>
    </w:rPr>
  </w:style>
  <w:style w:type="character" w:customStyle="1" w:styleId="57">
    <w:name w:val="日期 Char"/>
    <w:link w:val="16"/>
    <w:autoRedefine/>
    <w:qFormat/>
    <w:locked/>
    <w:uiPriority w:val="0"/>
    <w:rPr>
      <w:rFonts w:ascii="Times New Roman" w:hAnsi="Times New Roman" w:eastAsia="宋体"/>
      <w:sz w:val="24"/>
    </w:rPr>
  </w:style>
  <w:style w:type="character" w:customStyle="1" w:styleId="58">
    <w:name w:val="正文文本缩进 2 Char"/>
    <w:link w:val="17"/>
    <w:autoRedefine/>
    <w:qFormat/>
    <w:uiPriority w:val="99"/>
    <w:rPr>
      <w:kern w:val="2"/>
      <w:sz w:val="21"/>
      <w:szCs w:val="24"/>
    </w:rPr>
  </w:style>
  <w:style w:type="character" w:customStyle="1" w:styleId="59">
    <w:name w:val="批注框文本 Char"/>
    <w:link w:val="18"/>
    <w:autoRedefine/>
    <w:qFormat/>
    <w:locked/>
    <w:uiPriority w:val="0"/>
    <w:rPr>
      <w:rFonts w:ascii="Times New Roman" w:hAnsi="Times New Roman" w:eastAsia="宋体"/>
      <w:sz w:val="18"/>
    </w:rPr>
  </w:style>
  <w:style w:type="character" w:customStyle="1" w:styleId="60">
    <w:name w:val="页脚 Char"/>
    <w:link w:val="19"/>
    <w:autoRedefine/>
    <w:qFormat/>
    <w:locked/>
    <w:uiPriority w:val="99"/>
    <w:rPr>
      <w:sz w:val="18"/>
    </w:rPr>
  </w:style>
  <w:style w:type="character" w:customStyle="1" w:styleId="61">
    <w:name w:val="页眉 Char"/>
    <w:link w:val="20"/>
    <w:autoRedefine/>
    <w:qFormat/>
    <w:locked/>
    <w:uiPriority w:val="0"/>
    <w:rPr>
      <w:sz w:val="18"/>
    </w:rPr>
  </w:style>
  <w:style w:type="character" w:customStyle="1" w:styleId="62">
    <w:name w:val="脚注文本 Char"/>
    <w:link w:val="22"/>
    <w:autoRedefine/>
    <w:qFormat/>
    <w:uiPriority w:val="99"/>
    <w:rPr>
      <w:kern w:val="2"/>
      <w:sz w:val="18"/>
      <w:szCs w:val="18"/>
    </w:rPr>
  </w:style>
  <w:style w:type="character" w:customStyle="1" w:styleId="63">
    <w:name w:val="正文文本缩进 3 Char"/>
    <w:link w:val="23"/>
    <w:autoRedefine/>
    <w:qFormat/>
    <w:uiPriority w:val="0"/>
    <w:rPr>
      <w:kern w:val="2"/>
      <w:sz w:val="16"/>
      <w:szCs w:val="16"/>
    </w:rPr>
  </w:style>
  <w:style w:type="character" w:customStyle="1" w:styleId="64">
    <w:name w:val="正文文本 2 Char"/>
    <w:link w:val="25"/>
    <w:autoRedefine/>
    <w:qFormat/>
    <w:uiPriority w:val="0"/>
    <w:rPr>
      <w:kern w:val="2"/>
      <w:sz w:val="21"/>
      <w:szCs w:val="24"/>
    </w:rPr>
  </w:style>
  <w:style w:type="character" w:customStyle="1" w:styleId="65">
    <w:name w:val="普通(网站) Char"/>
    <w:link w:val="26"/>
    <w:autoRedefine/>
    <w:qFormat/>
    <w:locked/>
    <w:uiPriority w:val="0"/>
    <w:rPr>
      <w:rFonts w:ascii="宋体" w:hAnsi="宋体" w:eastAsia="宋体"/>
      <w:sz w:val="24"/>
    </w:rPr>
  </w:style>
  <w:style w:type="character" w:customStyle="1" w:styleId="66">
    <w:name w:val="标题 Char"/>
    <w:link w:val="28"/>
    <w:autoRedefine/>
    <w:qFormat/>
    <w:uiPriority w:val="99"/>
    <w:rPr>
      <w:rFonts w:ascii="Cambria" w:hAnsi="Cambria"/>
      <w:b/>
      <w:bCs/>
      <w:kern w:val="2"/>
      <w:sz w:val="32"/>
      <w:szCs w:val="32"/>
    </w:rPr>
  </w:style>
  <w:style w:type="character" w:customStyle="1" w:styleId="67">
    <w:name w:val="批注主题 Char"/>
    <w:link w:val="29"/>
    <w:autoRedefine/>
    <w:semiHidden/>
    <w:qFormat/>
    <w:locked/>
    <w:uiPriority w:val="0"/>
    <w:rPr>
      <w:rFonts w:ascii="Times New Roman" w:hAnsi="Times New Roman" w:eastAsia="宋体"/>
      <w:b/>
      <w:kern w:val="2"/>
      <w:sz w:val="24"/>
    </w:rPr>
  </w:style>
  <w:style w:type="character" w:customStyle="1" w:styleId="68">
    <w:name w:val="正文首行缩进 Char1"/>
    <w:link w:val="30"/>
    <w:autoRedefine/>
    <w:qFormat/>
    <w:uiPriority w:val="0"/>
    <w:rPr>
      <w:kern w:val="2"/>
      <w:sz w:val="21"/>
      <w:szCs w:val="24"/>
    </w:rPr>
  </w:style>
  <w:style w:type="character" w:customStyle="1" w:styleId="69">
    <w:name w:val="正文首行缩进 2 Char"/>
    <w:link w:val="31"/>
    <w:autoRedefine/>
    <w:qFormat/>
    <w:uiPriority w:val="0"/>
    <w:rPr>
      <w:rFonts w:ascii="Times New Roman" w:hAnsi="Times New Roman" w:eastAsia="仿宋_GB2312"/>
      <w:kern w:val="2"/>
      <w:sz w:val="28"/>
      <w:szCs w:val="24"/>
    </w:rPr>
  </w:style>
  <w:style w:type="character" w:customStyle="1" w:styleId="70">
    <w:name w:val="c-gray"/>
    <w:basedOn w:val="34"/>
    <w:autoRedefine/>
    <w:qFormat/>
    <w:uiPriority w:val="0"/>
  </w:style>
  <w:style w:type="character" w:customStyle="1" w:styleId="71">
    <w:name w:val="页脚 字符"/>
    <w:basedOn w:val="34"/>
    <w:autoRedefine/>
    <w:qFormat/>
    <w:uiPriority w:val="99"/>
  </w:style>
  <w:style w:type="character" w:customStyle="1" w:styleId="72">
    <w:name w:val="font21"/>
    <w:autoRedefine/>
    <w:qFormat/>
    <w:uiPriority w:val="99"/>
    <w:rPr>
      <w:rFonts w:ascii="宋体" w:hAnsi="宋体" w:eastAsia="宋体" w:cs="宋体"/>
      <w:color w:val="000000"/>
      <w:sz w:val="18"/>
      <w:szCs w:val="18"/>
      <w:u w:val="none"/>
    </w:rPr>
  </w:style>
  <w:style w:type="character" w:customStyle="1" w:styleId="73">
    <w:name w:val="批注文字 字符1"/>
    <w:autoRedefine/>
    <w:semiHidden/>
    <w:qFormat/>
    <w:uiPriority w:val="0"/>
    <w:rPr>
      <w:rFonts w:ascii="Times New Roman" w:hAnsi="Times New Roman" w:eastAsia="宋体"/>
      <w:sz w:val="24"/>
    </w:rPr>
  </w:style>
  <w:style w:type="character" w:customStyle="1" w:styleId="74">
    <w:name w:val="font01"/>
    <w:autoRedefine/>
    <w:qFormat/>
    <w:uiPriority w:val="99"/>
    <w:rPr>
      <w:rFonts w:ascii="宋体" w:hAnsi="宋体" w:eastAsia="宋体" w:cs="宋体"/>
      <w:color w:val="000000"/>
      <w:sz w:val="18"/>
      <w:szCs w:val="18"/>
      <w:u w:val="none"/>
    </w:rPr>
  </w:style>
  <w:style w:type="character" w:customStyle="1" w:styleId="75">
    <w:name w:val="日期 字符"/>
    <w:autoRedefine/>
    <w:semiHidden/>
    <w:qFormat/>
    <w:uiPriority w:val="0"/>
    <w:rPr>
      <w:rFonts w:ascii="Times New Roman" w:hAnsi="Times New Roman" w:eastAsia="宋体"/>
      <w:sz w:val="24"/>
    </w:rPr>
  </w:style>
  <w:style w:type="character" w:customStyle="1" w:styleId="76">
    <w:name w:val="article1"/>
    <w:autoRedefine/>
    <w:qFormat/>
    <w:uiPriority w:val="0"/>
    <w:rPr>
      <w:b/>
      <w:bCs/>
      <w:smallCaps/>
      <w:color w:val="FF0000"/>
      <w:sz w:val="48"/>
      <w:szCs w:val="48"/>
    </w:rPr>
  </w:style>
  <w:style w:type="character" w:customStyle="1" w:styleId="77">
    <w:name w:val="钢--正文 Char"/>
    <w:link w:val="78"/>
    <w:autoRedefine/>
    <w:qFormat/>
    <w:locked/>
    <w:uiPriority w:val="0"/>
    <w:rPr>
      <w:rFonts w:ascii="宋体" w:hAnsi="宋体"/>
      <w:kern w:val="2"/>
      <w:sz w:val="24"/>
      <w:szCs w:val="24"/>
    </w:rPr>
  </w:style>
  <w:style w:type="paragraph" w:customStyle="1" w:styleId="78">
    <w:name w:val="钢--正文"/>
    <w:basedOn w:val="1"/>
    <w:link w:val="77"/>
    <w:autoRedefine/>
    <w:qFormat/>
    <w:uiPriority w:val="0"/>
    <w:pPr>
      <w:spacing w:line="520" w:lineRule="exact"/>
      <w:ind w:firstLine="480" w:firstLineChars="200"/>
    </w:pPr>
    <w:rPr>
      <w:rFonts w:ascii="宋体" w:hAnsi="宋体"/>
      <w:sz w:val="24"/>
    </w:rPr>
  </w:style>
  <w:style w:type="character" w:customStyle="1" w:styleId="79">
    <w:name w:val="表表表 Char"/>
    <w:link w:val="80"/>
    <w:autoRedefine/>
    <w:qFormat/>
    <w:uiPriority w:val="0"/>
    <w:rPr>
      <w:szCs w:val="21"/>
    </w:rPr>
  </w:style>
  <w:style w:type="paragraph" w:customStyle="1" w:styleId="80">
    <w:name w:val="表表表"/>
    <w:basedOn w:val="1"/>
    <w:link w:val="79"/>
    <w:autoRedefine/>
    <w:qFormat/>
    <w:uiPriority w:val="0"/>
    <w:pPr>
      <w:tabs>
        <w:tab w:val="left" w:pos="3000"/>
      </w:tabs>
      <w:spacing w:line="360" w:lineRule="auto"/>
      <w:jc w:val="center"/>
    </w:pPr>
    <w:rPr>
      <w:kern w:val="0"/>
      <w:sz w:val="20"/>
      <w:szCs w:val="21"/>
    </w:rPr>
  </w:style>
  <w:style w:type="character" w:customStyle="1" w:styleId="81">
    <w:name w:val="ca-1"/>
    <w:basedOn w:val="34"/>
    <w:autoRedefine/>
    <w:qFormat/>
    <w:uiPriority w:val="0"/>
  </w:style>
  <w:style w:type="character" w:customStyle="1" w:styleId="82">
    <w:name w:val="占位符文本1"/>
    <w:autoRedefine/>
    <w:semiHidden/>
    <w:qFormat/>
    <w:uiPriority w:val="99"/>
    <w:rPr>
      <w:color w:val="808080"/>
    </w:rPr>
  </w:style>
  <w:style w:type="character" w:customStyle="1" w:styleId="83">
    <w:name w:val="中文报告书样式 Char1"/>
    <w:link w:val="84"/>
    <w:autoRedefine/>
    <w:qFormat/>
    <w:uiPriority w:val="0"/>
    <w:rPr>
      <w:kern w:val="24"/>
      <w:sz w:val="24"/>
      <w:szCs w:val="24"/>
    </w:rPr>
  </w:style>
  <w:style w:type="paragraph" w:customStyle="1" w:styleId="84">
    <w:name w:val="中文报告书样式"/>
    <w:basedOn w:val="1"/>
    <w:link w:val="83"/>
    <w:autoRedefine/>
    <w:qFormat/>
    <w:uiPriority w:val="0"/>
    <w:pPr>
      <w:adjustRightInd w:val="0"/>
      <w:spacing w:line="480" w:lineRule="atLeast"/>
      <w:ind w:firstLine="482"/>
      <w:textAlignment w:val="baseline"/>
    </w:pPr>
    <w:rPr>
      <w:kern w:val="24"/>
      <w:sz w:val="24"/>
    </w:rPr>
  </w:style>
  <w:style w:type="character" w:customStyle="1" w:styleId="85">
    <w:name w:val="样式 宋体"/>
    <w:autoRedefine/>
    <w:qFormat/>
    <w:uiPriority w:val="0"/>
    <w:rPr>
      <w:rFonts w:ascii="Times New Roman" w:hAnsi="Times New Roman" w:eastAsia="宋体"/>
      <w:sz w:val="24"/>
      <w:vertAlign w:val="baseline"/>
    </w:rPr>
  </w:style>
  <w:style w:type="character" w:customStyle="1" w:styleId="86">
    <w:name w:val="表格 Char"/>
    <w:link w:val="87"/>
    <w:autoRedefine/>
    <w:qFormat/>
    <w:locked/>
    <w:uiPriority w:val="0"/>
    <w:rPr>
      <w:rFonts w:ascii="宋体"/>
      <w:sz w:val="21"/>
    </w:rPr>
  </w:style>
  <w:style w:type="paragraph" w:customStyle="1" w:styleId="87">
    <w:name w:val="表格"/>
    <w:basedOn w:val="1"/>
    <w:next w:val="1"/>
    <w:link w:val="86"/>
    <w:autoRedefine/>
    <w:qFormat/>
    <w:uiPriority w:val="0"/>
    <w:pPr>
      <w:adjustRightInd w:val="0"/>
      <w:snapToGrid w:val="0"/>
      <w:spacing w:beforeLines="10" w:afterLines="10" w:line="259" w:lineRule="auto"/>
      <w:jc w:val="center"/>
    </w:pPr>
    <w:rPr>
      <w:rFonts w:ascii="宋体"/>
      <w:kern w:val="0"/>
      <w:szCs w:val="20"/>
    </w:rPr>
  </w:style>
  <w:style w:type="character" w:customStyle="1" w:styleId="88">
    <w:name w:val="未处理的提及"/>
    <w:autoRedefine/>
    <w:unhideWhenUsed/>
    <w:qFormat/>
    <w:uiPriority w:val="99"/>
    <w:rPr>
      <w:color w:val="605E5C"/>
      <w:shd w:val="clear" w:color="auto" w:fill="E1DFDD"/>
    </w:rPr>
  </w:style>
  <w:style w:type="character" w:customStyle="1" w:styleId="89">
    <w:name w:val="正文文本 (2)_"/>
    <w:link w:val="90"/>
    <w:autoRedefine/>
    <w:qFormat/>
    <w:uiPriority w:val="0"/>
    <w:rPr>
      <w:rFonts w:ascii="MingLiU" w:hAnsi="MingLiU" w:eastAsia="MingLiU" w:cs="MingLiU"/>
      <w:sz w:val="26"/>
      <w:szCs w:val="26"/>
      <w:shd w:val="clear" w:color="auto" w:fill="FFFFFF"/>
    </w:rPr>
  </w:style>
  <w:style w:type="paragraph" w:customStyle="1" w:styleId="90">
    <w:name w:val="正文文本 (2)5"/>
    <w:basedOn w:val="1"/>
    <w:link w:val="89"/>
    <w:autoRedefine/>
    <w:qFormat/>
    <w:uiPriority w:val="0"/>
    <w:pPr>
      <w:shd w:val="clear" w:color="auto" w:fill="FFFFFF"/>
      <w:spacing w:line="542" w:lineRule="exact"/>
    </w:pPr>
    <w:rPr>
      <w:rFonts w:ascii="MingLiU" w:hAnsi="MingLiU" w:eastAsia="MingLiU" w:cs="MingLiU"/>
      <w:kern w:val="0"/>
      <w:sz w:val="26"/>
      <w:szCs w:val="26"/>
    </w:rPr>
  </w:style>
  <w:style w:type="character" w:customStyle="1" w:styleId="91">
    <w:name w:val="正文文本 字符1"/>
    <w:autoRedefine/>
    <w:semiHidden/>
    <w:qFormat/>
    <w:uiPriority w:val="0"/>
    <w:rPr>
      <w:rFonts w:ascii="Times New Roman" w:hAnsi="Times New Roman" w:eastAsia="宋体"/>
      <w:sz w:val="24"/>
    </w:rPr>
  </w:style>
  <w:style w:type="character" w:customStyle="1" w:styleId="92">
    <w:name w:val="正文首行缩进 Char"/>
    <w:autoRedefine/>
    <w:semiHidden/>
    <w:qFormat/>
    <w:uiPriority w:val="99"/>
    <w:rPr>
      <w:rFonts w:ascii="Times New Roman" w:hAnsi="Times New Roman" w:eastAsia="宋体" w:cs="Times New Roman"/>
      <w:kern w:val="2"/>
      <w:sz w:val="21"/>
      <w:szCs w:val="24"/>
    </w:rPr>
  </w:style>
  <w:style w:type="character" w:customStyle="1" w:styleId="93">
    <w:name w:val="font61"/>
    <w:autoRedefine/>
    <w:qFormat/>
    <w:uiPriority w:val="99"/>
    <w:rPr>
      <w:rFonts w:ascii="宋体" w:hAnsi="宋体" w:eastAsia="宋体" w:cs="宋体"/>
      <w:color w:val="000000"/>
      <w:sz w:val="18"/>
      <w:szCs w:val="18"/>
      <w:u w:val="none"/>
    </w:rPr>
  </w:style>
  <w:style w:type="character" w:customStyle="1" w:styleId="94">
    <w:name w:val="font51"/>
    <w:autoRedefine/>
    <w:qFormat/>
    <w:uiPriority w:val="99"/>
    <w:rPr>
      <w:rFonts w:ascii="Times New Roman" w:hAnsi="Times New Roman" w:cs="Times New Roman"/>
      <w:color w:val="000000"/>
      <w:sz w:val="18"/>
      <w:szCs w:val="18"/>
      <w:u w:val="none"/>
      <w:vertAlign w:val="superscript"/>
    </w:rPr>
  </w:style>
  <w:style w:type="character" w:customStyle="1" w:styleId="95">
    <w:name w:val="样式 题注 + (中文) 宋体 Char"/>
    <w:link w:val="96"/>
    <w:autoRedefine/>
    <w:qFormat/>
    <w:uiPriority w:val="0"/>
    <w:rPr>
      <w:b/>
      <w:kern w:val="2"/>
      <w:sz w:val="21"/>
    </w:rPr>
  </w:style>
  <w:style w:type="paragraph" w:customStyle="1" w:styleId="96">
    <w:name w:val="样式 题注 + (中文) 宋体"/>
    <w:basedOn w:val="9"/>
    <w:link w:val="95"/>
    <w:autoRedefine/>
    <w:qFormat/>
    <w:uiPriority w:val="0"/>
    <w:pPr>
      <w:keepNext/>
      <w:adjustRightInd w:val="0"/>
      <w:snapToGrid w:val="0"/>
      <w:jc w:val="center"/>
    </w:pPr>
    <w:rPr>
      <w:rFonts w:ascii="Times New Roman" w:hAnsi="Times New Roman" w:eastAsia="宋体"/>
      <w:b/>
      <w:sz w:val="21"/>
    </w:rPr>
  </w:style>
  <w:style w:type="character" w:customStyle="1" w:styleId="97">
    <w:name w:val="正文缩进 字符"/>
    <w:autoRedefine/>
    <w:qFormat/>
    <w:uiPriority w:val="0"/>
    <w:rPr>
      <w:kern w:val="2"/>
      <w:sz w:val="28"/>
    </w:rPr>
  </w:style>
  <w:style w:type="character" w:customStyle="1" w:styleId="98">
    <w:name w:val="表头 Char"/>
    <w:link w:val="99"/>
    <w:autoRedefine/>
    <w:qFormat/>
    <w:uiPriority w:val="0"/>
    <w:rPr>
      <w:rFonts w:ascii="宋体" w:hAnsi="宋体"/>
      <w:b/>
      <w:kern w:val="2"/>
      <w:sz w:val="21"/>
      <w:szCs w:val="21"/>
      <w:lang w:val="de-DE"/>
    </w:rPr>
  </w:style>
  <w:style w:type="paragraph" w:customStyle="1" w:styleId="99">
    <w:name w:val="表头"/>
    <w:basedOn w:val="1"/>
    <w:link w:val="98"/>
    <w:autoRedefine/>
    <w:qFormat/>
    <w:uiPriority w:val="0"/>
    <w:rPr>
      <w:rFonts w:ascii="宋体" w:hAnsi="宋体"/>
      <w:b/>
      <w:szCs w:val="21"/>
      <w:lang w:val="de-DE"/>
    </w:rPr>
  </w:style>
  <w:style w:type="paragraph" w:customStyle="1" w:styleId="10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01">
    <w:name w:val="样式环评"/>
    <w:basedOn w:val="1"/>
    <w:autoRedefine/>
    <w:qFormat/>
    <w:uiPriority w:val="0"/>
    <w:pPr>
      <w:spacing w:line="500" w:lineRule="exact"/>
      <w:ind w:firstLine="612"/>
    </w:pPr>
    <w:rPr>
      <w:rFonts w:ascii="仿宋_GB2312" w:hAnsi="宋体" w:eastAsia="仿宋_GB2312"/>
      <w:sz w:val="28"/>
    </w:rPr>
  </w:style>
  <w:style w:type="paragraph" w:customStyle="1" w:styleId="102">
    <w:name w:val="列出段落1"/>
    <w:basedOn w:val="1"/>
    <w:autoRedefine/>
    <w:qFormat/>
    <w:uiPriority w:val="99"/>
    <w:pPr>
      <w:ind w:firstLine="420" w:firstLineChars="200"/>
    </w:pPr>
    <w:rPr>
      <w:rFonts w:ascii="Calibri" w:hAnsi="Calibri"/>
    </w:rPr>
  </w:style>
  <w:style w:type="paragraph" w:customStyle="1" w:styleId="103">
    <w:name w:val="样式 表中文字 + 小四"/>
    <w:basedOn w:val="1"/>
    <w:link w:val="133"/>
    <w:autoRedefine/>
    <w:qFormat/>
    <w:uiPriority w:val="0"/>
    <w:pPr>
      <w:widowControl/>
      <w:jc w:val="center"/>
    </w:pPr>
    <w:rPr>
      <w:rFonts w:hint="eastAsia" w:ascii="宋体" w:hAnsi="宋体"/>
      <w:kern w:val="0"/>
      <w:sz w:val="20"/>
      <w:szCs w:val="21"/>
    </w:rPr>
  </w:style>
  <w:style w:type="paragraph" w:customStyle="1" w:styleId="104">
    <w:name w:val="【正文】"/>
    <w:basedOn w:val="1"/>
    <w:autoRedefine/>
    <w:qFormat/>
    <w:uiPriority w:val="0"/>
    <w:pPr>
      <w:spacing w:beforeLines="50" w:afterLines="50" w:line="440" w:lineRule="exact"/>
      <w:ind w:firstLine="200" w:firstLineChars="200"/>
    </w:pPr>
    <w:rPr>
      <w:rFonts w:eastAsia="新宋体" w:cs="宋体"/>
      <w:sz w:val="24"/>
      <w:szCs w:val="20"/>
    </w:rPr>
  </w:style>
  <w:style w:type="paragraph" w:customStyle="1" w:styleId="105">
    <w:name w:val="表标题"/>
    <w:basedOn w:val="1"/>
    <w:autoRedefine/>
    <w:qFormat/>
    <w:uiPriority w:val="0"/>
    <w:pPr>
      <w:widowControl/>
      <w:snapToGrid w:val="0"/>
      <w:spacing w:before="120" w:afterLines="50"/>
      <w:ind w:firstLine="482"/>
      <w:jc w:val="center"/>
    </w:pPr>
    <w:rPr>
      <w:rFonts w:ascii="黑体" w:hAnsi="Gloucester MT Extra Condensed" w:eastAsia="黑体"/>
      <w:bCs/>
      <w:szCs w:val="21"/>
    </w:rPr>
  </w:style>
  <w:style w:type="paragraph" w:customStyle="1" w:styleId="106">
    <w:name w:val="环科院插图标题"/>
    <w:basedOn w:val="1"/>
    <w:autoRedefine/>
    <w:qFormat/>
    <w:uiPriority w:val="99"/>
    <w:pPr>
      <w:adjustRightInd w:val="0"/>
      <w:snapToGrid w:val="0"/>
      <w:spacing w:beforeLines="50"/>
      <w:jc w:val="center"/>
    </w:pPr>
    <w:rPr>
      <w:rFonts w:ascii="黑体" w:eastAsia="黑体"/>
      <w:color w:val="FF0000"/>
      <w:szCs w:val="21"/>
    </w:rPr>
  </w:style>
  <w:style w:type="paragraph" w:customStyle="1" w:styleId="107">
    <w:name w:val="样式11"/>
    <w:basedOn w:val="1"/>
    <w:autoRedefine/>
    <w:qFormat/>
    <w:uiPriority w:val="0"/>
    <w:pPr>
      <w:spacing w:line="300" w:lineRule="auto"/>
      <w:jc w:val="center"/>
    </w:pPr>
    <w:rPr>
      <w:rFonts w:ascii="宋体"/>
    </w:rPr>
  </w:style>
  <w:style w:type="paragraph" w:customStyle="1" w:styleId="108">
    <w:name w:val="首行缩进正文"/>
    <w:basedOn w:val="1"/>
    <w:autoRedefine/>
    <w:qFormat/>
    <w:uiPriority w:val="0"/>
    <w:pPr>
      <w:spacing w:line="360" w:lineRule="auto"/>
      <w:ind w:firstLine="1440" w:firstLineChars="200"/>
    </w:pPr>
  </w:style>
  <w:style w:type="paragraph" w:customStyle="1" w:styleId="109">
    <w:name w:val="p0"/>
    <w:basedOn w:val="1"/>
    <w:autoRedefine/>
    <w:qFormat/>
    <w:uiPriority w:val="0"/>
    <w:pPr>
      <w:widowControl/>
    </w:pPr>
    <w:rPr>
      <w:kern w:val="0"/>
      <w:szCs w:val="21"/>
    </w:rPr>
  </w:style>
  <w:style w:type="paragraph" w:customStyle="1" w:styleId="110">
    <w:name w:val="Table Paragraph"/>
    <w:basedOn w:val="1"/>
    <w:autoRedefine/>
    <w:qFormat/>
    <w:uiPriority w:val="1"/>
    <w:rPr>
      <w:rFonts w:ascii="Calibri" w:hAnsi="Calibri"/>
      <w:kern w:val="0"/>
      <w:sz w:val="28"/>
      <w:szCs w:val="20"/>
    </w:rPr>
  </w:style>
  <w:style w:type="paragraph" w:customStyle="1" w:styleId="111">
    <w:name w:val="报告正文"/>
    <w:basedOn w:val="1"/>
    <w:autoRedefine/>
    <w:qFormat/>
    <w:uiPriority w:val="0"/>
    <w:pPr>
      <w:spacing w:line="360" w:lineRule="auto"/>
      <w:ind w:firstLine="480" w:firstLineChars="200"/>
    </w:pPr>
    <w:rPr>
      <w:rFonts w:ascii="Arial" w:hAnsi="Arial" w:eastAsia="等线" w:cs="Arial"/>
      <w:kern w:val="0"/>
      <w:sz w:val="24"/>
      <w:szCs w:val="20"/>
    </w:rPr>
  </w:style>
  <w:style w:type="paragraph" w:customStyle="1" w:styleId="112">
    <w:name w:val="表格文字."/>
    <w:basedOn w:val="1"/>
    <w:autoRedefine/>
    <w:qFormat/>
    <w:uiPriority w:val="0"/>
    <w:pPr>
      <w:adjustRightInd w:val="0"/>
      <w:snapToGrid w:val="0"/>
      <w:jc w:val="center"/>
    </w:pPr>
    <w:rPr>
      <w:snapToGrid w:val="0"/>
      <w:color w:val="000000"/>
      <w:kern w:val="0"/>
      <w:szCs w:val="20"/>
    </w:rPr>
  </w:style>
  <w:style w:type="paragraph" w:customStyle="1" w:styleId="11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
    <w:name w:val="修订1"/>
    <w:autoRedefine/>
    <w:semiHidden/>
    <w:qFormat/>
    <w:uiPriority w:val="99"/>
    <w:rPr>
      <w:rFonts w:ascii="Times New Roman" w:hAnsi="Times New Roman" w:eastAsia="宋体" w:cs="Times New Roman"/>
      <w:kern w:val="2"/>
      <w:sz w:val="21"/>
      <w:szCs w:val="24"/>
      <w:lang w:val="en-US" w:eastAsia="zh-CN" w:bidi="ar-SA"/>
    </w:rPr>
  </w:style>
  <w:style w:type="paragraph" w:customStyle="1" w:styleId="115">
    <w:name w:val="环表格"/>
    <w:basedOn w:val="87"/>
    <w:autoRedefine/>
    <w:qFormat/>
    <w:uiPriority w:val="0"/>
    <w:pPr>
      <w:spacing w:beforeLines="20" w:afterLines="20" w:line="240" w:lineRule="auto"/>
    </w:pPr>
    <w:rPr>
      <w:rFonts w:ascii="Times New Roman"/>
      <w:bCs/>
      <w:kern w:val="2"/>
    </w:rPr>
  </w:style>
  <w:style w:type="paragraph" w:customStyle="1" w:styleId="116">
    <w:name w:val="表格文字"/>
    <w:autoRedefine/>
    <w:qFormat/>
    <w:uiPriority w:val="0"/>
    <w:pPr>
      <w:spacing w:beforeLines="10" w:line="0" w:lineRule="atLeast"/>
      <w:jc w:val="center"/>
    </w:pPr>
    <w:rPr>
      <w:rFonts w:ascii="Times New Roman" w:hAnsi="Times New Roman" w:eastAsia="宋体" w:cs="Times New Roman"/>
      <w:kern w:val="2"/>
      <w:sz w:val="18"/>
      <w:szCs w:val="21"/>
      <w:lang w:val="en-US" w:eastAsia="zh-CN" w:bidi="ar-SA"/>
    </w:rPr>
  </w:style>
  <w:style w:type="paragraph" w:customStyle="1" w:styleId="117">
    <w:name w:val="Char5"/>
    <w:basedOn w:val="1"/>
    <w:autoRedefine/>
    <w:qFormat/>
    <w:uiPriority w:val="0"/>
    <w:pPr>
      <w:adjustRightInd w:val="0"/>
      <w:snapToGrid w:val="0"/>
      <w:spacing w:line="360" w:lineRule="auto"/>
      <w:ind w:firstLine="200" w:firstLineChars="200"/>
    </w:pPr>
    <w:rPr>
      <w:sz w:val="24"/>
    </w:rPr>
  </w:style>
  <w:style w:type="paragraph" w:customStyle="1" w:styleId="118">
    <w:name w:val="正文 首行缩进:  2 字符"/>
    <w:basedOn w:val="1"/>
    <w:autoRedefine/>
    <w:qFormat/>
    <w:uiPriority w:val="0"/>
    <w:pPr>
      <w:adjustRightInd w:val="0"/>
      <w:snapToGrid w:val="0"/>
      <w:spacing w:line="360" w:lineRule="auto"/>
      <w:ind w:firstLine="480" w:firstLineChars="200"/>
    </w:pPr>
    <w:rPr>
      <w:bCs/>
      <w:color w:val="000000"/>
      <w:kern w:val="0"/>
      <w:sz w:val="24"/>
    </w:rPr>
  </w:style>
  <w:style w:type="paragraph" w:customStyle="1" w:styleId="119">
    <w:name w:val="xl22"/>
    <w:basedOn w:val="1"/>
    <w:autoRedefine/>
    <w:qFormat/>
    <w:uiPriority w:val="99"/>
    <w:pPr>
      <w:widowControl/>
      <w:spacing w:before="100" w:after="100"/>
      <w:jc w:val="center"/>
    </w:pPr>
    <w:rPr>
      <w:kern w:val="0"/>
      <w:sz w:val="24"/>
    </w:rPr>
  </w:style>
  <w:style w:type="paragraph" w:customStyle="1" w:styleId="120">
    <w:name w:val="TOC 标题1"/>
    <w:basedOn w:val="3"/>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21">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2">
    <w:name w:val="样式 题注 + 首行缩进:  2 字符"/>
    <w:basedOn w:val="9"/>
    <w:autoRedefine/>
    <w:qFormat/>
    <w:uiPriority w:val="0"/>
    <w:pPr>
      <w:snapToGrid w:val="0"/>
      <w:spacing w:line="360" w:lineRule="auto"/>
      <w:ind w:firstLine="502" w:firstLineChars="100"/>
      <w:jc w:val="center"/>
    </w:pPr>
    <w:rPr>
      <w:rFonts w:ascii="黑体" w:hAnsi="Times New Roman"/>
      <w:b/>
      <w:sz w:val="24"/>
    </w:rPr>
  </w:style>
  <w:style w:type="paragraph" w:customStyle="1" w:styleId="123">
    <w:name w:val="四级标题1.1.1.1"/>
    <w:basedOn w:val="1"/>
    <w:next w:val="1"/>
    <w:autoRedefine/>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124">
    <w:name w:val="绘图"/>
    <w:basedOn w:val="1"/>
    <w:autoRedefine/>
    <w:qFormat/>
    <w:uiPriority w:val="0"/>
    <w:pPr>
      <w:jc w:val="center"/>
    </w:pPr>
    <w:rPr>
      <w:rFonts w:ascii="Calibri" w:hAnsi="Calibri" w:eastAsia="黑体"/>
      <w:kern w:val="0"/>
      <w:sz w:val="24"/>
      <w:szCs w:val="20"/>
    </w:rPr>
  </w:style>
  <w:style w:type="paragraph" w:customStyle="1" w:styleId="125">
    <w:name w:val="环评样式1"/>
    <w:basedOn w:val="1"/>
    <w:autoRedefine/>
    <w:qFormat/>
    <w:uiPriority w:val="0"/>
    <w:pPr>
      <w:spacing w:line="500" w:lineRule="exact"/>
      <w:ind w:firstLine="612"/>
    </w:pPr>
    <w:rPr>
      <w:rFonts w:ascii="仿宋_GB2312" w:hAnsi="宋体" w:eastAsia="仿宋_GB2312"/>
      <w:sz w:val="28"/>
    </w:rPr>
  </w:style>
  <w:style w:type="paragraph" w:customStyle="1" w:styleId="126">
    <w:name w:val="正文小四"/>
    <w:basedOn w:val="1"/>
    <w:autoRedefine/>
    <w:qFormat/>
    <w:uiPriority w:val="0"/>
    <w:pPr>
      <w:widowControl/>
      <w:jc w:val="left"/>
    </w:pPr>
  </w:style>
  <w:style w:type="paragraph" w:customStyle="1" w:styleId="127">
    <w:name w:val="图表题"/>
    <w:basedOn w:val="1"/>
    <w:next w:val="1"/>
    <w:autoRedefine/>
    <w:qFormat/>
    <w:uiPriority w:val="0"/>
    <w:pPr>
      <w:adjustRightInd w:val="0"/>
      <w:snapToGrid w:val="0"/>
      <w:spacing w:line="360" w:lineRule="auto"/>
      <w:jc w:val="center"/>
    </w:pPr>
    <w:rPr>
      <w:rFonts w:eastAsia="黑体"/>
      <w:kern w:val="0"/>
      <w:sz w:val="24"/>
      <w:szCs w:val="20"/>
    </w:rPr>
  </w:style>
  <w:style w:type="paragraph" w:customStyle="1" w:styleId="128">
    <w:name w:val="TOC 标题2"/>
    <w:basedOn w:val="3"/>
    <w:next w:val="1"/>
    <w:autoRedefine/>
    <w:qFormat/>
    <w:uiPriority w:val="3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paragraph" w:customStyle="1" w:styleId="129">
    <w:name w:val="标准"/>
    <w:basedOn w:val="1"/>
    <w:autoRedefine/>
    <w:qFormat/>
    <w:uiPriority w:val="0"/>
    <w:pPr>
      <w:adjustRightInd w:val="0"/>
      <w:spacing w:line="312" w:lineRule="atLeast"/>
      <w:jc w:val="center"/>
      <w:textAlignment w:val="baseline"/>
    </w:pPr>
    <w:rPr>
      <w:kern w:val="0"/>
      <w:szCs w:val="20"/>
    </w:rPr>
  </w:style>
  <w:style w:type="paragraph" w:customStyle="1" w:styleId="130">
    <w:name w:val="样式 样式 小四 段前: 7.8 磅 段后: 7.8 磅 行距: 1.5 倍行距 + 首行缩进:  2 字符"/>
    <w:basedOn w:val="1"/>
    <w:autoRedefine/>
    <w:qFormat/>
    <w:uiPriority w:val="0"/>
    <w:pPr>
      <w:ind w:firstLine="388" w:firstLineChars="200"/>
    </w:pPr>
    <w:rPr>
      <w:rFonts w:hAnsi="宋体"/>
      <w:spacing w:val="-8"/>
      <w:szCs w:val="21"/>
    </w:rPr>
  </w:style>
  <w:style w:type="paragraph" w:customStyle="1" w:styleId="131">
    <w:name w:val="0"/>
    <w:basedOn w:val="1"/>
    <w:autoRedefine/>
    <w:qFormat/>
    <w:uiPriority w:val="0"/>
    <w:pPr>
      <w:widowControl/>
      <w:jc w:val="left"/>
    </w:pPr>
    <w:rPr>
      <w:kern w:val="0"/>
      <w:szCs w:val="21"/>
    </w:rPr>
  </w:style>
  <w:style w:type="table" w:customStyle="1" w:styleId="132">
    <w:name w:val="标准表格"/>
    <w:basedOn w:val="32"/>
    <w:autoRedefine/>
    <w:qFormat/>
    <w:uiPriority w:val="99"/>
    <w:pPr>
      <w:spacing w:before="74"/>
      <w:jc w:val="center"/>
    </w:pPr>
    <w:rPr>
      <w:sz w:val="18"/>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FFFFFF"/>
      <w:vAlign w:val="center"/>
    </w:tcPr>
    <w:tblStylePr w:type="firstRow">
      <w:pPr>
        <w:wordWrap/>
        <w:spacing w:line="240" w:lineRule="auto"/>
        <w:ind w:left="0" w:leftChars="0" w:right="0" w:rightChars="0" w:firstLine="0" w:firstLineChars="0"/>
        <w:jc w:val="center"/>
      </w:pPr>
      <w:rPr>
        <w:rFonts w:hint="eastAsia" w:ascii="PMingLiU" w:hAnsi="PMingLiU" w:eastAsia="PMingLiU"/>
        <w:sz w:val="18"/>
        <w:szCs w:val="18"/>
      </w:rPr>
    </w:tblStylePr>
    <w:tblStylePr w:type="firstCol">
      <w:pPr>
        <w:jc w:val="center"/>
      </w:pPr>
    </w:tblStylePr>
  </w:style>
  <w:style w:type="character" w:customStyle="1" w:styleId="133">
    <w:name w:val="样式 表中文字 + 小四 Char"/>
    <w:link w:val="103"/>
    <w:autoRedefine/>
    <w:qFormat/>
    <w:uiPriority w:val="0"/>
    <w:rPr>
      <w:rFonts w:ascii="宋体" w:hAnsi="宋体"/>
      <w:szCs w:val="21"/>
    </w:rPr>
  </w:style>
  <w:style w:type="paragraph" w:customStyle="1" w:styleId="134">
    <w:name w:val="a正文"/>
    <w:basedOn w:val="1"/>
    <w:autoRedefine/>
    <w:qFormat/>
    <w:uiPriority w:val="0"/>
    <w:pPr>
      <w:spacing w:line="360" w:lineRule="auto"/>
      <w:ind w:firstLine="200" w:firstLineChars="200"/>
    </w:pPr>
    <w:rPr>
      <w:sz w:val="28"/>
      <w:szCs w:val="28"/>
    </w:rPr>
  </w:style>
  <w:style w:type="paragraph" w:customStyle="1" w:styleId="135">
    <w:name w:val="标准正文"/>
    <w:basedOn w:val="1"/>
    <w:autoRedefine/>
    <w:qFormat/>
    <w:uiPriority w:val="0"/>
    <w:pPr>
      <w:spacing w:line="280" w:lineRule="exact"/>
      <w:ind w:firstLine="480" w:firstLineChars="200"/>
    </w:pPr>
    <w:rPr>
      <w:rFonts w:hAnsi="宋体"/>
      <w:bCs/>
    </w:rPr>
  </w:style>
  <w:style w:type="paragraph" w:customStyle="1" w:styleId="136">
    <w:name w:val="正文 New"/>
    <w:autoRedefine/>
    <w:qFormat/>
    <w:uiPriority w:val="0"/>
    <w:pPr>
      <w:widowControl w:val="0"/>
      <w:adjustRightInd w:val="0"/>
      <w:snapToGrid w:val="0"/>
      <w:spacing w:line="480" w:lineRule="atLeast"/>
      <w:jc w:val="both"/>
    </w:pPr>
    <w:rPr>
      <w:rFonts w:ascii="宋体" w:hAnsi="Times New Roman" w:eastAsia="宋体" w:cs="Times New Roman"/>
      <w:kern w:val="2"/>
      <w:sz w:val="28"/>
      <w:szCs w:val="28"/>
      <w:lang w:val="en-US" w:eastAsia="zh-CN" w:bidi="ar-SA"/>
    </w:rPr>
  </w:style>
  <w:style w:type="paragraph" w:customStyle="1" w:styleId="137">
    <w:name w:val="样式 小四 首行缩进:  0.85 厘米 行距: 1.5 倍行距"/>
    <w:basedOn w:val="1"/>
    <w:autoRedefine/>
    <w:qFormat/>
    <w:uiPriority w:val="0"/>
    <w:pPr>
      <w:spacing w:line="360" w:lineRule="auto"/>
      <w:ind w:firstLine="480"/>
    </w:pPr>
    <w:rPr>
      <w:rFonts w:cs="宋体"/>
      <w:sz w:val="24"/>
      <w:szCs w:val="20"/>
    </w:rPr>
  </w:style>
  <w:style w:type="character" w:customStyle="1" w:styleId="138">
    <w:name w:val="font11"/>
    <w:basedOn w:val="34"/>
    <w:autoRedefine/>
    <w:qFormat/>
    <w:uiPriority w:val="0"/>
    <w:rPr>
      <w:rFonts w:hint="default" w:ascii="Times New Roman" w:hAnsi="Times New Roman" w:cs="Times New Roman"/>
      <w:color w:val="0000FF"/>
      <w:sz w:val="20"/>
      <w:szCs w:val="20"/>
      <w:u w:val="none"/>
    </w:rPr>
  </w:style>
  <w:style w:type="paragraph" w:customStyle="1" w:styleId="139">
    <w:name w:val="表内格式"/>
    <w:basedOn w:val="1"/>
    <w:autoRedefine/>
    <w:semiHidden/>
    <w:qFormat/>
    <w:uiPriority w:val="0"/>
    <w:pPr>
      <w:spacing w:line="280" w:lineRule="exact"/>
      <w:jc w:val="center"/>
    </w:pPr>
    <w:rPr>
      <w:rFonts w:ascii="宋体"/>
      <w:sz w:val="18"/>
      <w:szCs w:val="20"/>
    </w:rPr>
  </w:style>
  <w:style w:type="paragraph" w:customStyle="1" w:styleId="140">
    <w:name w:val="表格内容"/>
    <w:basedOn w:val="1"/>
    <w:qFormat/>
    <w:uiPriority w:val="0"/>
    <w:pPr>
      <w:overflowPunct w:val="0"/>
      <w:adjustRightInd w:val="0"/>
      <w:snapToGrid w:val="0"/>
      <w:jc w:val="center"/>
      <w:textAlignment w:val="baseline"/>
    </w:pPr>
    <w:rPr>
      <w:kern w:val="0"/>
      <w:szCs w:val="20"/>
    </w:rPr>
  </w:style>
  <w:style w:type="paragraph" w:customStyle="1" w:styleId="141">
    <w:name w:val="样式 正文文本文本正文正文文字 Char Char Char Char + 居中 首行缩进:  0 厘米 段前: 6 磅"/>
    <w:basedOn w:val="12"/>
    <w:qFormat/>
    <w:uiPriority w:val="0"/>
    <w:pPr>
      <w:adjustRightInd w:val="0"/>
      <w:spacing w:before="120" w:after="0"/>
      <w:jc w:val="center"/>
      <w:textAlignment w:val="baseline"/>
    </w:pPr>
    <w:rPr>
      <w:rFonts w:ascii="宋体"/>
      <w:snapToGrid w:val="0"/>
      <w:w w:val="90"/>
      <w:sz w:val="24"/>
      <w:szCs w:val="2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8.bin"/><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oleObject" Target="embeddings/oleObject6.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c98469a9-e4f4-41bb-b026-06b6feedad2b</errorID>
      <errorWord>(</errorWord>
      <group>L1_Format</group>
      <groupName>格式问题</groupName>
      <ability>L2_HalfPunc</ability>
      <abilityName>全半角检查</abilityName>
      <candidateList>
        <item>（</item>
      </candidateList>
      <explain>文本全半角错误。</explain>
      <paraID>198CDD16</paraID>
      <start>41</start>
      <end>42</end>
      <status>modified</status>
      <modifiedWord>（</modifiedWord>
      <trackRevisions>false</trackRevisions>
    </reviewItem>
    <reviewItem>
      <errorID>e9dc385f-b892-423a-8afa-758f92b5c1e3</errorID>
      <errorWord>)</errorWord>
      <group>L1_Format</group>
      <groupName>格式问题</groupName>
      <ability>L2_HalfPunc</ability>
      <abilityName>全半角检查</abilityName>
      <candidateList>
        <item>）</item>
      </candidateList>
      <explain>文本全半角错误。</explain>
      <paraID>198CDD16</paraID>
      <start>44</start>
      <end>45</end>
      <status>modified</status>
      <modifiedWord>）</modifiedWord>
      <trackRevisions>false</trackRevisions>
    </reviewItem>
    <reviewItem>
      <errorID>4b4f21f1-e201-4cee-97c3-077025e7d68e</errorID>
      <errorWord>沙</errorWord>
      <group>L1_Word</group>
      <groupName>字词问题</groupName>
      <ability>L2_Typo</ability>
      <abilityName>字词错误</abilityName>
      <candidateList>
        <item>砂</item>
      </candidateList>
      <explain>存在发音相同字词的误用。</explain>
      <paraID>18F737D9</paraID>
      <start>23</start>
      <end>24</end>
      <status>ignored</status>
      <modifiedWord/>
      <trackRevisions>false</trackRevisions>
    </reviewItem>
    <reviewItem>
      <errorID>b0f59306-afe3-4cb6-8f6a-76836141af45</errorID>
      <errorWord>(</errorWord>
      <group>L1_Format</group>
      <groupName>格式问题</groupName>
      <ability>L2_HalfPunc</ability>
      <abilityName>全半角检查</abilityName>
      <candidateList>
        <item>（</item>
      </candidateList>
      <explain>文本全半角错误。</explain>
      <paraID>18F737D9</paraID>
      <start>36</start>
      <end>37</end>
      <status>modified</status>
      <modifiedWord>（</modifiedWord>
      <trackRevisions>false</trackRevisions>
    </reviewItem>
    <reviewItem>
      <errorID>6ed105a7-544f-4de2-9c2b-a18b8445e6f8</errorID>
      <errorWord>)</errorWord>
      <group>L1_Format</group>
      <groupName>格式问题</groupName>
      <ability>L2_HalfPunc</ability>
      <abilityName>全半角检查</abilityName>
      <candidateList>
        <item>）</item>
      </candidateList>
      <explain>文本全半角错误。</explain>
      <paraID>18F737D9</paraID>
      <start>39</start>
      <end>40</end>
      <status>modified</status>
      <modifiedWord>）</modifiedWord>
      <trackRevisions>false</trackRevisions>
    </reviewItem>
    <reviewItem>
      <errorID>ccc676e3-406f-4d9a-9e79-5abd9d5c6c7e</errorID>
      <errorWord>-</errorWord>
      <group>L1_Format</group>
      <groupName>格式问题</groupName>
      <ability>L2_HalfPunc</ability>
      <abilityName>全半角检查</abilityName>
      <candidateList>
        <item>－</item>
      </candidateList>
      <explain>文本全半角错误。</explain>
      <paraID>7CFAED48</paraID>
      <start>32</start>
      <end>33</end>
      <status>modified</status>
      <modifiedWord>－</modifiedWord>
      <trackRevisions>false</trackRevisions>
    </reviewItem>
    <reviewItem>
      <errorID>f917096e-ea0c-4931-8545-fefb83c76b57</errorID>
      <errorWord>干粉砂浆</errorWord>
      <group>L1_Knowledge</group>
      <groupName>知识性问题</groupName>
      <ability>L2_Term</ability>
      <abilityName>专业术语</abilityName>
      <candidateList>
        <item>干混砂浆</item>
      </candidateList>
      <explain/>
      <paraID>7CFAED48</paraID>
      <start>43</start>
      <end>47</end>
      <status>ignored</status>
      <modifiedWord/>
      <trackRevisions>false</trackRevisions>
    </reviewItem>
    <reviewItem>
      <errorID>e9ef298e-d585-4df6-8d7b-dc9aaea83fae</errorID>
      <errorWord>-</errorWord>
      <group>L1_Format</group>
      <groupName>格式问题</groupName>
      <ability>L2_HalfPunc</ability>
      <abilityName>全半角检查</abilityName>
      <candidateList>
        <item>－</item>
      </candidateList>
      <explain>文本全半角错误。</explain>
      <paraID>609F6D1C</paraID>
      <start>34</start>
      <end>35</end>
      <status>modified</status>
      <modifiedWord>－</modifiedWord>
      <trackRevisions>false</trackRevisions>
    </reviewItem>
    <reviewItem>
      <errorID>97f3c8b7-1345-4eda-8c19-8c63472daf65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7F14F358</paraID>
      <start>32</start>
      <end>33</end>
      <status>modified</status>
      <modifiedWord>—</modifiedWord>
      <trackRevisions>false</trackRevisions>
    </reviewItem>
    <reviewItem>
      <errorID>f60e3eff-1d8a-45ae-bbbe-b4be82e56b23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589C960F</paraID>
      <start>40</start>
      <end>41</end>
      <status>modified</status>
      <modifiedWord>—</modifiedWord>
      <trackRevisions>false</trackRevisions>
    </reviewItem>
    <reviewItem>
      <errorID>dc0c92db-11af-486d-827b-44b2644272f8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6070E2F2</paraID>
      <start>47</start>
      <end>48</end>
      <status>modified</status>
      <modifiedWord>—</modifiedWord>
      <trackRevisions>false</trackRevisions>
    </reviewItem>
    <reviewItem>
      <errorID>c1cf8da1-c04e-4b48-924c-7b288e06e1f4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37FF478F</paraID>
      <start>27</start>
      <end>28</end>
      <status>modified</status>
      <modifiedWord>—</modifiedWord>
      <trackRevisions>false</trackRevisions>
    </reviewItem>
    <reviewItem>
      <errorID>54c42bdb-da19-4762-b368-fc99e8d48d45</errorID>
      <errorWord>农</errorWord>
      <group>L1_Word</group>
      <groupName>字词问题</groupName>
      <ability>L2_Typo</ability>
      <abilityName>字词错误</abilityName>
      <candidateList>
        <item>农业</item>
      </candidateList>
      <explain/>
      <paraID>5C5BD5D3</paraID>
      <start>60</start>
      <end>61</end>
      <status>ignored</status>
      <modifiedWord/>
      <trackRevisions>false</trackRevisions>
    </reviewItem>
    <reviewItem>
      <errorID>adcda259-e0d0-4ef0-9c69-c807a36b8b18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715358B8</paraID>
      <start>27</start>
      <end>28</end>
      <status>ignored</status>
      <modifiedWord/>
      <trackRevisions>false</trackRevisions>
    </reviewItem>
    <reviewItem>
      <errorID>294d210e-3dee-4a59-b922-5c90e1f1e3fa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51CE1B2</paraID>
      <start>27</start>
      <end>28</end>
      <status>modified</status>
      <modifiedWord>—</modifiedWord>
      <trackRevisions>false</trackRevisions>
    </reviewItem>
    <reviewItem>
      <errorID>8c0a9c41-ee1c-40f6-9107-d1072a3256b0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6A289440</paraID>
      <start>0</start>
      <end>2</end>
      <status>modified</status>
      <modifiedWord>1.</modifiedWord>
      <trackRevisions>false</trackRevisions>
    </reviewItem>
    <reviewItem>
      <errorID>af0615be-e787-4dde-a811-e04e41a83386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10FC2AB</paraID>
      <start>0</start>
      <end>2</end>
      <status>modified</status>
      <modifiedWord>2.</modifiedWord>
      <trackRevisions>false</trackRevisions>
    </reviewItem>
    <reviewItem>
      <errorID>3027f826-2f2f-4ca4-8bbf-b3bbf5e632bc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75E16209</paraID>
      <start>0</start>
      <end>2</end>
      <status>ignored</status>
      <modifiedWord/>
      <trackRevisions>false</trackRevisions>
    </reviewItem>
    <reviewItem>
      <errorID>076c3806-0200-4a14-a5aa-6c7ff8d1565b</errorID>
      <errorWord>沙</errorWord>
      <group>L1_Word</group>
      <groupName>字词问题</groupName>
      <ability>L2_Typo</ability>
      <abilityName>字词错误</abilityName>
      <candidateList>
        <item>砂</item>
      </candidateList>
      <explain>存在发音相同字词的误用。</explain>
      <paraID>523C0D5B</paraID>
      <start>28</start>
      <end>29</end>
      <status>ignored</status>
      <modifiedWord/>
      <trackRevisions>false</trackRevisions>
    </reviewItem>
    <reviewItem>
      <errorID>e53b48e4-b4da-49bf-96b7-592d43a1fee6</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54494B88</paraID>
      <start>68</start>
      <end>70</end>
      <status>ignored</status>
      <modifiedWord/>
      <trackRevisions>false</trackRevisions>
    </reviewItem>
    <reviewItem>
      <errorID>dc6397d3-b5f2-42b0-9d0f-869c8d831ecd</errorID>
      <errorWord>上线</errorWord>
      <group>L1_Word</group>
      <groupName>字词问题</groupName>
      <ability>L2_Typo</ability>
      <abilityName>字词错误</abilityName>
      <candidateList>
        <item>上限</item>
      </candidateList>
      <explain/>
      <paraID>36BB8C7C</paraID>
      <start>13</start>
      <end>15</end>
      <status>ignored</status>
      <modifiedWord/>
      <trackRevisions>false</trackRevisions>
    </reviewItem>
    <reviewItem>
      <errorID>607bd7bb-b842-4b9b-9f19-87f8ba44520d</errorID>
      <errorWord>上线</errorWord>
      <group>L1_Word</group>
      <groupName>字词问题</groupName>
      <ability>L2_Typo</ability>
      <abilityName>字词错误</abilityName>
      <candidateList>
        <item>上限</item>
      </candidateList>
      <explain/>
      <paraID>295132AB</paraID>
      <start>76</start>
      <end>78</end>
      <status>ignored</status>
      <modifiedWord/>
      <trackRevisions>false</trackRevisions>
    </reviewItem>
    <reviewItem>
      <errorID>88c3b2d7-8b41-4b79-818e-2c245305252f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6EC5BA52</paraID>
      <start>0</start>
      <end>2</end>
      <status>ignored</status>
      <modifiedWord/>
      <trackRevisions>false</trackRevisions>
    </reviewItem>
    <reviewItem>
      <errorID>71460de7-bdf6-4d40-b1f0-24846c3f8753</errorID>
      <errorWord>城乡结合部</errorWord>
      <group>L1_Knowledge</group>
      <groupName>知识性问题</groupName>
      <ability>L2_Knowledge</ability>
      <abilityName>其他知识</abilityName>
      <candidateList>
        <item>城乡接合部</item>
      </candidateList>
      <explain/>
      <paraID>253E3E05</paraID>
      <start>32</start>
      <end>37</end>
      <status>ignored</status>
      <modifiedWord/>
      <trackRevisions>false</trackRevisions>
    </reviewItem>
    <reviewItem>
      <errorID>0235c71f-86f0-477a-9ccd-8eb2533bd9b1</errorID>
      <errorWord>城乡结合部</errorWord>
      <group>L1_Knowledge</group>
      <groupName>知识性问题</groupName>
      <ability>L2_Knowledge</ability>
      <abilityName>其他知识</abilityName>
      <candidateList>
        <item>城乡接合部</item>
      </candidateList>
      <explain/>
      <paraID>4B261EB4</paraID>
      <start>34</start>
      <end>39</end>
      <status>ignored</status>
      <modifiedWord/>
      <trackRevisions>false</trackRevisions>
    </reviewItem>
    <reviewItem>
      <errorID>5deddd1b-0661-44fd-9de3-b6af874a9fb4</errorID>
      <errorWord>单元中</errorWord>
      <group>L1_Word</group>
      <groupName>字词问题</groupName>
      <ability>L2_Typo</ability>
      <abilityName>字词错误</abilityName>
      <candidateList>
        <item>单元</item>
      </candidateList>
      <explain/>
      <paraID>28B7E590</paraID>
      <start>33</start>
      <end>36</end>
      <status>ignored</status>
      <modifiedWord/>
      <trackRevisions>false</trackRevisions>
    </reviewItem>
    <reviewItem>
      <errorID>d2430007-b6e2-4345-bd19-5b7bb1783afc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196DF0B1</paraID>
      <start>136</start>
      <end>137</end>
      <status>modified</status>
      <modifiedWord>—</modifiedWord>
      <trackRevisions>false</trackRevisions>
    </reviewItem>
    <reviewItem>
      <errorID>377e3248-c1ac-492d-9817-f93b9a4b494d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70D68269</paraID>
      <start>0</start>
      <end>2</end>
      <status>ignored</status>
      <modifiedWord/>
      <trackRevisions>false</trackRevisions>
    </reviewItem>
    <reviewItem>
      <errorID>9c10a4ef-3f12-4ff0-bf02-1f128ec2fac6</errorID>
      <errorWord>，</errorWord>
      <group>L1_Word</group>
      <groupName>字词问题</groupName>
      <ability>L2_Typo</ability>
      <abilityName>字词错误</abilityName>
      <candidateList>
        <item>，对</item>
      </candidateList>
      <explain/>
      <paraID>481427EA</paraID>
      <start>137</start>
      <end>138</end>
      <status>ignored</status>
      <modifiedWord/>
      <trackRevisions>false</trackRevisions>
    </reviewItem>
    <reviewItem>
      <errorID>b0410c6b-7b0f-4fc0-a318-52fe0e900a1d</errorID>
      <errorWord>，</errorWord>
      <group>L1_Word</group>
      <groupName>字词问题</groupName>
      <ability>L2_Typo</ability>
      <abilityName>字词错误</abilityName>
      <candidateList>
        <item>，对</item>
      </candidateList>
      <explain/>
      <paraID>6AF8C414</paraID>
      <start>181</start>
      <end>182</end>
      <status>ignored</status>
      <modifiedWord/>
      <trackRevisions>false</trackRevisions>
    </reviewItem>
    <reviewItem>
      <errorID>78a3ce62-0e9f-417a-a4f2-2714723b2a43</errorID>
      <errorWord>，</errorWord>
      <group>L1_Word</group>
      <groupName>字词问题</groupName>
      <ability>L2_Typo</ability>
      <abilityName>字词错误</abilityName>
      <candidateList>
        <item>，对</item>
      </candidateList>
      <explain/>
      <paraID>6FF5C344</paraID>
      <start>125</start>
      <end>126</end>
      <status>ignored</status>
      <modifiedWord/>
      <trackRevisions>false</trackRevisions>
    </reviewItem>
    <reviewItem>
      <errorID>ed6e6cac-8cc7-450d-9c31-047151020f58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5488679D</paraID>
      <start>0</start>
      <end>2</end>
      <status>ignored</status>
      <modifiedWord/>
      <trackRevisions>false</trackRevisions>
    </reviewItem>
    <reviewItem>
      <errorID>b2d7ab36-aeea-414f-ab75-65c471d6123b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61C140A1</paraID>
      <start>21</start>
      <end>22</end>
      <status>modified</status>
      <modifiedWord>—</modifiedWord>
      <trackRevisions>false</trackRevisions>
    </reviewItem>
    <reviewItem>
      <errorID>34d62e3b-9151-4102-b962-ead7710c92a0</errorID>
      <errorWord>；</errorWord>
      <group>L1_Word</group>
      <groupName>字词问题</groupName>
      <ability>L2_Typo</ability>
      <abilityName>字词错误</abilityName>
      <candidateList>
        <item>；在</item>
      </candidateList>
      <explain/>
      <paraID>47B102EC</paraID>
      <start>50</start>
      <end>52</end>
      <status>modified</status>
      <modifiedWord>；在</modifiedWord>
      <trackRevisions>false</trackRevisions>
    </reviewItem>
    <reviewItem>
      <errorID>e5197c3e-735c-4fa4-be3c-50cdab5659d2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3CF129FA</paraID>
      <start>20</start>
      <end>21</end>
      <status>modified</status>
      <modifiedWord>—</modifiedWord>
      <trackRevisions>false</trackRevisions>
    </reviewItem>
    <reviewItem>
      <errorID>799be6bc-1a5e-4ca1-8af5-22d5ace683e9</errorID>
      <errorWord>[2020]473号</errorWord>
      <group>L1_Knowledge</group>
      <groupName>知识性问题</groupName>
      <ability>L2_Knowledge</ability>
      <abilityName>其他知识</abilityName>
      <candidateList>
        <item>〔2020〕473号</item>
      </candidateList>
      <explain>发文字号格式错误</explain>
      <paraID>630324F5</paraID>
      <start>26</start>
      <end>36</end>
      <status>modified</status>
      <modifiedWord>〔2020〕473号</modifiedWord>
      <trackRevisions>false</trackRevisions>
    </reviewItem>
    <reviewItem>
      <errorID>a51854cf-0fa6-41fc-8a6d-f25bf5ab88cf</errorID>
      <errorWord>[2019]239号</errorWord>
      <group>L1_Knowledge</group>
      <groupName>知识性问题</groupName>
      <ability>L2_Knowledge</ability>
      <abilityName>其他知识</abilityName>
      <candidateList>
        <item>〔2019〕239号</item>
      </candidateList>
      <explain>发文字号格式错误</explain>
      <paraID>51A129F1</paraID>
      <start>31</start>
      <end>41</end>
      <status>modified</status>
      <modifiedWord>〔2019〕239号</modifiedWord>
      <trackRevisions>false</trackRevisions>
    </reviewItem>
    <reviewItem>
      <errorID>07cc92a4-6e92-410c-868b-f61edc4abf18</errorID>
      <errorWord>外逸</errorWord>
      <group>L1_Word</group>
      <groupName>字词问题</groupName>
      <ability>L2_Typo</ability>
      <abilityName>字词错误</abilityName>
      <candidateList>
        <item>外溢</item>
      </candidateList>
      <explain/>
      <paraID> E8EC5AD</paraID>
      <start>32</start>
      <end>34</end>
      <status>ignored</status>
      <modifiedWord/>
      <trackRevisions>false</trackRevisions>
    </reviewItem>
    <reviewItem>
      <errorID>24cd1b4b-fc0b-4f58-a588-7102b6cc45d5</errorID>
      <errorWord>[2021]280号</errorWord>
      <group>L1_Knowledge</group>
      <groupName>知识性问题</groupName>
      <ability>L2_Knowledge</ability>
      <abilityName>其他知识</abilityName>
      <candidateList>
        <item>〔2021〕280号</item>
      </candidateList>
      <explain>发文字号格式错误</explain>
      <paraID>2C2B1348</paraID>
      <start>29</start>
      <end>39</end>
      <status>modified</status>
      <modifiedWord>〔2021〕280号</modifiedWord>
      <trackRevisions>false</trackRevisions>
    </reviewItem>
    <reviewItem>
      <errorID>976981df-a76b-4177-a0f8-f897a8aeede3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649636F6</paraID>
      <start>0</start>
      <end>2</end>
      <status>ignored</status>
      <modifiedWord/>
      <trackRevisions>false</trackRevisions>
    </reviewItem>
    <reviewItem>
      <errorID>af03a353-990e-4893-bf0d-b9c7cda8c8d9</errorID>
      <errorWord>法律、法规</errorWord>
      <group>L1_Word</group>
      <groupName>字词问题</groupName>
      <ability>L2_Typo</ability>
      <abilityName>字词错误</abilityName>
      <candidateList>
        <item>法律法规</item>
      </candidateList>
      <explain/>
      <paraID>3E3CB96F</paraID>
      <start>49</start>
      <end>53</end>
      <status>modified</status>
      <modifiedWord>法律法规</modifiedWord>
      <trackRevisions>false</trackRevisions>
    </reviewItem>
    <reviewItem>
      <errorID>6adfb2b7-4924-444a-a3c0-4b78bf7be531</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6FC3F5A1</paraID>
      <start>154</start>
      <end>156</end>
      <status>ignored</status>
      <modifiedWord/>
      <trackRevisions>false</trackRevisions>
    </reviewItem>
    <reviewItem>
      <errorID>53b9c160-a290-4079-a311-37b37004cec5</errorID>
      <errorWord>沙</errorWord>
      <group>L1_Word</group>
      <groupName>字词问题</groupName>
      <ability>L2_Typo</ability>
      <abilityName>字词错误</abilityName>
      <candidateList>
        <item>砂</item>
      </candidateList>
      <explain>存在发音相同字词的误用。</explain>
      <paraID>6045DB2A</paraID>
      <start>11</start>
      <end>12</end>
      <status>ignored</status>
      <modifiedWord/>
      <trackRevisions>false</trackRevisions>
    </reviewItem>
    <reviewItem>
      <errorID>47876995-34de-47ad-a931-82b56980a61a</errorID>
      <errorWord>(</errorWord>
      <group>L1_Format</group>
      <groupName>格式问题</groupName>
      <ability>L2_HalfPunc</ability>
      <abilityName>全半角检查</abilityName>
      <candidateList>
        <item>（</item>
      </candidateList>
      <explain>文本全半角错误。</explain>
      <paraID>3B3DDC95</paraID>
      <start>42</start>
      <end>43</end>
      <status>modified</status>
      <modifiedWord>（</modifiedWord>
      <trackRevisions>false</trackRevisions>
    </reviewItem>
    <reviewItem>
      <errorID>7f0aa2d8-dad6-4651-9579-86a5a7f7e144</errorID>
      <errorWord>)</errorWord>
      <group>L1_Format</group>
      <groupName>格式问题</groupName>
      <ability>L2_HalfPunc</ability>
      <abilityName>全半角检查</abilityName>
      <candidateList>
        <item>）</item>
      </candidateList>
      <explain>文本全半角错误。</explain>
      <paraID>3B3DDC95</paraID>
      <start>135</start>
      <end>136</end>
      <status>modified</status>
      <modifiedWord>）</modifiedWord>
      <trackRevisions>false</trackRevisions>
    </reviewItem>
    <reviewItem>
      <errorID>4a0fd973-16df-417b-b422-2cb6c3bc1795</errorID>
      <errorWord>，而</errorWord>
      <group>L1_Word</group>
      <groupName>字词问题</groupName>
      <ability>L2_Typo</ability>
      <abilityName>字词错误</abilityName>
      <candidateList>
        <item>，</item>
      </candidateList>
      <explain/>
      <paraID> 50EAF49</paraID>
      <start>62</start>
      <end>64</end>
      <status>ignored</status>
      <modifiedWord/>
      <trackRevisions>false</trackRevisions>
    </reviewItem>
    <reviewItem>
      <errorID>caec4944-f400-4fff-95b7-87b1fc984996</errorID>
      <errorWord>属</errorWord>
      <group>L1_Word</group>
      <groupName>字词问题</groupName>
      <ability>L2_Typo</ability>
      <abilityName>字词错误</abilityName>
      <candidateList>
        <item>属于</item>
      </candidateList>
      <explain/>
      <paraID>344CBA94</paraID>
      <start>6</start>
      <end>8</end>
      <status>modified</status>
      <modifiedWord>属于</modifiedWord>
      <trackRevisions>false</trackRevisions>
    </reviewItem>
    <reviewItem>
      <errorID>9f084d93-0944-4697-af6b-62db20a94424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4CCA80A8</paraID>
      <start>0</start>
      <end>2</end>
      <status>ignored</status>
      <modifiedWord/>
      <trackRevisions>false</trackRevisions>
    </reviewItem>
    <reviewItem>
      <errorID>c14bb112-38ed-4e4e-8856-f62f0a945fbe</errorID>
      <errorWord>沙</errorWord>
      <group>L1_Word</group>
      <groupName>字词问题</groupName>
      <ability>L2_Typo</ability>
      <abilityName>字词错误</abilityName>
      <candidateList>
        <item>砂</item>
      </candidateList>
      <explain>存在发音相同字词的误用。</explain>
      <paraID>6F760581</paraID>
      <start>73</start>
      <end>74</end>
      <status>ignored</status>
      <modifiedWord/>
      <trackRevisions>false</trackRevisions>
    </reviewItem>
    <reviewItem>
      <errorID>027cab94-e969-4ad7-b8f2-6ad0c8ac852e</errorID>
      <errorWord>，</errorWord>
      <group>L1_Word</group>
      <groupName>字词问题</groupName>
      <ability>L2_Typo</ability>
      <abilityName>字词错误</abilityName>
      <candidateList>
        <item>，在</item>
      </candidateList>
      <explain/>
      <paraID>1D8FCAEF</paraID>
      <start>7</start>
      <end>8</end>
      <status>ignored</status>
      <modifiedWord/>
      <trackRevisions>false</trackRevisions>
    </reviewItem>
    <reviewItem>
      <errorID>b1e75f2e-5933-4335-916a-8376ac57383a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6BDAFEBA</paraID>
      <start>0</start>
      <end>2</end>
      <status>ignored</status>
      <modifiedWord/>
      <trackRevisions>false</trackRevisions>
    </reviewItem>
    <reviewItem>
      <errorID>a0eed1ef-9d6e-4c50-a4c2-e0ad3ce62afa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B98F81E</paraID>
      <start>0</start>
      <end>2</end>
      <status>ignored</status>
      <modifiedWord/>
      <trackRevisions>false</trackRevisions>
    </reviewItem>
    <reviewItem>
      <errorID>495b02c1-0442-44e7-b05d-c12fb49cbafa</errorID>
      <errorWord>鄂破机</errorWord>
      <group>L1_Word</group>
      <groupName>字词问题</groupName>
      <ability>L2_Typo</ability>
      <abilityName>字词错误</abilityName>
      <candidateList>
        <item>颚破机</item>
      </candidateList>
      <explain/>
      <paraID>45F4ACB1</paraID>
      <start>0</start>
      <end>3</end>
      <status>modified</status>
      <modifiedWord>颚破机</modifiedWord>
      <trackRevisions>false</trackRevisions>
    </reviewItem>
    <reviewItem>
      <errorID>a1d6dbd7-d474-43c1-b57c-964784c22a5f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25CCEBD9</paraID>
      <start>0</start>
      <end>2</end>
      <status>ignored</status>
      <modifiedWord/>
      <trackRevisions>false</trackRevisions>
    </reviewItem>
    <reviewItem>
      <errorID>8c2f48ad-fbb6-46a9-b9c8-96b833119219</errorID>
      <errorWord>万</errorWord>
      <group>L1_Word</group>
      <groupName>字词问题</groupName>
      <ability>L2_Typo</ability>
      <abilityName>字词错误</abilityName>
      <candidateList>
        <item>万元</item>
      </candidateList>
      <explain/>
      <paraID>28B2FE6B</paraID>
      <start>2</start>
      <end>3</end>
      <status>ignored</status>
      <modifiedWord/>
      <trackRevisions>false</trackRevisions>
    </reviewItem>
    <reviewItem>
      <errorID>e65ae6fa-af37-4b91-ad7b-b2e95bc65744</errorID>
      <errorWord>万</errorWord>
      <group>L1_Word</group>
      <groupName>字词问题</groupName>
      <ability>L2_Typo</ability>
      <abilityName>字词错误</abilityName>
      <candidateList>
        <item>万元</item>
      </candidateList>
      <explain/>
      <paraID>64C7A0A0</paraID>
      <start>2</start>
      <end>3</end>
      <status>ignored</status>
      <modifiedWord/>
      <trackRevisions>false</trackRevisions>
    </reviewItem>
    <reviewItem>
      <errorID>ee3e94e9-020c-4b33-be8b-ba28517045a8</errorID>
      <errorWord>万</errorWord>
      <group>L1_Word</group>
      <groupName>字词问题</groupName>
      <ability>L2_Typo</ability>
      <abilityName>字词错误</abilityName>
      <candidateList>
        <item>万元</item>
      </candidateList>
      <explain/>
      <paraID>12D53CE9</paraID>
      <start>2</start>
      <end>3</end>
      <status>ignored</status>
      <modifiedWord/>
      <trackRevisions>false</trackRevisions>
    </reviewItem>
    <reviewItem>
      <errorID>f61967ab-fa8a-4579-b3fa-e035981396bb</errorID>
      <errorWord>万</errorWord>
      <group>L1_Word</group>
      <groupName>字词问题</groupName>
      <ability>L2_Typo</ability>
      <abilityName>字词错误</abilityName>
      <candidateList>
        <item>万元</item>
      </candidateList>
      <explain/>
      <paraID>42336163</paraID>
      <start>4</start>
      <end>5</end>
      <status>ignored</status>
      <modifiedWord/>
      <trackRevisions>false</trackRevisions>
    </reviewItem>
    <reviewItem>
      <errorID>6daf3aec-2494-4c77-9629-cf8b8af0593b</errorID>
      <errorWord>粘结性</errorWord>
      <group>L1_Word</group>
      <groupName>字词问题</groupName>
      <ability>L2_Typo</ability>
      <abilityName>字词错误</abilityName>
      <candidateList>
        <item>黏结性</item>
      </candidateList>
      <explain>存在发音相同字词的误用。</explain>
      <paraID> 40A63BE</paraID>
      <start>102</start>
      <end>105</end>
      <status>ignored</status>
      <modifiedWord/>
      <trackRevisions>false</trackRevisions>
    </reviewItem>
    <reviewItem>
      <errorID>0981be40-a408-40ec-bf4d-c77295d3ae61</errorID>
      <errorWord>X-射线</errorWord>
      <group>L1_Punc</group>
      <groupName>标点问题</groupName>
      <ability>L2_Punc</ability>
      <abilityName>标点符号检查</abilityName>
      <candidateList>
        <item>X射线</item>
      </candidateList>
      <explain/>
      <paraID> 40A63BE</paraID>
      <start>151</start>
      <end>154</end>
      <status>modified</status>
      <modifiedWord>X射线</modifiedWord>
      <trackRevisions>false</trackRevisions>
    </reviewItem>
    <reviewItem>
      <errorID>6eaa626f-a830-4997-8c3e-34996231cb94</errorID>
      <errorWord>(</errorWord>
      <group>L1_Format</group>
      <groupName>格式问题</groupName>
      <ability>L2_HalfPunc</ability>
      <abilityName>全半角检查</abilityName>
      <candidateList>
        <item>（</item>
      </candidateList>
      <explain>文本全半角错误。</explain>
      <paraID>6A921C43</paraID>
      <start>24</start>
      <end>25</end>
      <status>modified</status>
      <modifiedWord>（</modifiedWord>
      <trackRevisions>false</trackRevisions>
    </reviewItem>
    <reviewItem>
      <errorID>97a27183-e7b4-4746-85c6-d619324598eb</errorID>
      <errorWord>)</errorWord>
      <group>L1_Format</group>
      <groupName>格式问题</groupName>
      <ability>L2_HalfPunc</ability>
      <abilityName>全半角检查</abilityName>
      <candidateList>
        <item>）</item>
      </candidateList>
      <explain>文本全半角错误。</explain>
      <paraID>6A921C43</paraID>
      <start>35</start>
      <end>36</end>
      <status>modified</status>
      <modifiedWord>）</modifiedWord>
      <trackRevisions>false</trackRevisions>
    </reviewItem>
    <reviewItem>
      <errorID>50c93f54-fa35-49bd-b8c4-df08ff01748e</errorID>
      <errorWord>~</errorWord>
      <group>L1_Format</group>
      <groupName>格式问题</groupName>
      <ability>L2_HalfPunc</ability>
      <abilityName>全半角检查</abilityName>
      <candidateList>
        <item>～</item>
      </candidateList>
      <explain>文本全半角错误。</explain>
      <paraID>6A921C43</paraID>
      <start>186</start>
      <end>187</end>
      <status>modified</status>
      <modifiedWord>～</modifiedWord>
      <trackRevisions>false</trackRevisions>
    </reviewItem>
    <reviewItem>
      <errorID>9155398e-40a4-4733-a580-9efdc19ff151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EEDE2A0</paraID>
      <start>0</start>
      <end>2</end>
      <status>ignored</status>
      <modifiedWord/>
      <trackRevisions>false</trackRevisions>
    </reviewItem>
    <reviewItem>
      <errorID>5efbcb51-e2e4-4b38-a303-2801b123fda3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1879F08A</paraID>
      <start>0</start>
      <end>2</end>
      <status>ignored</status>
      <modifiedWord/>
      <trackRevisions>false</trackRevisions>
    </reviewItem>
    <reviewItem>
      <errorID>da32f0fc-a187-416a-9ec3-c92530de4876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2C5A6C65</paraID>
      <start>0</start>
      <end>2</end>
      <status>ignored</status>
      <modifiedWord/>
      <trackRevisions>false</trackRevisions>
    </reviewItem>
    <reviewItem>
      <errorID>8637554e-6b2f-4599-85f9-cef33ef21844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4B650E98</paraID>
      <start>0</start>
      <end>3</end>
      <status>ignored</status>
      <modifiedWord/>
      <trackRevisions>false</trackRevisions>
    </reviewItem>
    <reviewItem>
      <errorID>66a0f428-d27a-4b55-8c2e-5726036a2c1a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4B22B13D</paraID>
      <start>0</start>
      <end>3</end>
      <status>ignored</status>
      <modifiedWord/>
      <trackRevisions>false</trackRevisions>
    </reviewItem>
    <reviewItem>
      <errorID>4c10e3eb-5b83-457f-94c0-aeaf5a03ee92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5A043072</paraID>
      <start>0</start>
      <end>2</end>
      <status>ignored</status>
      <modifiedWord/>
      <trackRevisions>false</trackRevisions>
    </reviewItem>
    <reviewItem>
      <errorID>c6cb7a2a-e2ed-4e4e-8260-457c15c2ef92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6D77ACB</paraID>
      <start>0</start>
      <end>2</end>
      <status>ignored</status>
      <modifiedWord/>
      <trackRevisions>false</trackRevisions>
    </reviewItem>
    <reviewItem>
      <errorID>94eb7f65-ea81-4b4a-8b6f-dfc5d58a652f</errorID>
      <errorWord>程</errorWord>
      <group>L1_Word</group>
      <groupName>字词问题</groupName>
      <ability>L2_Typo</ability>
      <abilityName>字词错误</abilityName>
      <candidateList>
        <item>程中</item>
      </candidateList>
      <explain/>
      <paraID>1FDD8D6E</paraID>
      <start>23</start>
      <end>25</end>
      <status>modified</status>
      <modifiedWord>程中</modifiedWord>
      <trackRevisions>false</trackRevisions>
    </reviewItem>
    <reviewItem>
      <errorID>629cd087-d664-4ca2-b934-d99d545b40ad</errorID>
      <errorWord>主要是</errorWord>
      <group>L1_Word</group>
      <groupName>字词问题</groupName>
      <ability>L2_Typo</ability>
      <abilityName>字词错误</abilityName>
      <candidateList>
        <item>主要</item>
      </candidateList>
      <explain>〈形〉属性词。有关事物中最重要的；起决定作用的：～原因｜～目的｜～人物。</explain>
      <paraID>17781EBF</paraID>
      <start>4</start>
      <end>6</end>
      <status>modified</status>
      <modifiedWord>主要</modifiedWord>
      <trackRevisions>false</trackRevisions>
    </reviewItem>
    <reviewItem>
      <errorID>ab2d467b-6dd3-4141-b74f-4dd8dc95c3e6</errorID>
      <errorWord>程</errorWord>
      <group>L1_Word</group>
      <groupName>字词问题</groupName>
      <ability>L2_Typo</ability>
      <abilityName>字词错误</abilityName>
      <candidateList>
        <item>程中</item>
      </candidateList>
      <explain/>
      <paraID>3538D6DE</paraID>
      <start>3</start>
      <end>5</end>
      <status>modified</status>
      <modifiedWord>程中</modifiedWord>
      <trackRevisions>false</trackRevisions>
    </reviewItem>
    <reviewItem>
      <errorID>bd75c0cd-ff31-4857-93ff-7be26ed6278a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57C6557D</paraID>
      <start>0</start>
      <end>2</end>
      <status>ignored</status>
      <modifiedWord/>
      <trackRevisions>false</trackRevisions>
    </reviewItem>
    <reviewItem>
      <errorID>f42ee5ca-31ad-4b3a-97f9-c7c2f2033325</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8FA1D26</paraID>
      <start>0</start>
      <end>2</end>
      <status>modified</status>
      <modifiedWord>a）</modifiedWord>
      <trackRevisions>false</trackRevisions>
    </reviewItem>
    <reviewItem>
      <errorID>b75c5a7a-5c74-4fb9-b32b-a8fc8f97a7c8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389D4420</paraID>
      <start>0</start>
      <end>2</end>
      <status>ignored</status>
      <modifiedWord/>
      <trackRevisions>false</trackRevisions>
    </reviewItem>
    <reviewItem>
      <errorID>7808ee9f-fc17-4d7f-8019-35e328bc4a3c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44A2CDBC</paraID>
      <start>0</start>
      <end>2</end>
      <status>ignored</status>
      <modifiedWord/>
      <trackRevisions>false</trackRevisions>
    </reviewItem>
    <reviewItem>
      <errorID>50f9ade9-0f1c-41c3-b1f9-809273c34d5b</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532E977B</paraID>
      <start>128</start>
      <end>130</end>
      <status>ignored</status>
      <modifiedWord/>
      <trackRevisions>false</trackRevisions>
    </reviewItem>
    <reviewItem>
      <errorID>086c3a85-6e1e-49b2-acbb-96b28ef34d83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50B6993F</paraID>
      <start>0</start>
      <end>2</end>
      <status>ignored</status>
      <modifiedWord/>
      <trackRevisions>false</trackRevisions>
    </reviewItem>
    <reviewItem>
      <errorID>43f78403-50ba-4400-8b8d-86ff77f1a32d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11D53765</paraID>
      <start>0</start>
      <end>2</end>
      <status>ignored</status>
      <modifiedWord/>
      <trackRevisions>false</trackRevisions>
    </reviewItem>
    <reviewItem>
      <errorID>5106147d-4fba-4140-8c92-0d8548c1d104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1931B7CA</paraID>
      <start>0</start>
      <end>2</end>
      <status>ignored</status>
      <modifiedWord/>
      <trackRevisions>false</trackRevisions>
    </reviewItem>
    <reviewItem>
      <errorID>f794c52c-bb4c-446d-9087-1671399f7889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41A239FE</paraID>
      <start>43</start>
      <end>44</end>
      <status>modified</status>
      <modifiedWord>—</modifiedWord>
      <trackRevisions>false</trackRevisions>
    </reviewItem>
    <reviewItem>
      <errorID>3459c002-398b-46e2-96ca-9dbe4fb34f9c</errorID>
      <errorWord>年</errorWord>
      <group>L1_Word</group>
      <groupName>字词问题</groupName>
      <ability>L2_Typo</ability>
      <abilityName>字词错误</abilityName>
      <candidateList>
        <item>年度</item>
      </candidateList>
      <explain/>
      <paraID>28FB66B4</paraID>
      <start>0</start>
      <end>1</end>
      <status>ignored</status>
      <modifiedWord/>
      <trackRevisions>false</trackRevisions>
    </reviewItem>
    <reviewItem>
      <errorID>a42fa6fa-ace0-40e4-9835-20d6db024f6c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6D5E354B</paraID>
      <start>0</start>
      <end>2</end>
      <status>ignored</status>
      <modifiedWord/>
      <trackRevisions>false</trackRevisions>
    </reviewItem>
    <reviewItem>
      <errorID>82c14150-f67d-4d7a-b960-773733c82e08</errorID>
      <errorWord>零”排放</errorWord>
      <group>L1_Punc</group>
      <groupName>标点问题</groupName>
      <ability>L2_Punc</ability>
      <abilityName>标点符号检查</abilityName>
      <candidateList>
        <item>“零排放”</item>
      </candidateList>
      <explain/>
      <paraID>5794ADDD</paraID>
      <start>131</start>
      <end>136</end>
      <status>modified</status>
      <modifiedWord>“零排放”</modifiedWord>
      <trackRevisions>false</trackRevisions>
    </reviewItem>
    <reviewItem>
      <errorID>fcc82a6d-1a04-49a0-b5b2-d79d281be696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723B514C</paraID>
      <start>0</start>
      <end>2</end>
      <status>ignored</status>
      <modifiedWord/>
      <trackRevisions>false</trackRevisions>
    </reviewItem>
    <reviewItem>
      <errorID>b805d429-fc06-48b8-882e-8321b6c393d4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1DAAB0B5</paraID>
      <start>0</start>
      <end>2</end>
      <status>ignored</status>
      <modifiedWord/>
      <trackRevisions>false</trackRevisions>
    </reviewItem>
    <reviewItem>
      <errorID>54db336e-3ac3-483e-bb7e-7da352f37c45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85CDABE</paraID>
      <start>0</start>
      <end>2</end>
      <status>ignored</status>
      <modifiedWord/>
      <trackRevisions>false</trackRevisions>
    </reviewItem>
    <reviewItem>
      <errorID>8327ac8e-d5f3-4daa-a282-bf68a31cca1a</errorID>
      <errorWord>抛洒</errorWord>
      <group>L1_Word</group>
      <groupName>字词问题</groupName>
      <ability>L2_Typo</ability>
      <abilityName>字词错误</abilityName>
      <candidateList>
        <item>抛撒</item>
      </candidateList>
      <explain/>
      <paraID>50D0C36B</paraID>
      <start>44</start>
      <end>46</end>
      <status>modified</status>
      <modifiedWord>抛撒</modifiedWord>
      <trackRevisions>false</trackRevisions>
    </reviewItem>
    <reviewItem>
      <errorID>8c1b23ce-8df4-47ad-98f0-6302c39a0d4e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49D832EE</paraID>
      <start>0</start>
      <end>2</end>
      <status>ignored</status>
      <modifiedWord/>
      <trackRevisions>false</trackRevisions>
    </reviewItem>
    <reviewItem>
      <errorID>297486bb-2b41-4918-ba5f-22915134c77f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67305AA7</paraID>
      <start>0</start>
      <end>2</end>
      <status>ignored</status>
      <modifiedWord/>
      <trackRevisions>false</trackRevisions>
    </reviewItem>
    <reviewItem>
      <errorID>fdc68c92-4610-4916-b631-7df599f332de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7EED10A8</paraID>
      <start>0</start>
      <end>2</end>
      <status>ignored</status>
      <modifiedWord/>
      <trackRevisions>false</trackRevisions>
    </reviewItem>
    <reviewItem>
      <errorID>c7cc5699-8f1e-4443-8497-dcfcaad9b8e9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279F25B</paraID>
      <start>0</start>
      <end>2</end>
      <status>unmodified</status>
      <modifiedWord/>
      <trackRevisions>false</trackRevisions>
    </reviewItem>
    <reviewItem>
      <errorID>a5e55fa2-74b6-4d71-80a7-34aaf271cd32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3FBBE359</paraID>
      <start>0</start>
      <end>2</end>
      <status>ignored</status>
      <modifiedWord/>
      <trackRevisions>false</trackRevisions>
    </reviewItem>
    <reviewItem>
      <errorID>9a8e6510-18ef-4fa9-b735-aeb1015e68c9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1CAA65D6</paraID>
      <start>0</start>
      <end>2</end>
      <status>unmodified</status>
      <modifiedWord/>
      <trackRevisions>false</trackRevisions>
    </reviewItem>
    <reviewItem>
      <errorID>2d9b2770-d4a4-494b-940d-29d3df800815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5D9485FC</paraID>
      <start>0</start>
      <end>2</end>
      <status>unmodified</status>
      <modifiedWord/>
      <trackRevisions>false</trackRevisions>
    </reviewItem>
    <reviewItem>
      <errorID>00cac5c5-b26d-4800-b6b6-67193a2bd6b1</errorID>
      <errorWord>进场</errorWord>
      <group>L1_Word</group>
      <groupName>字词问题</groupName>
      <ability>L2_Typo</ability>
      <abilityName>字词错误</abilityName>
      <candidateList>
        <item>进厂</item>
      </candidateList>
      <explain/>
      <paraID>5D9485FC</paraID>
      <start>6</start>
      <end>8</end>
      <status>modified</status>
      <modifiedWord>进厂</modifiedWord>
      <trackRevisions>false</trackRevisions>
    </reviewItem>
    <reviewItem>
      <errorID>7d73b19c-1568-47dd-a0f9-c366fdba3059</errorID>
      <errorWord>厂内</errorWord>
      <group>L1_Word</group>
      <groupName>字词问题</groupName>
      <ability>L2_Typo</ability>
      <abilityName>字词错误</abilityName>
      <candidateList>
        <item>场内</item>
      </candidateList>
      <explain/>
      <paraID>5D9485FC</paraID>
      <start>15</start>
      <end>17</end>
      <status>modified</status>
      <modifiedWord>场内</modifiedWord>
      <trackRevisions>false</trackRevisions>
    </reviewItem>
    <reviewItem>
      <errorID>dff8bec7-acd6-4a4f-8fbf-d34187671d07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6BD4BE8</paraID>
      <start>0</start>
      <end>2</end>
      <status>ignored</status>
      <modifiedWord/>
      <trackRevisions>false</trackRevisions>
    </reviewItem>
    <reviewItem>
      <errorID>adc32b36-be77-4703-83f6-68c192944d6e</errorID>
      <errorWord>，</errorWord>
      <group>L1_Word</group>
      <groupName>字词问题</groupName>
      <ability>L2_Typo</ability>
      <abilityName>字词错误</abilityName>
      <candidateList>
        <item>，在</item>
      </candidateList>
      <explain/>
      <paraID> 6BD4BE8</paraID>
      <start>14</start>
      <end>16</end>
      <status>modified</status>
      <modifiedWord>，在</modifiedWord>
      <trackRevisions>false</trackRevisions>
    </reviewItem>
    <reviewItem>
      <errorID>c8b8bf67-c4ee-4118-a59e-5e1179965ebc</errorID>
      <errorWord>期</errorWord>
      <group>L1_Word</group>
      <groupName>字词问题</groupName>
      <ability>L2_Typo</ability>
      <abilityName>字词错误</abilityName>
      <candidateList>
        <item>的</item>
      </candidateList>
      <explain>存在字形相近字词的误用。</explain>
      <paraID>55301DBB</paraID>
      <start>49</start>
      <end>50</end>
      <status>ignored</status>
      <modifiedWord/>
      <trackRevisions>false</trackRevisions>
    </reviewItem>
    <reviewItem>
      <errorID>d1fcbbc7-0edf-4e04-907d-5ebf0f9d26b2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622AE34F</paraID>
      <start>0</start>
      <end>2</end>
      <status>ignored</status>
      <modifiedWord/>
      <trackRevisions>false</trackRevisions>
    </reviewItem>
    <reviewItem>
      <errorID>716d29dc-1b05-4cce-9aa1-804b1cfc8303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76D0B65A</paraID>
      <start>0</start>
      <end>2</end>
      <status>ignored</status>
      <modifiedWord/>
      <trackRevisions>false</trackRevisions>
    </reviewItem>
    <reviewItem>
      <errorID>f98d693b-e35c-42fa-95ea-363a106d6244</errorID>
      <errorWord>-</errorWord>
      <group>L1_Format</group>
      <groupName>格式问题</groupName>
      <ability>L2_HalfPunc</ability>
      <abilityName>全半角检查</abilityName>
      <candidateList>
        <item>－</item>
      </candidateList>
      <explain>文本全半角错误。</explain>
      <paraID>6D895CF9</paraID>
      <start>10</start>
      <end>11</end>
      <status>modified</status>
      <modifiedWord>－</modifiedWord>
      <trackRevisions>false</trackRevisions>
    </reviewItem>
    <reviewItem>
      <errorID>c7d2fb36-9b56-4a39-a827-b9d3569bc5c5</errorID>
      <errorWord>交通部</errorWord>
      <group>L1_Knowledge</group>
      <groupName>知识性问题</groupName>
      <ability>L2_Knowledge</ability>
      <abilityName>其他知识</abilityName>
      <candidateList>
        <item>交通运输部</item>
      </candidateList>
      <explain/>
      <paraID>450EAD34</paraID>
      <start>16</start>
      <end>21</end>
      <status>modified</status>
      <modifiedWord>交通运输部</modifiedWord>
      <trackRevisions>false</trackRevisions>
    </reviewItem>
    <reviewItem>
      <errorID>8c188399-2db6-452d-b795-98e6ed5badda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79CCA091</paraID>
      <start>19</start>
      <end>20</end>
      <status>modified</status>
      <modifiedWord>～</modifiedWord>
      <trackRevisions>false</trackRevisions>
    </reviewItem>
    <reviewItem>
      <errorID>b61ce222-ed34-4e3e-9de0-904f0c601c84</errorID>
      <errorWord>（</errorWord>
      <group>L1_Format</group>
      <groupName>格式问题</groupName>
      <ability>L2_HalfPunc</ability>
      <abilityName>全半角检查</abilityName>
      <candidateList>
        <item>(</item>
      </candidateList>
      <explain>文本全半角错误。</explain>
      <paraID>43C89AF7</paraID>
      <start>8</start>
      <end>9</end>
      <status>modified</status>
      <modifiedWord>(</modifiedWord>
      <trackRevisions>false</trackRevisions>
    </reviewItem>
    <reviewItem>
      <errorID>37f0478e-0ac7-41bc-b3fc-d3752ffee11b</errorID>
      <errorWord>）</errorWord>
      <group>L1_Format</group>
      <groupName>格式问题</groupName>
      <ability>L2_HalfPunc</ability>
      <abilityName>全半角检查</abilityName>
      <candidateList>
        <item>)</item>
      </candidateList>
      <explain>文本全半角错误。</explain>
      <paraID>43C89AF7</paraID>
      <start>15</start>
      <end>16</end>
      <status>modified</status>
      <modifiedWord>)</modifiedWord>
      <trackRevisions>false</trackRevisions>
    </reviewItem>
    <reviewItem>
      <errorID>3d6f99f7-e82b-4cc7-8dab-ef3d0121be4c</errorID>
      <errorWord>-</errorWord>
      <group>L1_Format</group>
      <groupName>格式问题</groupName>
      <ability>L2_HalfPunc</ability>
      <abilityName>全半角检查</abilityName>
      <candidateList>
        <item>－</item>
      </candidateList>
      <explain>文本全半角错误。</explain>
      <paraID> B22E7FD</paraID>
      <start>10</start>
      <end>11</end>
      <status>modified</status>
      <modifiedWord>－</modifiedWord>
      <trackRevisions>false</trackRevisions>
    </reviewItem>
    <reviewItem>
      <errorID>cc3c035c-9d55-4af9-b840-3c6d136e6462</errorID>
      <errorWord>（</errorWord>
      <group>L1_Format</group>
      <groupName>格式问题</groupName>
      <ability>L2_HalfPunc</ability>
      <abilityName>全半角检查</abilityName>
      <candidateList>
        <item>(</item>
      </candidateList>
      <explain>文本全半角错误。</explain>
      <paraID> 2253110</paraID>
      <start>8</start>
      <end>9</end>
      <status>ignored</status>
      <modifiedWord/>
      <trackRevisions>false</trackRevisions>
    </reviewItem>
    <reviewItem>
      <errorID>eb0ebd31-6500-4a10-9711-82790b6e63b8</errorID>
      <errorWord>）</errorWord>
      <group>L1_Format</group>
      <groupName>格式问题</groupName>
      <ability>L2_HalfPunc</ability>
      <abilityName>全半角检查</abilityName>
      <candidateList>
        <item>)</item>
      </candidateList>
      <explain>文本全半角错误。</explain>
      <paraID> 2253110</paraID>
      <start>15</start>
      <end>16</end>
      <status>ignored</status>
      <modifiedWord/>
      <trackRevisions>false</trackRevisions>
    </reviewItem>
    <reviewItem>
      <errorID>516c6ba5-2a0e-4fa3-8754-338157912407</errorID>
      <errorWord>较小</errorWord>
      <group>L1_Word</group>
      <groupName>字词问题</groupName>
      <ability>L2_Typo</ability>
      <abilityName>字词错误</abilityName>
      <candidateList>
        <item>较少</item>
      </candidateList>
      <explain/>
      <paraID>46E87026</paraID>
      <start>93</start>
      <end>95</end>
      <status>modified</status>
      <modifiedWord>较少</modifiedWord>
      <trackRevisions>false</trackRevisions>
    </reviewItem>
    <reviewItem>
      <errorID>ede7c7fc-8788-41cb-a33d-433d8a366eef</errorID>
      <errorWord>外逸</errorWord>
      <group>L1_Word</group>
      <groupName>字词问题</groupName>
      <ability>L2_Typo</ability>
      <abilityName>字词错误</abilityName>
      <candidateList>
        <item>外溢</item>
      </candidateList>
      <explain/>
      <paraID>46E87026</paraID>
      <start>99</start>
      <end>101</end>
      <status>ignored</status>
      <modifiedWord/>
      <trackRevisions>false</trackRevisions>
    </reviewItem>
    <reviewItem>
      <errorID>8ec6de0e-275f-47ab-8847-0e684a088202</errorID>
      <errorWord>约合</errorWord>
      <group>L1_Word</group>
      <groupName>字词问题</groupName>
      <ability>L2_Typo</ability>
      <abilityName>字词错误</abilityName>
      <candidateList>
        <item>约</item>
      </candidateList>
      <explain/>
      <paraID> 979C098</paraID>
      <start>27</start>
      <end>28</end>
      <status>modified</status>
      <modifiedWord>约</modifiedWord>
      <trackRevisions>false</trackRevisions>
    </reviewItem>
    <reviewItem>
      <errorID>1d3e32a4-fd62-4bed-b94f-e3a99df7ee4a</errorID>
      <errorWord>)</errorWord>
      <group>L1_Format</group>
      <groupName>格式问题</groupName>
      <ability>L2_HalfPunc</ability>
      <abilityName>全半角检查</abilityName>
      <candidateList>
        <item>）</item>
      </candidateList>
      <explain>文本全半角错误。</explain>
      <paraID> F011D80</paraID>
      <start>13</start>
      <end>14</end>
      <status>modified</status>
      <modifiedWord>）</modifiedWord>
      <trackRevisions>false</trackRevisions>
    </reviewItem>
    <reviewItem>
      <errorID>b4d90954-f74e-46db-a69e-5c5b06ccdd9d</errorID>
      <errorWord>有有</errorWord>
      <group>L1_Word</group>
      <groupName>字词问题</groupName>
      <ability>L2_Typo</ability>
      <abilityName>字词错误</abilityName>
      <candidateList>
        <item>有</item>
      </candidateList>
      <explain>〈书〉同“又”▲：三十～八年。</explain>
      <paraID> F4C3E40</paraID>
      <start>45</start>
      <end>47</end>
      <status>ignored</status>
      <modifiedWord/>
      <trackRevisions>false</trackRevisions>
    </reviewItem>
    <reviewItem>
      <errorID>45279bf7-2d0d-41ae-b80b-5d30f70cb85d</errorID>
      <errorWord>~</errorWord>
      <group>L1_Format</group>
      <groupName>格式问题</groupName>
      <ability>L2_HalfPunc</ability>
      <abilityName>全半角检查</abilityName>
      <candidateList>
        <item>～</item>
      </candidateList>
      <explain>文本全半角错误。</explain>
      <paraID>1B28642A</paraID>
      <start>51</start>
      <end>52</end>
      <status>modified</status>
      <modifiedWord>～</modifiedWord>
      <trackRevisions>false</trackRevisions>
    </reviewItem>
    <reviewItem>
      <errorID>af43ccfc-ee2f-4d97-ad30-cf24d1bcae0e</errorID>
      <errorWord>~</errorWord>
      <group>L1_Format</group>
      <groupName>格式问题</groupName>
      <ability>L2_HalfPunc</ability>
      <abilityName>全半角检查</abilityName>
      <candidateList>
        <item>～</item>
      </candidateList>
      <explain>文本全半角错误。</explain>
      <paraID> 8936028</paraID>
      <start>1</start>
      <end>2</end>
      <status>modified</status>
      <modifiedWord>～</modifiedWord>
      <trackRevisions>false</trackRevisions>
    </reviewItem>
    <reviewItem>
      <errorID>8bc115f9-1b46-4e1a-8fd2-6c560694e69c</errorID>
      <errorWord>~</errorWord>
      <group>L1_Format</group>
      <groupName>格式问题</groupName>
      <ability>L2_HalfPunc</ability>
      <abilityName>全半角检查</abilityName>
      <candidateList>
        <item>～</item>
      </candidateList>
      <explain>文本全半角错误。</explain>
      <paraID> 34DE67E</paraID>
      <start>1</start>
      <end>2</end>
      <status>modified</status>
      <modifiedWord>～</modifiedWord>
      <trackRevisions>false</trackRevisions>
    </reviewItem>
    <reviewItem>
      <errorID>9675fb6d-53e3-4f01-9c74-7313776157d6</errorID>
      <errorWord>卸出</errorWord>
      <group>L1_Word</group>
      <groupName>字词问题</groupName>
      <ability>L2_Typo</ability>
      <abilityName>字词错误</abilityName>
      <candidateList>
        <item>泄出</item>
      </candidateList>
      <explain/>
      <paraID>4D8EAAEF</paraID>
      <start>59</start>
      <end>61</end>
      <status>ignored</status>
      <modifiedWord/>
      <trackRevisions>false</trackRevisions>
    </reviewItem>
    <reviewItem>
      <errorID>5c8a42ce-ef7d-4b63-99ce-636829d31502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5BB26E93</paraID>
      <start>0</start>
      <end>2</end>
      <status>ignored</status>
      <modifiedWord/>
      <trackRevisions>false</trackRevisions>
    </reviewItem>
    <reviewItem>
      <errorID>d67c5b1c-5612-44de-a332-d5f533be7bdd</errorID>
      <errorWord>过渡性</errorWord>
      <group>L1_Word</group>
      <groupName>字词问题</groupName>
      <ability>L2_Typo</ability>
      <abilityName>字词错误</abilityName>
      <candidateList>
        <item>过渡型</item>
      </candidateList>
      <explain/>
      <paraID> D073F48</paraID>
      <start>76</start>
      <end>79</end>
      <status>modified</status>
      <modifiedWord>过渡型</modifiedWord>
      <trackRevisions>false</trackRevisions>
    </reviewItem>
    <reviewItem>
      <errorID>0a57e2e3-3aa9-4016-babb-6fa2c4fb9862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13D93AB1</paraID>
      <start>0</start>
      <end>2</end>
      <status>ignored</status>
      <modifiedWord/>
      <trackRevisions>false</trackRevisions>
    </reviewItem>
    <reviewItem>
      <errorID>92729ac5-9838-4129-84b6-2ab7fc9f2afb</errorID>
      <errorWord>程</errorWord>
      <group>L1_Word</group>
      <groupName>字词问题</groupName>
      <ability>L2_Typo</ability>
      <abilityName>字词错误</abilityName>
      <candidateList>
        <item>程中</item>
      </candidateList>
      <explain/>
      <paraID>1F9B9095</paraID>
      <start>29</start>
      <end>31</end>
      <status>modified</status>
      <modifiedWord>程中</modifiedWord>
      <trackRevisions>false</trackRevisions>
    </reviewItem>
    <reviewItem>
      <errorID>019d4251-18e0-4db4-9b74-3fda9680db48</errorID>
      <errorWord>)</errorWord>
      <group>L1_Format</group>
      <groupName>格式问题</groupName>
      <ability>L2_HalfPunc</ability>
      <abilityName>全半角检查</abilityName>
      <candidateList>
        <item>）</item>
      </candidateList>
      <explain>文本全半角错误。</explain>
      <paraID>1F9B9095</paraID>
      <start>53</start>
      <end>54</end>
      <status>modified</status>
      <modifiedWord>）</modifiedWord>
      <trackRevisions>false</trackRevisions>
    </reviewItem>
    <reviewItem>
      <errorID>266746b1-a288-408e-a97e-64781eb907af</errorID>
      <errorWord>＜</errorWord>
      <group>L1_Format</group>
      <groupName>格式问题</groupName>
      <ability>L2_HalfPunc</ability>
      <abilityName>全半角检查</abilityName>
      <candidateList>
        <item>&lt;</item>
      </candidateList>
      <explain>文本全半角错误。</explain>
      <paraID>495B13A4</paraID>
      <start>0</start>
      <end>1</end>
      <status>modified</status>
      <modifiedWord>&lt;</modifiedWord>
      <trackRevisions>false</trackRevisions>
    </reviewItem>
    <reviewItem>
      <errorID>ef15e3c4-ba87-4299-a148-5555745123e3</errorID>
      <errorWord>鄂破机</errorWord>
      <group>L1_Word</group>
      <groupName>字词问题</groupName>
      <ability>L2_Typo</ability>
      <abilityName>字词错误</abilityName>
      <candidateList>
        <item>颚破机</item>
      </candidateList>
      <explain/>
      <paraID>4E5EC066</paraID>
      <start>0</start>
      <end>3</end>
      <status>modified</status>
      <modifiedWord>颚破机</modifiedWord>
      <trackRevisions>false</trackRevisions>
    </reviewItem>
    <reviewItem>
      <errorID>8879ccf2-3335-4be8-b88d-d42db88cda5d</errorID>
      <errorWord>＜</errorWord>
      <group>L1_Format</group>
      <groupName>格式问题</groupName>
      <ability>L2_HalfPunc</ability>
      <abilityName>全半角检查</abilityName>
      <candidateList>
        <item>&lt;</item>
      </candidateList>
      <explain>文本全半角错误。</explain>
      <paraID>7FF1DC42</paraID>
      <start>0</start>
      <end>1</end>
      <status>modified</status>
      <modifiedWord>&lt;</modifiedWord>
      <trackRevisions>false</trackRevisions>
    </reviewItem>
    <reviewItem>
      <errorID>6b5c6cbd-c479-4ec4-9656-e08ad226382c</errorID>
      <errorWord>＜</errorWord>
      <group>L1_Format</group>
      <groupName>格式问题</groupName>
      <ability>L2_HalfPunc</ability>
      <abilityName>全半角检查</abilityName>
      <candidateList>
        <item>&lt;</item>
      </candidateList>
      <explain>文本全半角错误。</explain>
      <paraID> 8132B2D</paraID>
      <start>0</start>
      <end>1</end>
      <status>modified</status>
      <modifiedWord>&lt;</modifiedWord>
      <trackRevisions>false</trackRevisions>
    </reviewItem>
    <reviewItem>
      <errorID>f703a7a8-0071-4c14-b690-28d2c2e3157a</errorID>
      <errorWord>＜</errorWord>
      <group>L1_Format</group>
      <groupName>格式问题</groupName>
      <ability>L2_HalfPunc</ability>
      <abilityName>全半角检查</abilityName>
      <candidateList>
        <item>&lt;</item>
      </candidateList>
      <explain>文本全半角错误。</explain>
      <paraID>265E5334</paraID>
      <start>0</start>
      <end>1</end>
      <status>modified</status>
      <modifiedWord>&lt;</modifiedWord>
      <trackRevisions>false</trackRevisions>
    </reviewItem>
    <reviewItem>
      <errorID>c26ff7ec-4d97-4f88-b081-6396dad2602d</errorID>
      <errorWord>＜</errorWord>
      <group>L1_Format</group>
      <groupName>格式问题</groupName>
      <ability>L2_HalfPunc</ability>
      <abilityName>全半角检查</abilityName>
      <candidateList>
        <item>&lt;</item>
      </candidateList>
      <explain>文本全半角错误。</explain>
      <paraID>26594FF7</paraID>
      <start>0</start>
      <end>1</end>
      <status>modified</status>
      <modifiedWord>&lt;</modifiedWord>
      <trackRevisions>false</trackRevisions>
    </reviewItem>
    <reviewItem>
      <errorID>daf5b621-b117-42e9-b578-74ee65d36d21</errorID>
      <errorWord>＜</errorWord>
      <group>L1_Format</group>
      <groupName>格式问题</groupName>
      <ability>L2_HalfPunc</ability>
      <abilityName>全半角检查</abilityName>
      <candidateList>
        <item>&lt;</item>
      </candidateList>
      <explain>文本全半角错误。</explain>
      <paraID>777DFDE5</paraID>
      <start>0</start>
      <end>1</end>
      <status>modified</status>
      <modifiedWord>&lt;</modifiedWord>
      <trackRevisions>false</trackRevisions>
    </reviewItem>
    <reviewItem>
      <errorID>12f3fa98-18a7-4f39-a18a-c51c2dee5f43</errorID>
      <errorWord>＜</errorWord>
      <group>L1_Format</group>
      <groupName>格式问题</groupName>
      <ability>L2_HalfPunc</ability>
      <abilityName>全半角检查</abilityName>
      <candidateList>
        <item>&lt;</item>
      </candidateList>
      <explain>文本全半角错误。</explain>
      <paraID>3B7D23F5</paraID>
      <start>0</start>
      <end>1</end>
      <status>modified</status>
      <modifiedWord>&lt;</modifiedWord>
      <trackRevisions>false</trackRevisions>
    </reviewItem>
    <reviewItem>
      <errorID>abe859e0-ceb3-4413-8044-7c5c373ae8fe</errorID>
      <errorWord>＜</errorWord>
      <group>L1_Format</group>
      <groupName>格式问题</groupName>
      <ability>L2_HalfPunc</ability>
      <abilityName>全半角检查</abilityName>
      <candidateList>
        <item>&lt;</item>
      </candidateList>
      <explain>文本全半角错误。</explain>
      <paraID>4A9EEBA3</paraID>
      <start>0</start>
      <end>1</end>
      <status>modified</status>
      <modifiedWord>&lt;</modifiedWord>
      <trackRevisions>false</trackRevisions>
    </reviewItem>
    <reviewItem>
      <errorID>66ce4c8e-8cbd-4576-84f2-476f748ff669</errorID>
      <errorWord>＜</errorWord>
      <group>L1_Format</group>
      <groupName>格式问题</groupName>
      <ability>L2_HalfPunc</ability>
      <abilityName>全半角检查</abilityName>
      <candidateList>
        <item>&lt;</item>
      </candidateList>
      <explain>文本全半角错误。</explain>
      <paraID>424A6AE2</paraID>
      <start>0</start>
      <end>1</end>
      <status>modified</status>
      <modifiedWord>&lt;</modifiedWord>
      <trackRevisions>false</trackRevisions>
    </reviewItem>
    <reviewItem>
      <errorID>44ec01bd-75b7-496a-a76e-0627d8596728</errorID>
      <errorWord>＜</errorWord>
      <group>L1_Format</group>
      <groupName>格式问题</groupName>
      <ability>L2_HalfPunc</ability>
      <abilityName>全半角检查</abilityName>
      <candidateList>
        <item>&lt;</item>
      </candidateList>
      <explain>文本全半角错误。</explain>
      <paraID>5CE7AA84</paraID>
      <start>0</start>
      <end>1</end>
      <status>modified</status>
      <modifiedWord>&lt;</modifiedWord>
      <trackRevisions>false</trackRevisions>
    </reviewItem>
    <reviewItem>
      <errorID>1fc86e02-76a7-4639-b58b-eddc1574b541</errorID>
      <errorWord>＜</errorWord>
      <group>L1_Format</group>
      <groupName>格式问题</groupName>
      <ability>L2_HalfPunc</ability>
      <abilityName>全半角检查</abilityName>
      <candidateList>
        <item>&lt;</item>
      </candidateList>
      <explain>文本全半角错误。</explain>
      <paraID>151F0F9E</paraID>
      <start>0</start>
      <end>1</end>
      <status>modified</status>
      <modifiedWord>&lt;</modifiedWord>
      <trackRevisions>false</trackRevisions>
    </reviewItem>
    <reviewItem>
      <errorID>52cc4e29-3239-47cf-b956-ed583bba29a6</errorID>
      <errorWord>＜</errorWord>
      <group>L1_Format</group>
      <groupName>格式问题</groupName>
      <ability>L2_HalfPunc</ability>
      <abilityName>全半角检查</abilityName>
      <candidateList>
        <item>&lt;</item>
      </candidateList>
      <explain>文本全半角错误。</explain>
      <paraID>14002AB0</paraID>
      <start>0</start>
      <end>1</end>
      <status>modified</status>
      <modifiedWord>&lt;</modifiedWord>
      <trackRevisions>false</trackRevisions>
    </reviewItem>
    <reviewItem>
      <errorID>90c00ffc-6a2f-47bf-9b0b-8672e4449775</errorID>
      <errorWord>＜</errorWord>
      <group>L1_Format</group>
      <groupName>格式问题</groupName>
      <ability>L2_HalfPunc</ability>
      <abilityName>全半角检查</abilityName>
      <candidateList>
        <item>&lt;</item>
      </candidateList>
      <explain>文本全半角错误。</explain>
      <paraID>6A42D08F</paraID>
      <start>0</start>
      <end>1</end>
      <status>modified</status>
      <modifiedWord>&lt;</modifiedWord>
      <trackRevisions>false</trackRevisions>
    </reviewItem>
    <reviewItem>
      <errorID>6aa9bb22-052c-4280-a445-84b24efb1701</errorID>
      <errorWord>＜</errorWord>
      <group>L1_Format</group>
      <groupName>格式问题</groupName>
      <ability>L2_HalfPunc</ability>
      <abilityName>全半角检查</abilityName>
      <candidateList>
        <item>&lt;</item>
      </candidateList>
      <explain>文本全半角错误。</explain>
      <paraID> 1503F6E</paraID>
      <start>0</start>
      <end>1</end>
      <status>modified</status>
      <modifiedWord>&lt;</modifiedWord>
      <trackRevisions>false</trackRevisions>
    </reviewItem>
    <reviewItem>
      <errorID>eb27a4a0-1e2f-4215-8e2d-12a6ee7d1e6e</errorID>
      <errorWord>＜</errorWord>
      <group>L1_Format</group>
      <groupName>格式问题</groupName>
      <ability>L2_HalfPunc</ability>
      <abilityName>全半角检查</abilityName>
      <candidateList>
        <item>&lt;</item>
      </candidateList>
      <explain>文本全半角错误。</explain>
      <paraID>23427AB8</paraID>
      <start>0</start>
      <end>1</end>
      <status>modified</status>
      <modifiedWord>&lt;</modifiedWord>
      <trackRevisions>false</trackRevisions>
    </reviewItem>
    <reviewItem>
      <errorID>6bc328e9-b373-44d1-b67e-4cb77821735a</errorID>
      <errorWord>＜</errorWord>
      <group>L1_Format</group>
      <groupName>格式问题</groupName>
      <ability>L2_HalfPunc</ability>
      <abilityName>全半角检查</abilityName>
      <candidateList>
        <item>&lt;</item>
      </candidateList>
      <explain>文本全半角错误。</explain>
      <paraID>74CE3D12</paraID>
      <start>0</start>
      <end>1</end>
      <status>modified</status>
      <modifiedWord>&lt;</modifiedWord>
      <trackRevisions>false</trackRevisions>
    </reviewItem>
    <reviewItem>
      <errorID>c9d4fb58-6762-4ea5-bba8-ef27f703d670</errorID>
      <errorWord>＜</errorWord>
      <group>L1_Format</group>
      <groupName>格式问题</groupName>
      <ability>L2_HalfPunc</ability>
      <abilityName>全半角检查</abilityName>
      <candidateList>
        <item>&lt;</item>
      </candidateList>
      <explain>文本全半角错误。</explain>
      <paraID>1355843E</paraID>
      <start>0</start>
      <end>1</end>
      <status>modified</status>
      <modifiedWord>&lt;</modifiedWord>
      <trackRevisions>false</trackRevisions>
    </reviewItem>
    <reviewItem>
      <errorID>70db44c8-ef0f-472f-beea-4f481b63d40f</errorID>
      <errorWord>（</errorWord>
      <group>L1_Punc</group>
      <groupName>标点问题</groupName>
      <ability>L2_Punc</ability>
      <abilityName>标点符号检查</abilityName>
      <candidateList>
        <item/>
      </candidateList>
      <explain>同一形式括号套用。</explain>
      <paraID>43A756E9</paraID>
      <start>3</start>
      <end>4</end>
      <status>ignored</status>
      <modifiedWord/>
      <trackRevisions>false</trackRevisions>
    </reviewItem>
    <reviewItem>
      <errorID>8d210a87-9236-4583-889c-183b071ccac5</errorID>
      <errorWord>(</errorWord>
      <group>L1_Punc</group>
      <groupName>标点问题</groupName>
      <ability>L2_Punc</ability>
      <abilityName>标点符号检查</abilityName>
      <candidateList/>
      <explain>同一形式括号套用。</explain>
      <paraID>43A756E9</paraID>
      <start>6</start>
      <end>7</end>
      <status>ignored</status>
      <modifiedWord/>
      <trackRevisions>false</trackRevisions>
    </reviewItem>
    <reviewItem>
      <errorID>c11d6186-950c-4bd8-ae86-328f95c6570b</errorID>
      <errorWord>)</errorWord>
      <group>L1_Punc</group>
      <groupName>标点问题</groupName>
      <ability>L2_Punc</ability>
      <abilityName>标点符号检查</abilityName>
      <candidateList/>
      <explain>同一形式括号套用。</explain>
      <paraID>43A756E9</paraID>
      <start>8</start>
      <end>9</end>
      <status>ignored</status>
      <modifiedWord/>
      <trackRevisions>false</trackRevisions>
    </reviewItem>
    <reviewItem>
      <errorID>45eb8ef1-069e-437f-a8f1-9d1935165292</errorID>
      <errorWord>）</errorWord>
      <group>L1_Punc</group>
      <groupName>标点问题</groupName>
      <ability>L2_Punc</ability>
      <abilityName>标点符号检查</abilityName>
      <candidateList/>
      <explain>同一形式括号套用。</explain>
      <paraID>43A756E9</paraID>
      <start>9</start>
      <end>10</end>
      <status>unmodified</status>
      <modifiedWord/>
      <trackRevisions>false</trackRevisions>
    </reviewItem>
    <reviewItem>
      <errorID>b139b171-320b-4d8b-b698-13bf1d75371f</errorID>
      <errorWord>（</errorWord>
      <group>L1_Punc</group>
      <groupName>标点问题</groupName>
      <ability>L2_Punc</ability>
      <abilityName>标点符号检查</abilityName>
      <candidateList>
        <item/>
      </candidateList>
      <explain>同一形式括号套用。</explain>
      <paraID>5552F550</paraID>
      <start>4</start>
      <end>5</end>
      <status>unmodified</status>
      <modifiedWord/>
      <trackRevisions>false</trackRevisions>
    </reviewItem>
    <reviewItem>
      <errorID>6e796874-32ba-453b-9acc-fa7904205916</errorID>
      <errorWord>(</errorWord>
      <group>L1_Punc</group>
      <groupName>标点问题</groupName>
      <ability>L2_Punc</ability>
      <abilityName>标点符号检查</abilityName>
      <candidateList/>
      <explain>同一形式括号套用。</explain>
      <paraID>5552F550</paraID>
      <start>7</start>
      <end>8</end>
      <status>unmodified</status>
      <modifiedWord/>
      <trackRevisions>false</trackRevisions>
    </reviewItem>
    <reviewItem>
      <errorID>c4df9f6a-528c-4bba-b0a5-c17b9af5a4ed</errorID>
      <errorWord>)</errorWord>
      <group>L1_Punc</group>
      <groupName>标点问题</groupName>
      <ability>L2_Punc</ability>
      <abilityName>标点符号检查</abilityName>
      <candidateList/>
      <explain>同一形式括号套用。</explain>
      <paraID>5552F550</paraID>
      <start>9</start>
      <end>10</end>
      <status>unmodified</status>
      <modifiedWord/>
      <trackRevisions>false</trackRevisions>
    </reviewItem>
    <reviewItem>
      <errorID>b9d0ffd5-b98c-4ade-8add-481a9160b2f1</errorID>
      <errorWord>）</errorWord>
      <group>L1_Punc</group>
      <groupName>标点问题</groupName>
      <ability>L2_Punc</ability>
      <abilityName>标点符号检查</abilityName>
      <candidateList/>
      <explain>同一形式括号套用。</explain>
      <paraID>5552F550</paraID>
      <start>10</start>
      <end>11</end>
      <status>unmodified</status>
      <modifiedWord/>
      <trackRevisions>false</trackRevisions>
    </reviewItem>
    <reviewItem>
      <errorID>a3919712-986b-4c8b-9a8d-c60a0e904038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44C8E631</paraID>
      <start>0</start>
      <end>2</end>
      <status>unmodified</status>
      <modifiedWord/>
      <trackRevisions>false</trackRevisions>
    </reviewItem>
    <reviewItem>
      <errorID>3afa157c-c517-4a1c-b781-f615e3f86fc3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114AD067</paraID>
      <start>0</start>
      <end>2</end>
      <status>unmodified</status>
      <modifiedWord/>
      <trackRevisions>false</trackRevisions>
    </reviewItem>
    <reviewItem>
      <errorID>b1d30517-ce07-442b-a48f-c1a7f4b70edd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3963B137</paraID>
      <start>0</start>
      <end>2</end>
      <status>unmodified</status>
      <modifiedWord/>
      <trackRevisions>false</trackRevisions>
    </reviewItem>
    <reviewItem>
      <errorID>3eb60346-9260-4873-ac67-5219872ee38a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6749788C</paraID>
      <start>0</start>
      <end>2</end>
      <status>unmodified</status>
      <modifiedWord/>
      <trackRevisions>false</trackRevisions>
    </reviewItem>
    <reviewItem>
      <errorID>7ff6e30d-9e05-47bc-a154-d3bc32eff0f0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553A27CA</paraID>
      <start>0</start>
      <end>2</end>
      <status>unmodified</status>
      <modifiedWord/>
      <trackRevisions>false</trackRevisions>
    </reviewItem>
    <reviewItem>
      <errorID>50e4fee4-f9cc-459a-85d9-4ecc9d67751e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675AD0F8</paraID>
      <start>0</start>
      <end>2</end>
      <status>unmodified</status>
      <modifiedWord/>
      <trackRevisions>false</trackRevisions>
    </reviewItem>
    <reviewItem>
      <errorID>daf7836c-f1ac-47df-b3d1-97516db66da3</errorID>
      <errorWord>程</errorWord>
      <group>L1_Word</group>
      <groupName>字词问题</groupName>
      <ability>L2_Typo</ability>
      <abilityName>字词错误</abilityName>
      <candidateList>
        <item>程中</item>
      </candidateList>
      <explain/>
      <paraID>3C99DD93</paraID>
      <start>22</start>
      <end>24</end>
      <status>modified</status>
      <modifiedWord>程中</modifiedWord>
      <trackRevisions>false</trackRevisions>
    </reviewItem>
    <reviewItem>
      <errorID>0293bca3-5a76-4794-a843-ed31f6875e1b</errorID>
      <errorWord>与</errorWord>
      <group>L1_Word</group>
      <groupName>字词问题</groupName>
      <ability>L2_Typo</ability>
      <abilityName>字词错误</abilityName>
      <candidateList>
        <item>与具</item>
      </candidateList>
      <explain/>
      <paraID>21CA89FC</paraID>
      <start>111</start>
      <end>112</end>
      <status>ignored</status>
      <modifiedWord/>
      <trackRevisions>false</trackRevisions>
    </reviewItem>
    <reviewItem>
      <errorID>ae8e538b-0c58-42c5-b88e-4a6f440f087a</errorID>
      <errorWord>，</errorWord>
      <group>L1_Format</group>
      <groupName>格式问题</groupName>
      <ability>L2_HalfPunc</ability>
      <abilityName>全半角检查</abilityName>
      <candidateList>
        <item>, </item>
      </candidateList>
      <explain>文本全半角错误。</explain>
      <paraID> 894DE38</paraID>
      <start>1</start>
      <end>3</end>
      <status>modified</status>
      <modifiedWord>, </modifiedWord>
      <trackRevisions>false</trackRevisions>
    </reviewItem>
    <reviewItem>
      <errorID>ae639142-eec6-4e39-9c1f-09e48d223fb7</errorID>
      <errorWord>生</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4D37E25A</paraID>
      <start>0</start>
      <end>1</end>
      <status>ignored</status>
      <modifiedWord/>
      <trackRevisions>false</trackRevisions>
    </reviewItem>
    <reviewItem>
      <errorID>a1478c3a-0251-4db6-9cde-d0e18a9fec1a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5F8221FB</paraID>
      <start>0</start>
      <end>2</end>
      <status>ignored</status>
      <modifiedWord/>
      <trackRevisions>false</trackRevisions>
    </reviewItem>
    <reviewItem>
      <errorID>7be3d77f-979a-4ba7-9237-7df062cb9c22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7EDBD0AA</paraID>
      <start>0</start>
      <end>2</end>
      <status>ignored</status>
      <modifiedWord/>
      <trackRevisions>false</trackRevisions>
    </reviewItem>
    <reviewItem>
      <errorID>4f49560d-aee4-41db-a380-7db00f76c7b6</errorID>
      <errorWord>程</errorWord>
      <group>L1_Word</group>
      <groupName>字词问题</groupName>
      <ability>L2_Typo</ability>
      <abilityName>字词错误</abilityName>
      <candidateList>
        <item>程中</item>
      </candidateList>
      <explain/>
      <paraID>6C9363F6</paraID>
      <start>52</start>
      <end>53</end>
      <status>ignored</status>
      <modifiedWord/>
      <trackRevisions>false</trackRevisions>
    </reviewItem>
    <reviewItem>
      <errorID>2a95cbc6-5bc5-49f2-af1c-8025c16f64b4</errorID>
      <errorWord>(</errorWord>
      <group>L1_Format</group>
      <groupName>格式问题</groupName>
      <ability>L2_HalfPunc</ability>
      <abilityName>全半角检查</abilityName>
      <candidateList>
        <item>（</item>
      </candidateList>
      <explain>文本全半角错误。</explain>
      <paraID>79C89C04</paraID>
      <start>3</start>
      <end>4</end>
      <status>modified</status>
      <modifiedWord>（</modifiedWord>
      <trackRevisions>false</trackRevisions>
    </reviewItem>
    <reviewItem>
      <errorID>e89a0839-e910-4620-8496-e6423aa496f3</errorID>
      <errorWord>)</errorWord>
      <group>L1_Format</group>
      <groupName>格式问题</groupName>
      <ability>L2_HalfPunc</ability>
      <abilityName>全半角检查</abilityName>
      <candidateList>
        <item>）</item>
      </candidateList>
      <explain>文本全半角错误。</explain>
      <paraID>7BD69920</paraID>
      <start>2</start>
      <end>3</end>
      <status>modified</status>
      <modifiedWord>）</modifiedWord>
      <trackRevisions>false</trackRevisions>
    </reviewItem>
    <reviewItem>
      <errorID>b9ddce69-7ae3-4a23-99fb-b8fee48630c4</errorID>
      <errorWord>，</errorWord>
      <group>L1_Word</group>
      <groupName>字词问题</groupName>
      <ability>L2_Typo</ability>
      <abilityName>字词错误</abilityName>
      <candidateList>
        <item>，对</item>
      </candidateList>
      <explain/>
      <paraID>366F4091</paraID>
      <start>30</start>
      <end>32</end>
      <status>modified</status>
      <modifiedWord>，对</modifiedWord>
      <trackRevisions>false</trackRevisions>
    </reviewItem>
    <reviewItem>
      <errorID>a3debfb2-9959-4c22-b842-646a9e029a7f</errorID>
      <errorWord>、</errorWord>
      <group>L1_Punc</group>
      <groupName>标点问题</groupName>
      <ability>L2_Punc</ability>
      <abilityName>标点符号检查</abilityName>
      <candidateList/>
      <explain/>
      <paraID>62661DE7</paraID>
      <start>0</start>
      <end>1</end>
      <status>ignored</status>
      <modifiedWord/>
      <trackRevisions>false</trackRevisions>
    </reviewItem>
  </reviewItems>
  <config/>
</contractReview>
</file>

<file path=customXml/itemProps1.xml><?xml version="1.0" encoding="utf-8"?>
<ds:datastoreItem xmlns:ds="http://schemas.openxmlformats.org/officeDocument/2006/customXml" ds:itemID="{54f9c42c-5287-44ef-a515-24abc0719591}">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56</Pages>
  <Words>35776</Words>
  <Characters>39469</Characters>
  <Lines>289</Lines>
  <Paragraphs>81</Paragraphs>
  <TotalTime>2</TotalTime>
  <ScaleCrop>false</ScaleCrop>
  <LinksUpToDate>false</LinksUpToDate>
  <CharactersWithSpaces>39871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2025-03-17T10:04:00Z</dcterms:created>
  <dc:creator>尚云环境</dc:creator>
  <cp:lastModifiedBy>^o^  heronsbill</cp:lastModifiedBy>
  <cp:lastPrinted>2020-12-29T10:43:00Z</cp:lastPrinted>
  <dcterms:modified xsi:type="dcterms:W3CDTF">2025-11-14T03:55:53Z</dcterms:modified>
  <dc:title>建设项目环境影响报告表（污染影响类）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3B50361CF3D648B1AD3153A8ABE442DF_13</vt:lpwstr>
  </property>
  <property fmtid="{D5CDD505-2E9C-101B-9397-08002B2CF9AE}" pid="4" name="KSOTemplateDocerSaveRecord">
    <vt:lpwstr>eyJoZGlkIjoiMGU1MDNkZDNhZGIwYjE0NjExZDEzYTRmZGJhMDRhM2IiLCJ1c2VySWQiOiIyNDY2MzI0NjUifQ==</vt:lpwstr>
  </property>
</Properties>
</file>