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650D">
      <w:pPr>
        <w:widowControl w:val="0"/>
        <w:rPr>
          <w:rFonts w:ascii="Times New Roman" w:hAnsi="Times New Roman" w:eastAsia="楷体_GB2312" w:cs="Times New Roman"/>
          <w:bCs/>
          <w:sz w:val="32"/>
          <w:szCs w:val="32"/>
          <w:lang w:eastAsia="zh-CN"/>
        </w:rPr>
      </w:pPr>
      <w:bookmarkStart w:id="0" w:name="_GoBack"/>
      <w:bookmarkEnd w:id="0"/>
      <w:r>
        <w:rPr>
          <w:rFonts w:hint="eastAsia" w:ascii="方正黑体_GBK" w:hAnsi="方正黑体_GBK" w:eastAsia="方正黑体_GBK" w:cs="方正黑体_GBK"/>
          <w:bCs/>
          <w:sz w:val="32"/>
          <w:szCs w:val="32"/>
          <w:lang w:eastAsia="zh-CN"/>
        </w:rPr>
        <w:t>附件</w:t>
      </w:r>
      <w:r>
        <w:rPr>
          <w:rFonts w:ascii="Times New Roman" w:hAnsi="Times New Roman" w:eastAsia="楷体_GB2312" w:cs="Times New Roman"/>
          <w:bCs/>
          <w:sz w:val="32"/>
          <w:szCs w:val="32"/>
          <w:lang w:eastAsia="zh-CN"/>
        </w:rPr>
        <w:t>2</w:t>
      </w:r>
    </w:p>
    <w:p w14:paraId="69043745">
      <w:pPr>
        <w:widowControl w:val="0"/>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582"/>
        <w:gridCol w:w="987"/>
        <w:gridCol w:w="1211"/>
        <w:gridCol w:w="1185"/>
        <w:gridCol w:w="1560"/>
        <w:gridCol w:w="1305"/>
        <w:gridCol w:w="2127"/>
      </w:tblGrid>
      <w:tr w14:paraId="7F5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2056" w:type="dxa"/>
            <w:gridSpan w:val="2"/>
            <w:tcBorders>
              <w:top w:val="single" w:color="auto" w:sz="12" w:space="0"/>
              <w:left w:val="single" w:color="auto" w:sz="12" w:space="0"/>
            </w:tcBorders>
            <w:vAlign w:val="center"/>
          </w:tcPr>
          <w:p w14:paraId="61C945AE">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单位名称</w:t>
            </w:r>
          </w:p>
        </w:tc>
        <w:tc>
          <w:tcPr>
            <w:tcW w:w="8375" w:type="dxa"/>
            <w:gridSpan w:val="6"/>
            <w:tcBorders>
              <w:top w:val="single" w:color="auto" w:sz="12" w:space="0"/>
              <w:right w:val="single" w:color="auto" w:sz="12" w:space="0"/>
            </w:tcBorders>
            <w:vAlign w:val="center"/>
          </w:tcPr>
          <w:p w14:paraId="682C1CE2">
            <w:pPr>
              <w:widowControl w:val="0"/>
              <w:kinsoku/>
              <w:rPr>
                <w:rFonts w:ascii="Times New Roman" w:hAnsi="Times New Roman" w:eastAsia="楷体" w:cs="Times New Roman"/>
                <w:sz w:val="24"/>
              </w:rPr>
            </w:pPr>
          </w:p>
        </w:tc>
      </w:tr>
      <w:tr w14:paraId="7A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vAlign w:val="center"/>
          </w:tcPr>
          <w:p w14:paraId="2BAB1ECA">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单位地址</w:t>
            </w:r>
          </w:p>
        </w:tc>
        <w:tc>
          <w:tcPr>
            <w:tcW w:w="4943" w:type="dxa"/>
            <w:gridSpan w:val="4"/>
            <w:vAlign w:val="center"/>
          </w:tcPr>
          <w:p w14:paraId="5EC8F556">
            <w:pPr>
              <w:widowControl w:val="0"/>
              <w:kinsoku/>
              <w:rPr>
                <w:rFonts w:ascii="Times New Roman" w:hAnsi="Times New Roman" w:eastAsia="楷体" w:cs="Times New Roman"/>
                <w:sz w:val="24"/>
                <w:lang w:eastAsia="zh-CN"/>
              </w:rPr>
            </w:pPr>
          </w:p>
        </w:tc>
        <w:tc>
          <w:tcPr>
            <w:tcW w:w="1305" w:type="dxa"/>
            <w:vAlign w:val="center"/>
          </w:tcPr>
          <w:p w14:paraId="5E78C8CB">
            <w:pPr>
              <w:widowControl w:val="0"/>
              <w:kinsoku/>
              <w:jc w:val="center"/>
              <w:rPr>
                <w:rFonts w:ascii="Times New Roman" w:hAnsi="Times New Roman" w:eastAsia="黑体" w:cs="Times New Roman"/>
                <w:sz w:val="24"/>
              </w:rPr>
            </w:pPr>
            <w:r>
              <w:rPr>
                <w:rFonts w:ascii="Times New Roman" w:hAnsi="Times New Roman" w:eastAsia="黑体" w:cs="Times New Roman"/>
                <w:sz w:val="24"/>
              </w:rPr>
              <w:t>上级归口管理部门</w:t>
            </w:r>
          </w:p>
        </w:tc>
        <w:tc>
          <w:tcPr>
            <w:tcW w:w="2127" w:type="dxa"/>
            <w:tcBorders>
              <w:right w:val="single" w:color="auto" w:sz="12" w:space="0"/>
            </w:tcBorders>
            <w:vAlign w:val="center"/>
          </w:tcPr>
          <w:p w14:paraId="5ABC0ACE">
            <w:pPr>
              <w:widowControl w:val="0"/>
              <w:kinsoku/>
              <w:rPr>
                <w:rFonts w:ascii="Times New Roman" w:hAnsi="Times New Roman" w:eastAsia="楷体" w:cs="Times New Roman"/>
                <w:sz w:val="24"/>
              </w:rPr>
            </w:pPr>
          </w:p>
        </w:tc>
      </w:tr>
      <w:tr w14:paraId="399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6441E1FC">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统一社会</w:t>
            </w:r>
          </w:p>
          <w:p w14:paraId="01F92703">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信用代码</w:t>
            </w:r>
          </w:p>
        </w:tc>
        <w:tc>
          <w:tcPr>
            <w:tcW w:w="4943" w:type="dxa"/>
            <w:gridSpan w:val="4"/>
            <w:shd w:val="clear" w:color="auto" w:fill="auto"/>
            <w:vAlign w:val="center"/>
          </w:tcPr>
          <w:p w14:paraId="4E5A3EAF">
            <w:pPr>
              <w:pStyle w:val="7"/>
              <w:widowControl w:val="0"/>
              <w:kinsoku/>
              <w:spacing w:line="240" w:lineRule="exact"/>
              <w:jc w:val="center"/>
              <w:rPr>
                <w:rFonts w:ascii="Times New Roman" w:hAnsi="Times New Roman" w:eastAsia="楷体" w:cs="Times New Roman"/>
                <w:sz w:val="24"/>
                <w:szCs w:val="21"/>
              </w:rPr>
            </w:pPr>
          </w:p>
        </w:tc>
        <w:tc>
          <w:tcPr>
            <w:tcW w:w="1305" w:type="dxa"/>
            <w:shd w:val="clear" w:color="auto" w:fill="auto"/>
            <w:vAlign w:val="center"/>
          </w:tcPr>
          <w:p w14:paraId="772399F0">
            <w:pPr>
              <w:pStyle w:val="7"/>
              <w:widowControl w:val="0"/>
              <w:kinsoku/>
              <w:spacing w:line="240" w:lineRule="exact"/>
              <w:jc w:val="center"/>
              <w:rPr>
                <w:rFonts w:ascii="Times New Roman" w:hAnsi="Times New Roman" w:eastAsia="黑体" w:cs="Times New Roman"/>
                <w:sz w:val="24"/>
                <w:szCs w:val="21"/>
                <w:lang w:eastAsia="zh-CN"/>
              </w:rPr>
            </w:pPr>
            <w:r>
              <w:rPr>
                <w:rFonts w:ascii="Times New Roman" w:hAnsi="Times New Roman" w:eastAsia="黑体" w:cs="Times New Roman"/>
                <w:sz w:val="24"/>
                <w:szCs w:val="21"/>
                <w:lang w:eastAsia="zh-CN"/>
              </w:rPr>
              <w:t>有无自动</w:t>
            </w:r>
          </w:p>
          <w:p w14:paraId="2BD57F47">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szCs w:val="21"/>
                <w:lang w:eastAsia="zh-CN"/>
              </w:rPr>
              <w:t>消防设施</w:t>
            </w:r>
          </w:p>
        </w:tc>
        <w:tc>
          <w:tcPr>
            <w:tcW w:w="2127" w:type="dxa"/>
            <w:tcBorders>
              <w:right w:val="single" w:color="auto" w:sz="12" w:space="0"/>
            </w:tcBorders>
            <w:shd w:val="clear" w:color="auto" w:fill="auto"/>
            <w:vAlign w:val="center"/>
          </w:tcPr>
          <w:p w14:paraId="3880A0A2">
            <w:pPr>
              <w:pStyle w:val="7"/>
              <w:widowControl w:val="0"/>
              <w:kinsoku/>
              <w:spacing w:line="240" w:lineRule="exact"/>
              <w:jc w:val="center"/>
              <w:rPr>
                <w:rFonts w:ascii="Times New Roman" w:hAnsi="Times New Roman" w:eastAsia="楷体" w:cs="Times New Roman"/>
                <w:sz w:val="24"/>
                <w:szCs w:val="21"/>
              </w:rPr>
            </w:pPr>
            <w:r>
              <w:rPr>
                <w:rFonts w:ascii="Times New Roman" w:hAnsi="Times New Roman" w:eastAsia="楷体" w:cs="Times New Roman"/>
                <w:sz w:val="24"/>
                <w:szCs w:val="21"/>
                <w:lang w:eastAsia="zh-CN"/>
              </w:rPr>
              <w:t>□有  □无</w:t>
            </w:r>
          </w:p>
        </w:tc>
      </w:tr>
      <w:tr w14:paraId="79F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2C484612">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建筑面积</w:t>
            </w:r>
          </w:p>
          <w:p w14:paraId="6BB4EEC3">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lang w:eastAsia="zh-CN"/>
              </w:rPr>
              <w:t>（㎡）</w:t>
            </w:r>
          </w:p>
        </w:tc>
        <w:tc>
          <w:tcPr>
            <w:tcW w:w="2198" w:type="dxa"/>
            <w:gridSpan w:val="2"/>
            <w:shd w:val="clear" w:color="auto" w:fill="auto"/>
            <w:vAlign w:val="center"/>
          </w:tcPr>
          <w:p w14:paraId="1738A0F5">
            <w:pPr>
              <w:pStyle w:val="7"/>
              <w:widowControl w:val="0"/>
              <w:kinsoku/>
              <w:spacing w:line="240" w:lineRule="exact"/>
              <w:jc w:val="center"/>
              <w:rPr>
                <w:rFonts w:ascii="Times New Roman" w:hAnsi="Times New Roman" w:eastAsia="楷体" w:cs="Times New Roman"/>
                <w:sz w:val="24"/>
                <w:szCs w:val="21"/>
              </w:rPr>
            </w:pPr>
          </w:p>
        </w:tc>
        <w:tc>
          <w:tcPr>
            <w:tcW w:w="1185" w:type="dxa"/>
            <w:vAlign w:val="center"/>
          </w:tcPr>
          <w:p w14:paraId="7283A30E">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占地面积（㎡）</w:t>
            </w:r>
          </w:p>
        </w:tc>
        <w:tc>
          <w:tcPr>
            <w:tcW w:w="1560" w:type="dxa"/>
            <w:vAlign w:val="center"/>
          </w:tcPr>
          <w:p w14:paraId="3F1337F0">
            <w:pPr>
              <w:widowControl w:val="0"/>
              <w:kinsoku/>
              <w:jc w:val="center"/>
              <w:rPr>
                <w:rFonts w:ascii="Times New Roman" w:hAnsi="Times New Roman" w:eastAsia="楷体" w:cs="Times New Roman"/>
                <w:sz w:val="24"/>
              </w:rPr>
            </w:pPr>
          </w:p>
        </w:tc>
        <w:tc>
          <w:tcPr>
            <w:tcW w:w="1305" w:type="dxa"/>
            <w:vAlign w:val="center"/>
          </w:tcPr>
          <w:p w14:paraId="5F55C2BC">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建筑高度</w:t>
            </w:r>
          </w:p>
        </w:tc>
        <w:tc>
          <w:tcPr>
            <w:tcW w:w="2127" w:type="dxa"/>
            <w:tcBorders>
              <w:right w:val="single" w:color="auto" w:sz="12" w:space="0"/>
            </w:tcBorders>
            <w:vAlign w:val="center"/>
          </w:tcPr>
          <w:p w14:paraId="781C8A40">
            <w:pPr>
              <w:widowControl w:val="0"/>
              <w:kinsoku/>
              <w:rPr>
                <w:rFonts w:ascii="Times New Roman" w:hAnsi="Times New Roman" w:eastAsia="楷体" w:cs="Times New Roman"/>
                <w:sz w:val="24"/>
              </w:rPr>
            </w:pPr>
          </w:p>
        </w:tc>
      </w:tr>
      <w:tr w14:paraId="593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6" w:type="dxa"/>
            <w:gridSpan w:val="2"/>
            <w:tcBorders>
              <w:left w:val="single" w:color="auto" w:sz="12" w:space="0"/>
            </w:tcBorders>
            <w:vAlign w:val="center"/>
          </w:tcPr>
          <w:p w14:paraId="70F13F9A">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消防安全责任人</w:t>
            </w:r>
          </w:p>
        </w:tc>
        <w:tc>
          <w:tcPr>
            <w:tcW w:w="2198" w:type="dxa"/>
            <w:gridSpan w:val="2"/>
            <w:vAlign w:val="center"/>
          </w:tcPr>
          <w:p w14:paraId="7221DCD8">
            <w:pPr>
              <w:widowControl w:val="0"/>
              <w:kinsoku/>
              <w:jc w:val="center"/>
              <w:rPr>
                <w:rFonts w:ascii="Times New Roman" w:hAnsi="Times New Roman" w:eastAsia="楷体" w:cs="Times New Roman"/>
                <w:sz w:val="24"/>
                <w:lang w:eastAsia="zh-CN"/>
              </w:rPr>
            </w:pPr>
          </w:p>
        </w:tc>
        <w:tc>
          <w:tcPr>
            <w:tcW w:w="1185" w:type="dxa"/>
            <w:vAlign w:val="center"/>
          </w:tcPr>
          <w:p w14:paraId="18224BDF">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76C57829">
            <w:pPr>
              <w:widowControl w:val="0"/>
              <w:kinsoku/>
              <w:jc w:val="center"/>
              <w:rPr>
                <w:rFonts w:ascii="Times New Roman" w:hAnsi="Times New Roman" w:eastAsia="楷体" w:cs="Times New Roman"/>
                <w:sz w:val="24"/>
              </w:rPr>
            </w:pPr>
          </w:p>
        </w:tc>
        <w:tc>
          <w:tcPr>
            <w:tcW w:w="1305" w:type="dxa"/>
            <w:vAlign w:val="center"/>
          </w:tcPr>
          <w:p w14:paraId="109FA80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57FE7E3E">
            <w:pPr>
              <w:widowControl w:val="0"/>
              <w:kinsoku/>
              <w:rPr>
                <w:rFonts w:ascii="Times New Roman" w:hAnsi="Times New Roman" w:eastAsia="楷体" w:cs="Times New Roman"/>
                <w:sz w:val="24"/>
              </w:rPr>
            </w:pPr>
          </w:p>
        </w:tc>
      </w:tr>
      <w:tr w14:paraId="7CA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6" w:type="dxa"/>
            <w:gridSpan w:val="2"/>
            <w:tcBorders>
              <w:left w:val="single" w:color="auto" w:sz="12" w:space="0"/>
            </w:tcBorders>
            <w:vAlign w:val="center"/>
          </w:tcPr>
          <w:p w14:paraId="3A6B3FE5">
            <w:pPr>
              <w:widowControl w:val="0"/>
              <w:kinsoku/>
              <w:jc w:val="center"/>
              <w:rPr>
                <w:rFonts w:ascii="Times New Roman" w:hAnsi="Times New Roman" w:eastAsia="黑体" w:cs="Times New Roman"/>
                <w:sz w:val="24"/>
              </w:rPr>
            </w:pPr>
            <w:r>
              <w:rPr>
                <w:rFonts w:ascii="Times New Roman" w:hAnsi="Times New Roman" w:eastAsia="黑体" w:cs="Times New Roman"/>
                <w:sz w:val="24"/>
              </w:rPr>
              <w:t>消防安全管理人</w:t>
            </w:r>
          </w:p>
        </w:tc>
        <w:tc>
          <w:tcPr>
            <w:tcW w:w="2198" w:type="dxa"/>
            <w:gridSpan w:val="2"/>
            <w:vAlign w:val="center"/>
          </w:tcPr>
          <w:p w14:paraId="3F7EF8D3">
            <w:pPr>
              <w:widowControl w:val="0"/>
              <w:kinsoku/>
              <w:jc w:val="center"/>
              <w:rPr>
                <w:rFonts w:ascii="Times New Roman" w:hAnsi="Times New Roman" w:eastAsia="楷体" w:cs="Times New Roman"/>
                <w:sz w:val="24"/>
              </w:rPr>
            </w:pPr>
          </w:p>
        </w:tc>
        <w:tc>
          <w:tcPr>
            <w:tcW w:w="1185" w:type="dxa"/>
            <w:vAlign w:val="center"/>
          </w:tcPr>
          <w:p w14:paraId="051C9F2E">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36136A19">
            <w:pPr>
              <w:widowControl w:val="0"/>
              <w:kinsoku/>
              <w:jc w:val="center"/>
              <w:rPr>
                <w:rFonts w:ascii="Times New Roman" w:hAnsi="Times New Roman" w:eastAsia="楷体" w:cs="Times New Roman"/>
                <w:sz w:val="24"/>
              </w:rPr>
            </w:pPr>
          </w:p>
        </w:tc>
        <w:tc>
          <w:tcPr>
            <w:tcW w:w="1305" w:type="dxa"/>
            <w:vAlign w:val="center"/>
          </w:tcPr>
          <w:p w14:paraId="21DA1860">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46E5E5CE">
            <w:pPr>
              <w:widowControl w:val="0"/>
              <w:kinsoku/>
              <w:rPr>
                <w:rFonts w:ascii="Times New Roman" w:hAnsi="Times New Roman" w:eastAsia="楷体" w:cs="Times New Roman"/>
                <w:sz w:val="24"/>
              </w:rPr>
            </w:pPr>
          </w:p>
        </w:tc>
      </w:tr>
      <w:tr w14:paraId="56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56" w:type="dxa"/>
            <w:gridSpan w:val="2"/>
            <w:tcBorders>
              <w:left w:val="single" w:color="auto" w:sz="12" w:space="0"/>
            </w:tcBorders>
            <w:vAlign w:val="center"/>
          </w:tcPr>
          <w:p w14:paraId="34D97B51">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联系人</w:t>
            </w:r>
          </w:p>
        </w:tc>
        <w:tc>
          <w:tcPr>
            <w:tcW w:w="2198" w:type="dxa"/>
            <w:gridSpan w:val="2"/>
            <w:vAlign w:val="center"/>
          </w:tcPr>
          <w:p w14:paraId="165CA2FA">
            <w:pPr>
              <w:widowControl w:val="0"/>
              <w:kinsoku/>
              <w:jc w:val="center"/>
              <w:rPr>
                <w:rFonts w:ascii="Times New Roman" w:hAnsi="Times New Roman" w:eastAsia="楷体" w:cs="Times New Roman"/>
                <w:sz w:val="24"/>
                <w:lang w:eastAsia="zh-CN"/>
              </w:rPr>
            </w:pPr>
          </w:p>
        </w:tc>
        <w:tc>
          <w:tcPr>
            <w:tcW w:w="1185" w:type="dxa"/>
            <w:vAlign w:val="center"/>
          </w:tcPr>
          <w:p w14:paraId="7AE50E68">
            <w:pPr>
              <w:widowControl w:val="0"/>
              <w:kinsoku/>
              <w:jc w:val="center"/>
              <w:rPr>
                <w:rFonts w:ascii="Times New Roman" w:hAnsi="Times New Roman" w:eastAsia="黑体" w:cs="Times New Roman"/>
                <w:sz w:val="24"/>
              </w:rPr>
            </w:pPr>
            <w:r>
              <w:rPr>
                <w:rFonts w:ascii="Times New Roman" w:hAnsi="Times New Roman" w:eastAsia="黑体" w:cs="Times New Roman"/>
                <w:sz w:val="24"/>
                <w:lang w:eastAsia="zh-CN"/>
              </w:rPr>
              <w:t>职 务</w:t>
            </w:r>
          </w:p>
        </w:tc>
        <w:tc>
          <w:tcPr>
            <w:tcW w:w="1560" w:type="dxa"/>
            <w:vAlign w:val="center"/>
          </w:tcPr>
          <w:p w14:paraId="4066B7D3">
            <w:pPr>
              <w:widowControl w:val="0"/>
              <w:kinsoku/>
              <w:jc w:val="center"/>
              <w:rPr>
                <w:rFonts w:ascii="Times New Roman" w:hAnsi="Times New Roman" w:eastAsia="楷体" w:cs="Times New Roman"/>
                <w:sz w:val="24"/>
              </w:rPr>
            </w:pPr>
          </w:p>
        </w:tc>
        <w:tc>
          <w:tcPr>
            <w:tcW w:w="1305" w:type="dxa"/>
            <w:vAlign w:val="center"/>
          </w:tcPr>
          <w:p w14:paraId="3FA6DFD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7FE6DC53">
            <w:pPr>
              <w:widowControl w:val="0"/>
              <w:kinsoku/>
              <w:rPr>
                <w:rFonts w:ascii="Times New Roman" w:hAnsi="Times New Roman" w:eastAsia="楷体" w:cs="Times New Roman"/>
                <w:sz w:val="24"/>
              </w:rPr>
            </w:pPr>
          </w:p>
        </w:tc>
      </w:tr>
      <w:tr w14:paraId="79B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31" w:type="dxa"/>
            <w:gridSpan w:val="8"/>
            <w:tcBorders>
              <w:left w:val="single" w:color="auto" w:sz="12" w:space="0"/>
              <w:right w:val="single" w:color="auto" w:sz="12" w:space="0"/>
            </w:tcBorders>
            <w:shd w:val="clear" w:color="auto" w:fill="auto"/>
            <w:vAlign w:val="center"/>
          </w:tcPr>
          <w:p w14:paraId="3B6A5803">
            <w:pPr>
              <w:widowControl w:val="0"/>
              <w:kinsoku/>
              <w:jc w:val="center"/>
              <w:rPr>
                <w:rFonts w:ascii="Times New Roman" w:hAnsi="Times New Roman" w:eastAsia="楷体" w:cs="Times New Roman"/>
                <w:sz w:val="24"/>
                <w:lang w:eastAsia="zh-CN"/>
              </w:rPr>
            </w:pPr>
            <w:r>
              <w:rPr>
                <w:rFonts w:ascii="Times New Roman" w:hAnsi="Times New Roman" w:eastAsia="楷体" w:cs="Times New Roman"/>
                <w:b/>
                <w:bCs/>
                <w:sz w:val="32"/>
                <w:szCs w:val="24"/>
                <w:lang w:eastAsia="zh-CN"/>
              </w:rPr>
              <w:t>单位使用性质详情（勾选）</w:t>
            </w:r>
          </w:p>
        </w:tc>
      </w:tr>
      <w:tr w14:paraId="395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74" w:type="dxa"/>
            <w:vMerge w:val="restart"/>
            <w:tcBorders>
              <w:left w:val="single" w:color="auto" w:sz="12" w:space="0"/>
            </w:tcBorders>
            <w:shd w:val="clear" w:color="auto" w:fill="auto"/>
            <w:vAlign w:val="center"/>
          </w:tcPr>
          <w:p w14:paraId="38FDD90F">
            <w:pPr>
              <w:widowControl w:val="0"/>
              <w:kinsoku/>
              <w:spacing w:line="240" w:lineRule="exact"/>
              <w:ind w:left="425" w:hanging="425"/>
              <w:jc w:val="center"/>
              <w:rPr>
                <w:rFonts w:ascii="Times New Roman" w:hAnsi="Times New Roman" w:cs="Times New Roman"/>
                <w:b/>
                <w:bCs/>
              </w:rPr>
            </w:pPr>
            <w:r>
              <w:rPr>
                <w:rFonts w:ascii="Times New Roman" w:hAnsi="Times New Roman" w:cs="Times New Roman"/>
                <w:b/>
                <w:bCs/>
              </w:rPr>
              <w:t>1</w:t>
            </w:r>
          </w:p>
        </w:tc>
        <w:tc>
          <w:tcPr>
            <w:tcW w:w="9957" w:type="dxa"/>
            <w:gridSpan w:val="7"/>
            <w:tcBorders>
              <w:right w:val="single" w:color="auto" w:sz="12" w:space="0"/>
            </w:tcBorders>
            <w:shd w:val="clear" w:color="auto" w:fill="auto"/>
            <w:vAlign w:val="center"/>
          </w:tcPr>
          <w:p w14:paraId="7D7CD75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商场（市场）、宾馆（饭店）、体育场（馆）、会堂、公共娱乐场所等公众聚集场所：</w:t>
            </w:r>
          </w:p>
        </w:tc>
      </w:tr>
      <w:tr w14:paraId="27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474" w:type="dxa"/>
            <w:vMerge w:val="continue"/>
            <w:tcBorders>
              <w:left w:val="single" w:color="auto" w:sz="12" w:space="0"/>
            </w:tcBorders>
            <w:shd w:val="clear" w:color="auto" w:fill="auto"/>
            <w:vAlign w:val="center"/>
          </w:tcPr>
          <w:p w14:paraId="03E3B470">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18DD50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□建筑面积在3000平方米（含本数，下同）以上或经营摊位100个以上的可燃商品的商场；</w:t>
            </w:r>
          </w:p>
          <w:p w14:paraId="4931303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□占地面积超过5000平方米的室内集贸市场、固定摊位数超过200个的室内批发市场；</w:t>
            </w:r>
          </w:p>
          <w:p w14:paraId="7F12EE2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□三星级（或者相当于三星级）及以上的宾（旅）馆或者总床位数超过100张（含本数，下同）普通的旅馆及产妇住宿床位在50张以上的孕婴服务场所；</w:t>
            </w:r>
          </w:p>
          <w:p w14:paraId="1446BE3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□总建筑面积超过3000平方米</w:t>
            </w:r>
            <w:r>
              <w:rPr>
                <w:rFonts w:hint="eastAsia" w:ascii="Times New Roman" w:hAnsi="Times New Roman" w:eastAsia="楷体" w:cs="Times New Roman"/>
                <w:lang w:eastAsia="zh-CN"/>
              </w:rPr>
              <w:t>的</w:t>
            </w:r>
            <w:r>
              <w:rPr>
                <w:rFonts w:ascii="Times New Roman" w:hAnsi="Times New Roman" w:eastAsia="楷体" w:cs="Times New Roman"/>
                <w:lang w:eastAsia="zh-CN"/>
              </w:rPr>
              <w:t>对公众开放的体育场馆、会堂、礼堂；</w:t>
            </w:r>
          </w:p>
          <w:p w14:paraId="78FBDD14">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□建筑面积超过2500平方米的影剧院、放映厅等演出、放映场所；</w:t>
            </w:r>
          </w:p>
          <w:p w14:paraId="715D42B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□建筑面积超过500平方米的歌舞厅、卡拉OK厅等歌舞娱乐场所，具有娱乐功能的夜总会、音乐茶座和餐饮场所；</w:t>
            </w:r>
          </w:p>
          <w:p w14:paraId="21D49F6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74F2F15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□建筑面积超过500平方米的剧本杀、密室逃脱等“新兴娱乐”场所。</w:t>
            </w:r>
          </w:p>
        </w:tc>
      </w:tr>
      <w:tr w14:paraId="3DE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74" w:type="dxa"/>
            <w:vMerge w:val="restart"/>
            <w:tcBorders>
              <w:left w:val="single" w:color="auto" w:sz="12" w:space="0"/>
            </w:tcBorders>
            <w:shd w:val="clear" w:color="auto" w:fill="auto"/>
            <w:vAlign w:val="center"/>
          </w:tcPr>
          <w:p w14:paraId="372303B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2</w:t>
            </w:r>
          </w:p>
        </w:tc>
        <w:tc>
          <w:tcPr>
            <w:tcW w:w="9957" w:type="dxa"/>
            <w:gridSpan w:val="7"/>
            <w:tcBorders>
              <w:right w:val="single" w:color="auto" w:sz="12" w:space="0"/>
            </w:tcBorders>
            <w:shd w:val="clear" w:color="auto" w:fill="auto"/>
            <w:vAlign w:val="center"/>
          </w:tcPr>
          <w:p w14:paraId="5551CAF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医院、养老院和寄宿制的学校、托儿所、幼儿园：</w:t>
            </w:r>
          </w:p>
        </w:tc>
      </w:tr>
      <w:tr w14:paraId="497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4" w:type="dxa"/>
            <w:vMerge w:val="continue"/>
            <w:tcBorders>
              <w:left w:val="single" w:color="auto" w:sz="12" w:space="0"/>
            </w:tcBorders>
            <w:shd w:val="clear" w:color="auto" w:fill="auto"/>
            <w:vAlign w:val="center"/>
          </w:tcPr>
          <w:p w14:paraId="156587CB">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317423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□住院床位在100张以上的医院；</w:t>
            </w:r>
          </w:p>
          <w:p w14:paraId="5E5374F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□老人住宿床位在100张以上的养老院、敬老院等老年人照料设施及福利院等；</w:t>
            </w:r>
          </w:p>
          <w:p w14:paraId="42BC25C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□学生住宿床位在300张以上的寄宿制学校；</w:t>
            </w:r>
          </w:p>
          <w:p w14:paraId="4702975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□幼儿人数在300人以上的托儿所、幼儿园或者幼儿住宿床位50张以上的托儿所、幼儿园（不含午托）。</w:t>
            </w:r>
          </w:p>
        </w:tc>
      </w:tr>
      <w:tr w14:paraId="12C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74" w:type="dxa"/>
            <w:vMerge w:val="restart"/>
            <w:tcBorders>
              <w:left w:val="single" w:color="auto" w:sz="12" w:space="0"/>
            </w:tcBorders>
            <w:shd w:val="clear" w:color="auto" w:fill="auto"/>
            <w:vAlign w:val="center"/>
          </w:tcPr>
          <w:p w14:paraId="1EFA2A3E">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3</w:t>
            </w:r>
          </w:p>
        </w:tc>
        <w:tc>
          <w:tcPr>
            <w:tcW w:w="9957" w:type="dxa"/>
            <w:gridSpan w:val="7"/>
            <w:tcBorders>
              <w:right w:val="single" w:color="auto" w:sz="12" w:space="0"/>
            </w:tcBorders>
            <w:shd w:val="clear" w:color="auto" w:fill="auto"/>
            <w:vAlign w:val="center"/>
          </w:tcPr>
          <w:p w14:paraId="7E3357F9">
            <w:pPr>
              <w:widowControl w:val="0"/>
              <w:kinsoku/>
              <w:spacing w:line="240" w:lineRule="exact"/>
              <w:rPr>
                <w:rFonts w:ascii="Times New Roman" w:hAnsi="Times New Roman" w:eastAsia="楷体" w:cs="Times New Roman"/>
              </w:rPr>
            </w:pPr>
            <w:r>
              <w:rPr>
                <w:rFonts w:ascii="Times New Roman" w:hAnsi="Times New Roman" w:eastAsia="楷体" w:cs="Times New Roman"/>
                <w:b/>
                <w:bCs/>
              </w:rPr>
              <w:t>国家机关</w:t>
            </w:r>
            <w:r>
              <w:rPr>
                <w:rFonts w:ascii="Times New Roman" w:hAnsi="Times New Roman" w:eastAsia="楷体" w:cs="Times New Roman"/>
                <w:b/>
                <w:bCs/>
                <w:lang w:eastAsia="zh-CN"/>
              </w:rPr>
              <w:t>：</w:t>
            </w:r>
          </w:p>
        </w:tc>
      </w:tr>
      <w:tr w14:paraId="5C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74" w:type="dxa"/>
            <w:vMerge w:val="continue"/>
            <w:tcBorders>
              <w:left w:val="single" w:color="auto" w:sz="12" w:space="0"/>
            </w:tcBorders>
            <w:shd w:val="clear" w:color="auto" w:fill="auto"/>
            <w:vAlign w:val="center"/>
          </w:tcPr>
          <w:p w14:paraId="5A562A09">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6C85988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□县级以上的党委、人大、政府、政协机关；□县级以上的人民检察院、人民法院。</w:t>
            </w:r>
          </w:p>
        </w:tc>
      </w:tr>
      <w:tr w14:paraId="34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74" w:type="dxa"/>
            <w:vMerge w:val="restart"/>
            <w:tcBorders>
              <w:left w:val="single" w:color="auto" w:sz="12" w:space="0"/>
            </w:tcBorders>
            <w:shd w:val="clear" w:color="auto" w:fill="auto"/>
            <w:vAlign w:val="center"/>
          </w:tcPr>
          <w:p w14:paraId="4A062869">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4</w:t>
            </w:r>
          </w:p>
        </w:tc>
        <w:tc>
          <w:tcPr>
            <w:tcW w:w="9957" w:type="dxa"/>
            <w:gridSpan w:val="7"/>
            <w:tcBorders>
              <w:right w:val="single" w:color="auto" w:sz="12" w:space="0"/>
            </w:tcBorders>
            <w:shd w:val="clear" w:color="auto" w:fill="auto"/>
            <w:vAlign w:val="center"/>
          </w:tcPr>
          <w:p w14:paraId="69491A9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广播、电视和邮政、通信枢纽：</w:t>
            </w:r>
          </w:p>
        </w:tc>
      </w:tr>
      <w:tr w14:paraId="335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4" w:type="dxa"/>
            <w:vMerge w:val="continue"/>
            <w:tcBorders>
              <w:left w:val="single" w:color="auto" w:sz="12" w:space="0"/>
            </w:tcBorders>
            <w:shd w:val="clear" w:color="auto" w:fill="auto"/>
            <w:vAlign w:val="center"/>
          </w:tcPr>
          <w:p w14:paraId="640386A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651986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□县级以上城镇的邮政、通信枢纽单位、广播电视台。</w:t>
            </w:r>
          </w:p>
        </w:tc>
      </w:tr>
      <w:tr w14:paraId="11F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color="auto" w:fill="auto"/>
            <w:vAlign w:val="center"/>
          </w:tcPr>
          <w:p w14:paraId="2B6004AA">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5</w:t>
            </w:r>
          </w:p>
        </w:tc>
        <w:tc>
          <w:tcPr>
            <w:tcW w:w="9957" w:type="dxa"/>
            <w:gridSpan w:val="7"/>
            <w:tcBorders>
              <w:right w:val="single" w:color="auto" w:sz="12" w:space="0"/>
            </w:tcBorders>
            <w:shd w:val="clear" w:color="auto" w:fill="auto"/>
            <w:vAlign w:val="center"/>
          </w:tcPr>
          <w:p w14:paraId="1D9FAEA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客运车站、民用机场：</w:t>
            </w:r>
          </w:p>
        </w:tc>
      </w:tr>
      <w:tr w14:paraId="76D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4" w:type="dxa"/>
            <w:vMerge w:val="continue"/>
            <w:tcBorders>
              <w:left w:val="single" w:color="auto" w:sz="12" w:space="0"/>
            </w:tcBorders>
            <w:shd w:val="clear" w:color="auto" w:fill="auto"/>
            <w:vAlign w:val="center"/>
          </w:tcPr>
          <w:p w14:paraId="05337B6A">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17CABB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□建筑面积超过3000平方米的客运车站候车室；□民用机场航站楼。</w:t>
            </w:r>
          </w:p>
        </w:tc>
      </w:tr>
      <w:tr w14:paraId="1A4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74" w:type="dxa"/>
            <w:vMerge w:val="restart"/>
            <w:tcBorders>
              <w:left w:val="single" w:color="auto" w:sz="12" w:space="0"/>
            </w:tcBorders>
            <w:shd w:val="clear" w:color="auto" w:fill="auto"/>
            <w:vAlign w:val="center"/>
          </w:tcPr>
          <w:p w14:paraId="6718E2C0">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6</w:t>
            </w:r>
          </w:p>
        </w:tc>
        <w:tc>
          <w:tcPr>
            <w:tcW w:w="9957" w:type="dxa"/>
            <w:gridSpan w:val="7"/>
            <w:tcBorders>
              <w:right w:val="single" w:color="auto" w:sz="12" w:space="0"/>
            </w:tcBorders>
            <w:shd w:val="clear" w:color="auto" w:fill="auto"/>
            <w:vAlign w:val="center"/>
          </w:tcPr>
          <w:p w14:paraId="40BFD49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公共图书馆、展览馆、博物馆、档案馆以及具有火灾危险性的文物保护单位：</w:t>
            </w:r>
          </w:p>
        </w:tc>
      </w:tr>
      <w:tr w14:paraId="19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360FA81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91570D1">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□建筑面积超过2000平方米的公共图书馆、展览馆；□公共博物馆、档案馆；</w:t>
            </w:r>
          </w:p>
          <w:p w14:paraId="6695C01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□具有火灾危险性的省级以上文物保护单位。</w:t>
            </w:r>
          </w:p>
        </w:tc>
      </w:tr>
      <w:tr w14:paraId="58C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dxa"/>
            <w:vMerge w:val="restart"/>
            <w:tcBorders>
              <w:left w:val="single" w:color="auto" w:sz="12" w:space="0"/>
            </w:tcBorders>
            <w:shd w:val="clear" w:color="auto" w:fill="auto"/>
            <w:vAlign w:val="center"/>
          </w:tcPr>
          <w:p w14:paraId="5C7B2C1C">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7</w:t>
            </w:r>
          </w:p>
        </w:tc>
        <w:tc>
          <w:tcPr>
            <w:tcW w:w="9957" w:type="dxa"/>
            <w:gridSpan w:val="7"/>
            <w:tcBorders>
              <w:right w:val="single" w:color="auto" w:sz="12" w:space="0"/>
            </w:tcBorders>
            <w:shd w:val="clear" w:color="auto" w:fill="auto"/>
            <w:vAlign w:val="center"/>
          </w:tcPr>
          <w:p w14:paraId="7C580B9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旅游、宗教活动场所：</w:t>
            </w:r>
          </w:p>
        </w:tc>
      </w:tr>
      <w:tr w14:paraId="6F8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2B4DE92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40143A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□4A级以上的旅游风景区；□总建筑面积超过2000平方米的宗教活动场所。</w:t>
            </w:r>
          </w:p>
        </w:tc>
      </w:tr>
      <w:tr w14:paraId="15C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4" w:type="dxa"/>
            <w:vMerge w:val="restart"/>
            <w:tcBorders>
              <w:left w:val="single" w:color="auto" w:sz="12" w:space="0"/>
            </w:tcBorders>
            <w:shd w:val="clear" w:color="auto" w:fill="auto"/>
            <w:vAlign w:val="center"/>
          </w:tcPr>
          <w:p w14:paraId="05A2F6B2">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8</w:t>
            </w:r>
          </w:p>
        </w:tc>
        <w:tc>
          <w:tcPr>
            <w:tcW w:w="9957" w:type="dxa"/>
            <w:gridSpan w:val="7"/>
            <w:tcBorders>
              <w:right w:val="single" w:color="auto" w:sz="12" w:space="0"/>
            </w:tcBorders>
            <w:shd w:val="clear" w:color="auto" w:fill="auto"/>
            <w:vAlign w:val="center"/>
          </w:tcPr>
          <w:p w14:paraId="57DEB4D9">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发电厂（站）和电网经营企业：</w:t>
            </w:r>
          </w:p>
        </w:tc>
      </w:tr>
      <w:tr w14:paraId="465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CD920B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C45B454">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□100MW以上的火力发电厂、50MW以上的水力发电厂；□承担省、市、县（区）电力调度单位；</w:t>
            </w:r>
          </w:p>
          <w:p w14:paraId="15B7C6C3">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□交流330千伏及以上、直流±500千伏及以上变电站；□储能电站。</w:t>
            </w:r>
          </w:p>
        </w:tc>
      </w:tr>
      <w:tr w14:paraId="073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dxa"/>
            <w:vMerge w:val="restart"/>
            <w:tcBorders>
              <w:left w:val="single" w:color="auto" w:sz="12" w:space="0"/>
            </w:tcBorders>
            <w:shd w:val="clear" w:color="auto" w:fill="auto"/>
            <w:vAlign w:val="center"/>
          </w:tcPr>
          <w:p w14:paraId="27A03DE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9</w:t>
            </w:r>
          </w:p>
        </w:tc>
        <w:tc>
          <w:tcPr>
            <w:tcW w:w="9957" w:type="dxa"/>
            <w:gridSpan w:val="7"/>
            <w:tcBorders>
              <w:right w:val="single" w:color="auto" w:sz="12" w:space="0"/>
            </w:tcBorders>
            <w:shd w:val="clear" w:color="auto" w:fill="auto"/>
            <w:vAlign w:val="center"/>
          </w:tcPr>
          <w:p w14:paraId="497421B5">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易燃易爆化学物品的生产、充装、存储、供应、销售单位：</w:t>
            </w:r>
          </w:p>
        </w:tc>
      </w:tr>
      <w:tr w14:paraId="631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4" w:type="dxa"/>
            <w:vMerge w:val="continue"/>
            <w:tcBorders>
              <w:left w:val="single" w:color="auto" w:sz="12" w:space="0"/>
            </w:tcBorders>
            <w:shd w:val="clear" w:color="auto" w:fill="auto"/>
            <w:vAlign w:val="center"/>
          </w:tcPr>
          <w:p w14:paraId="7168DD06">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EF41C59">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□工艺装置占地面积超过5000平方米的石化、煤化等化工单位；</w:t>
            </w:r>
          </w:p>
          <w:p w14:paraId="55F07532">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□总建筑面积超过1500平方米的甲类厂房，或者总建筑面积超过2000平方米的甲、乙类厂房；</w:t>
            </w:r>
          </w:p>
          <w:p w14:paraId="37E4E47E">
            <w:pPr>
              <w:widowControl w:val="0"/>
              <w:kinsoku/>
              <w:spacing w:line="240" w:lineRule="exact"/>
              <w:ind w:left="105" w:hanging="105" w:hangingChars="50"/>
              <w:rPr>
                <w:rFonts w:ascii="Times New Roman" w:hAnsi="Times New Roman" w:cs="Times New Roman" w:eastAsiaTheme="minorEastAsia"/>
                <w:lang w:eastAsia="zh-CN"/>
              </w:rPr>
            </w:pPr>
            <w:r>
              <w:rPr>
                <w:rFonts w:ascii="Times New Roman" w:hAnsi="Times New Roman" w:eastAsia="楷体" w:cs="Times New Roman"/>
                <w:lang w:eastAsia="zh-CN"/>
              </w:rPr>
              <w:t>□总容量500立方米以上的可燃气体灌装站、调压站。</w:t>
            </w:r>
          </w:p>
        </w:tc>
      </w:tr>
      <w:tr w14:paraId="359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4" w:type="dxa"/>
            <w:vMerge w:val="continue"/>
            <w:tcBorders>
              <w:left w:val="single" w:color="auto" w:sz="12" w:space="0"/>
            </w:tcBorders>
            <w:shd w:val="clear" w:color="auto" w:fill="auto"/>
            <w:vAlign w:val="center"/>
          </w:tcPr>
          <w:p w14:paraId="3441142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AEF243">
            <w:pPr>
              <w:widowControl w:val="0"/>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储存易燃易爆化学物品的专用仓库（堆场、储罐场所）：</w:t>
            </w:r>
          </w:p>
        </w:tc>
      </w:tr>
      <w:tr w14:paraId="7A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color="auto" w:fill="auto"/>
            <w:vAlign w:val="center"/>
          </w:tcPr>
          <w:p w14:paraId="10E370AF">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6C67E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□单座容积超过5000立方米或者总容积超过10000立方米的甲乙类储罐；</w:t>
            </w:r>
          </w:p>
          <w:p w14:paraId="3CDAF4B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□单座容积超过500立方米或者总容积超过2000立方米的液化烃（含液化石油气）储罐</w:t>
            </w:r>
            <w:r>
              <w:rPr>
                <w:rFonts w:hint="eastAsia" w:ascii="Times New Roman" w:hAnsi="Times New Roman" w:eastAsia="楷体" w:cs="Times New Roman"/>
                <w:lang w:eastAsia="zh-CN"/>
              </w:rPr>
              <w:t>；</w:t>
            </w:r>
          </w:p>
          <w:p w14:paraId="0066927D">
            <w:pPr>
              <w:widowControl w:val="0"/>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□总建筑面积超过750平方米的甲类仓库，或者总建筑面积超过2000平方米的甲、乙类仓库。</w:t>
            </w:r>
          </w:p>
        </w:tc>
      </w:tr>
      <w:tr w14:paraId="06D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4" w:type="dxa"/>
            <w:vMerge w:val="restart"/>
            <w:tcBorders>
              <w:left w:val="single" w:color="auto" w:sz="12" w:space="0"/>
            </w:tcBorders>
            <w:shd w:val="clear" w:color="auto" w:fill="auto"/>
            <w:vAlign w:val="center"/>
          </w:tcPr>
          <w:p w14:paraId="238CED55">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10</w:t>
            </w:r>
          </w:p>
        </w:tc>
        <w:tc>
          <w:tcPr>
            <w:tcW w:w="9957" w:type="dxa"/>
            <w:gridSpan w:val="7"/>
            <w:tcBorders>
              <w:right w:val="single" w:color="auto" w:sz="12" w:space="0"/>
            </w:tcBorders>
            <w:shd w:val="clear" w:color="auto" w:fill="auto"/>
            <w:vAlign w:val="center"/>
          </w:tcPr>
          <w:p w14:paraId="7079AC91">
            <w:pPr>
              <w:widowControl w:val="0"/>
              <w:kinsoku/>
              <w:spacing w:line="240" w:lineRule="exact"/>
              <w:rPr>
                <w:rFonts w:ascii="Times New Roman" w:hAnsi="Times New Roman" w:eastAsia="楷体" w:cs="Times New Roman"/>
              </w:rPr>
            </w:pPr>
            <w:r>
              <w:rPr>
                <w:rFonts w:ascii="Times New Roman" w:hAnsi="Times New Roman" w:eastAsia="楷体" w:cs="Times New Roman"/>
                <w:b/>
                <w:bCs/>
                <w:lang w:eastAsia="zh-CN"/>
              </w:rPr>
              <w:t>生产、加工企业：</w:t>
            </w:r>
          </w:p>
        </w:tc>
      </w:tr>
      <w:tr w14:paraId="3FA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16D4FCF0">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03F841AF">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□生产车间员工在100人以上的服装、鞋帽、玩具、木制品、家具、塑料、食品加工和纺织、印染等劳动密集型企业；</w:t>
            </w:r>
          </w:p>
          <w:p w14:paraId="65FC766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□总建筑面积在2000平方米（西安5000平方米）以上的洁净厂房、电子厂房；</w:t>
            </w:r>
          </w:p>
          <w:p w14:paraId="2157C848">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□总建筑面积在6000平方米（西安10000平方米）以上的丙类厂房。</w:t>
            </w:r>
          </w:p>
        </w:tc>
      </w:tr>
      <w:tr w14:paraId="46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jc w:val="center"/>
        </w:trPr>
        <w:tc>
          <w:tcPr>
            <w:tcW w:w="474" w:type="dxa"/>
            <w:vMerge w:val="restart"/>
            <w:tcBorders>
              <w:left w:val="single" w:color="auto" w:sz="12" w:space="0"/>
            </w:tcBorders>
            <w:shd w:val="clear" w:color="auto" w:fill="auto"/>
            <w:vAlign w:val="center"/>
          </w:tcPr>
          <w:p w14:paraId="249300B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11</w:t>
            </w:r>
          </w:p>
        </w:tc>
        <w:tc>
          <w:tcPr>
            <w:tcW w:w="9957" w:type="dxa"/>
            <w:gridSpan w:val="7"/>
            <w:tcBorders>
              <w:right w:val="single" w:color="auto" w:sz="12" w:space="0"/>
            </w:tcBorders>
            <w:shd w:val="clear" w:color="auto" w:fill="auto"/>
            <w:vAlign w:val="center"/>
          </w:tcPr>
          <w:p w14:paraId="368FD3A3">
            <w:pPr>
              <w:widowControl w:val="0"/>
              <w:kinsoku/>
              <w:spacing w:line="240" w:lineRule="exact"/>
              <w:rPr>
                <w:rFonts w:ascii="Times New Roman" w:hAnsi="Times New Roman" w:eastAsia="方正黑体_GBK" w:cs="Times New Roman"/>
              </w:rPr>
            </w:pPr>
            <w:r>
              <w:rPr>
                <w:rFonts w:ascii="Times New Roman" w:hAnsi="Times New Roman" w:eastAsia="楷体" w:cs="Times New Roman"/>
                <w:b/>
                <w:bCs/>
                <w:lang w:eastAsia="zh-CN"/>
              </w:rPr>
              <w:t>重要的科研单位：</w:t>
            </w:r>
          </w:p>
        </w:tc>
      </w:tr>
      <w:tr w14:paraId="68F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F2B6B0B">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48CA5FB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□国家和省级科研单位；□负责国家重点科研项目的科研单位；</w:t>
            </w:r>
          </w:p>
          <w:p w14:paraId="16C6F049">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□储存易燃易爆化学危险物品（甲、乙类）超过300公斤的科研单位。</w:t>
            </w:r>
          </w:p>
        </w:tc>
      </w:tr>
      <w:tr w14:paraId="2D9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4" w:type="dxa"/>
            <w:vMerge w:val="restart"/>
            <w:tcBorders>
              <w:left w:val="single" w:color="auto" w:sz="12" w:space="0"/>
            </w:tcBorders>
            <w:shd w:val="clear" w:color="auto" w:fill="auto"/>
            <w:vAlign w:val="center"/>
          </w:tcPr>
          <w:p w14:paraId="47BF3F67">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12</w:t>
            </w:r>
          </w:p>
        </w:tc>
        <w:tc>
          <w:tcPr>
            <w:tcW w:w="9957" w:type="dxa"/>
            <w:gridSpan w:val="7"/>
            <w:tcBorders>
              <w:right w:val="single" w:color="auto" w:sz="12" w:space="0"/>
            </w:tcBorders>
            <w:shd w:val="clear" w:color="auto" w:fill="auto"/>
            <w:vAlign w:val="center"/>
          </w:tcPr>
          <w:p w14:paraId="0EF023A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高层公共建筑、地下铁道、地下观光隧道、粮、棉、木材、百货等物资仓库和堆场：</w:t>
            </w:r>
          </w:p>
        </w:tc>
      </w:tr>
      <w:tr w14:paraId="424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74" w:type="dxa"/>
            <w:vMerge w:val="continue"/>
            <w:tcBorders>
              <w:left w:val="single" w:color="auto" w:sz="12" w:space="0"/>
            </w:tcBorders>
            <w:shd w:val="clear" w:color="auto" w:fill="auto"/>
            <w:vAlign w:val="center"/>
          </w:tcPr>
          <w:p w14:paraId="26B07545">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A8FA19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□超高层公共建筑、设有符合重点单位界定标准公众聚集场所的一类高层公共建筑；</w:t>
            </w:r>
          </w:p>
          <w:p w14:paraId="53363F2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□城市地下铁道、地下观光隧道等地下公共建筑和城市重要的交通隧道；</w:t>
            </w:r>
          </w:p>
          <w:p w14:paraId="632157D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□国家储备粮库、总数量10000吨以上的其他粮油仓库；</w:t>
            </w:r>
          </w:p>
          <w:p w14:paraId="1134A8E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□总储量500吨以上的棉库；</w:t>
            </w:r>
          </w:p>
          <w:p w14:paraId="2C417EA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□总储量在10000立方米以上的木材堆场；</w:t>
            </w:r>
          </w:p>
          <w:p w14:paraId="67A50F2E">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□单层占地面积超过12000平方米或者多层占地面积超过9600平方米的大型物流仓库。</w:t>
            </w:r>
          </w:p>
        </w:tc>
      </w:tr>
      <w:tr w14:paraId="69B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74" w:type="dxa"/>
            <w:vMerge w:val="restart"/>
            <w:tcBorders>
              <w:left w:val="single" w:color="auto" w:sz="12" w:space="0"/>
            </w:tcBorders>
            <w:shd w:val="clear" w:color="auto" w:fill="auto"/>
            <w:vAlign w:val="center"/>
          </w:tcPr>
          <w:p w14:paraId="50471C3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13</w:t>
            </w:r>
          </w:p>
        </w:tc>
        <w:tc>
          <w:tcPr>
            <w:tcW w:w="9957" w:type="dxa"/>
            <w:gridSpan w:val="7"/>
            <w:tcBorders>
              <w:right w:val="single" w:color="auto" w:sz="12" w:space="0"/>
            </w:tcBorders>
            <w:shd w:val="clear" w:color="auto" w:fill="auto"/>
            <w:vAlign w:val="center"/>
          </w:tcPr>
          <w:p w14:paraId="5311B76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发生火灾可能性较大以及一旦发生火灾可能造成人身重大伤亡或者财产重大损失的单位：</w:t>
            </w:r>
          </w:p>
        </w:tc>
      </w:tr>
      <w:tr w14:paraId="127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tcBorders>
              <w:left w:val="single" w:color="auto" w:sz="12" w:space="0"/>
            </w:tcBorders>
            <w:shd w:val="clear" w:color="auto" w:fill="auto"/>
            <w:vAlign w:val="center"/>
          </w:tcPr>
          <w:p w14:paraId="7F78AFA6">
            <w:pPr>
              <w:widowControl w:val="0"/>
              <w:kinsoku/>
              <w:spacing w:before="156" w:beforeLines="50" w:after="156" w:afterLines="50" w:line="240" w:lineRule="exact"/>
              <w:ind w:right="480"/>
              <w:jc w:val="center"/>
              <w:rPr>
                <w:rFonts w:ascii="Times New Roman" w:hAnsi="Times New Roman" w:eastAsia="楷体" w:cs="Times New Roman"/>
                <w:lang w:eastAsia="zh-CN"/>
              </w:rPr>
            </w:pPr>
          </w:p>
        </w:tc>
        <w:tc>
          <w:tcPr>
            <w:tcW w:w="9957" w:type="dxa"/>
            <w:gridSpan w:val="7"/>
            <w:tcBorders>
              <w:right w:val="single" w:color="auto" w:sz="12" w:space="0"/>
            </w:tcBorders>
            <w:shd w:val="clear" w:color="auto" w:fill="auto"/>
            <w:vAlign w:val="center"/>
          </w:tcPr>
          <w:p w14:paraId="1D3EEF7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□固定资产（建筑、设备、原材料等）价值在5亿元以上的电子、汽车、钢铁、烟草、航天纺织、造纸工业等企业；□银行业、保险业、证券业数据处理中心；□各银行在陕的省级分支机构。</w:t>
            </w:r>
          </w:p>
        </w:tc>
      </w:tr>
      <w:tr w14:paraId="171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3043" w:type="dxa"/>
            <w:gridSpan w:val="3"/>
            <w:tcBorders>
              <w:left w:val="single" w:color="auto" w:sz="12" w:space="0"/>
            </w:tcBorders>
            <w:vAlign w:val="center"/>
          </w:tcPr>
          <w:p w14:paraId="66365224">
            <w:pPr>
              <w:widowControl w:val="0"/>
              <w:kinsoku/>
              <w:jc w:val="center"/>
              <w:rPr>
                <w:rFonts w:hint="eastAsia" w:ascii="黑体" w:hAnsi="黑体" w:eastAsia="黑体" w:cs="Times New Roman"/>
                <w:b/>
                <w:sz w:val="24"/>
              </w:rPr>
            </w:pPr>
            <w:r>
              <w:rPr>
                <w:rFonts w:ascii="黑体" w:hAnsi="黑体" w:eastAsia="黑体" w:cs="Times New Roman"/>
                <w:sz w:val="24"/>
              </w:rPr>
              <w:t>申报单位意见</w:t>
            </w:r>
          </w:p>
        </w:tc>
        <w:tc>
          <w:tcPr>
            <w:tcW w:w="7388" w:type="dxa"/>
            <w:gridSpan w:val="5"/>
            <w:tcBorders>
              <w:right w:val="single" w:color="auto" w:sz="12" w:space="0"/>
            </w:tcBorders>
          </w:tcPr>
          <w:p w14:paraId="1656EA51">
            <w:pPr>
              <w:widowControl w:val="0"/>
              <w:kinsoku/>
              <w:spacing w:before="156" w:beforeLines="50" w:line="320" w:lineRule="exact"/>
              <w:ind w:firstLine="480" w:firstLineChars="200"/>
              <w:rPr>
                <w:rFonts w:ascii="Times New Roman" w:hAnsi="Times New Roman" w:eastAsia="楷体" w:cs="Times New Roman"/>
                <w:sz w:val="24"/>
                <w:lang w:eastAsia="zh-CN"/>
              </w:rPr>
            </w:pPr>
          </w:p>
          <w:p w14:paraId="4CFA191A">
            <w:pPr>
              <w:widowControl w:val="0"/>
              <w:kinsoku/>
              <w:spacing w:before="156" w:beforeLines="50" w:line="320" w:lineRule="exact"/>
              <w:ind w:firstLine="480" w:firstLineChars="200"/>
              <w:rPr>
                <w:rFonts w:ascii="Times New Roman" w:hAnsi="Times New Roman" w:eastAsia="楷体" w:cs="Times New Roman"/>
                <w:sz w:val="24"/>
                <w:lang w:eastAsia="zh-CN"/>
              </w:rPr>
            </w:pPr>
            <w:r>
              <w:rPr>
                <w:rFonts w:ascii="Times New Roman" w:hAnsi="Times New Roman" w:eastAsia="楷体" w:cs="Times New Roman"/>
                <w:sz w:val="24"/>
                <w:lang w:eastAsia="zh-CN"/>
              </w:rPr>
              <w:t>根据《机关、团体、企业、事业单位消防安全管理规定》《陕西省消防安全重点单位界定标准（试行）》，我单位属消防安全重点单位，特此申报。</w:t>
            </w:r>
          </w:p>
          <w:p w14:paraId="31A1D51C">
            <w:pPr>
              <w:widowControl w:val="0"/>
              <w:kinsoku/>
              <w:spacing w:line="320" w:lineRule="exact"/>
              <w:rPr>
                <w:rFonts w:ascii="Times New Roman" w:hAnsi="Times New Roman" w:eastAsia="楷体" w:cs="Times New Roman"/>
                <w:sz w:val="24"/>
                <w:lang w:eastAsia="zh-CN"/>
              </w:rPr>
            </w:pPr>
          </w:p>
          <w:p w14:paraId="287964C5">
            <w:pPr>
              <w:widowControl w:val="0"/>
              <w:kinsoku/>
              <w:spacing w:line="320" w:lineRule="exact"/>
              <w:ind w:firstLine="2160" w:firstLineChars="900"/>
              <w:rPr>
                <w:rFonts w:ascii="Times New Roman" w:hAnsi="Times New Roman" w:eastAsia="楷体" w:cs="Times New Roman"/>
                <w:sz w:val="24"/>
                <w:lang w:eastAsia="zh-CN"/>
              </w:rPr>
            </w:pPr>
          </w:p>
          <w:p w14:paraId="541BABFD">
            <w:pPr>
              <w:widowControl w:val="0"/>
              <w:kinsoku/>
              <w:spacing w:line="320" w:lineRule="exact"/>
              <w:ind w:firstLine="2160" w:firstLineChars="900"/>
              <w:rPr>
                <w:rFonts w:ascii="Times New Roman" w:hAnsi="Times New Roman" w:eastAsia="楷体" w:cs="Times New Roman"/>
                <w:sz w:val="24"/>
                <w:lang w:eastAsia="zh-CN"/>
              </w:rPr>
            </w:pPr>
            <w:r>
              <w:rPr>
                <w:rFonts w:ascii="Times New Roman" w:hAnsi="Times New Roman" w:eastAsia="楷体" w:cs="Times New Roman"/>
                <w:sz w:val="24"/>
                <w:lang w:eastAsia="zh-CN"/>
              </w:rPr>
              <w:t>消防安全责任人（签字）：</w:t>
            </w:r>
          </w:p>
          <w:p w14:paraId="44A1DB42">
            <w:pPr>
              <w:widowControl w:val="0"/>
              <w:kinsoku/>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单位（公章）：</w:t>
            </w:r>
          </w:p>
          <w:p w14:paraId="10653E5C">
            <w:pPr>
              <w:widowControl w:val="0"/>
              <w:kinsoku/>
              <w:spacing w:before="156" w:beforeLines="50" w:after="156" w:afterLines="50"/>
              <w:ind w:right="480"/>
              <w:jc w:val="center"/>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r w14:paraId="444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3043" w:type="dxa"/>
            <w:gridSpan w:val="3"/>
            <w:tcBorders>
              <w:left w:val="single" w:color="auto" w:sz="12" w:space="0"/>
            </w:tcBorders>
            <w:vAlign w:val="center"/>
          </w:tcPr>
          <w:p w14:paraId="40ED5513">
            <w:pPr>
              <w:widowControl w:val="0"/>
              <w:kinsoku/>
              <w:jc w:val="center"/>
              <w:rPr>
                <w:rFonts w:hint="eastAsia" w:ascii="黑体" w:hAnsi="黑体" w:eastAsia="黑体" w:cs="Times New Roman"/>
                <w:sz w:val="24"/>
                <w:lang w:eastAsia="zh-CN"/>
              </w:rPr>
            </w:pPr>
            <w:r>
              <w:rPr>
                <w:rFonts w:ascii="黑体" w:hAnsi="黑体" w:eastAsia="黑体" w:cs="Times New Roman"/>
                <w:sz w:val="24"/>
                <w:lang w:eastAsia="zh-CN"/>
              </w:rPr>
              <w:t>消防救援机构备案意见</w:t>
            </w:r>
          </w:p>
        </w:tc>
        <w:tc>
          <w:tcPr>
            <w:tcW w:w="7388" w:type="dxa"/>
            <w:gridSpan w:val="5"/>
            <w:tcBorders>
              <w:right w:val="single" w:color="auto" w:sz="12" w:space="0"/>
            </w:tcBorders>
          </w:tcPr>
          <w:p w14:paraId="604DBE1C">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r>
              <w:rPr>
                <w:rFonts w:ascii="Times New Roman" w:hAnsi="Times New Roman" w:eastAsia="楷体" w:cs="Times New Roman"/>
                <w:sz w:val="24"/>
                <w:lang w:eastAsia="zh-CN"/>
              </w:rPr>
              <w:t>该单位符合《陕西省消防安全重点单位界定标准（试行）》，同意备案。</w:t>
            </w:r>
          </w:p>
          <w:p w14:paraId="21831DB4">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p>
          <w:p w14:paraId="1C2F6F2D">
            <w:pPr>
              <w:widowControl w:val="0"/>
              <w:kinsoku/>
              <w:spacing w:line="320" w:lineRule="exact"/>
              <w:ind w:firstLine="3960" w:firstLineChars="1650"/>
              <w:rPr>
                <w:rFonts w:ascii="Times New Roman" w:hAnsi="Times New Roman" w:eastAsia="楷体" w:cs="Times New Roman"/>
                <w:sz w:val="24"/>
                <w:lang w:eastAsia="zh-CN"/>
              </w:rPr>
            </w:pPr>
            <w:r>
              <w:rPr>
                <w:rFonts w:ascii="Times New Roman" w:hAnsi="Times New Roman" w:eastAsia="楷体" w:cs="Times New Roman"/>
                <w:sz w:val="24"/>
                <w:lang w:eastAsia="zh-CN"/>
              </w:rPr>
              <w:t>（消防救援部门印章）</w:t>
            </w:r>
          </w:p>
          <w:p w14:paraId="4C7875B6">
            <w:pPr>
              <w:widowControl w:val="0"/>
              <w:kinsoku/>
              <w:spacing w:line="320" w:lineRule="exact"/>
              <w:ind w:firstLine="960" w:firstLineChars="400"/>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bl>
    <w:p w14:paraId="73C29812">
      <w:pPr>
        <w:widowControl w:val="0"/>
        <w:rPr>
          <w:rFonts w:ascii="Times New Roman" w:hAnsi="Times New Roman" w:cs="Times New Roman" w:eastAsiaTheme="minorEastAsia"/>
          <w:lang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E"/>
    <w:rsid w:val="0002184E"/>
    <w:rsid w:val="00083C81"/>
    <w:rsid w:val="0019395F"/>
    <w:rsid w:val="00222524"/>
    <w:rsid w:val="00246F38"/>
    <w:rsid w:val="0042142E"/>
    <w:rsid w:val="00496890"/>
    <w:rsid w:val="006C636D"/>
    <w:rsid w:val="0070329B"/>
    <w:rsid w:val="00745DDB"/>
    <w:rsid w:val="00746019"/>
    <w:rsid w:val="00813504"/>
    <w:rsid w:val="00832578"/>
    <w:rsid w:val="00A907F8"/>
    <w:rsid w:val="00BA43A5"/>
    <w:rsid w:val="00C60743"/>
    <w:rsid w:val="00CF7C74"/>
    <w:rsid w:val="00D95B38"/>
    <w:rsid w:val="0611020B"/>
    <w:rsid w:val="1880496E"/>
    <w:rsid w:val="1DC97D28"/>
    <w:rsid w:val="207C542B"/>
    <w:rsid w:val="212212BA"/>
    <w:rsid w:val="27BD1CA7"/>
    <w:rsid w:val="34032591"/>
    <w:rsid w:val="39510397"/>
    <w:rsid w:val="4230453C"/>
    <w:rsid w:val="5CBD3DF2"/>
    <w:rsid w:val="66D34CD0"/>
    <w:rsid w:val="68644630"/>
    <w:rsid w:val="72587E32"/>
    <w:rsid w:val="74723BA6"/>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ind w:right="600"/>
    </w:pPr>
    <w:rPr>
      <w:rFonts w:ascii="仿宋_GB2312" w:hAnsi="Courier New" w:eastAsia="仿宋_GB2312" w:cs="仿宋_GB2312"/>
    </w:rPr>
  </w:style>
  <w:style w:type="paragraph" w:styleId="3">
    <w:name w:val="footer"/>
    <w:basedOn w:val="1"/>
    <w:qFormat/>
    <w:uiPriority w:val="0"/>
    <w:pPr>
      <w:tabs>
        <w:tab w:val="center" w:pos="4153"/>
        <w:tab w:val="right" w:pos="8306"/>
      </w:tabs>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1869337f-7d2c-4626-a903-587eab75db67</errorID>
      <errorWord>地</errorWord>
      <group>L1_Grammar</group>
      <groupName>语法问题</groupName>
      <ability>L2_Order</ability>
      <abilityName>语序不当</abilityName>
      <candidateList>
        <item>的</item>
      </candidateList>
      <explain>句子可能没有遵循时空、逻辑顺序，或者介词、关联词等位置不当。</explain>
      <paraID>1446BE36</paraID>
      <start>15</start>
      <end>16</end>
      <status>modified</status>
      <modifiedWord>的</modifiedWord>
      <trackRevisions>false</trackRevisions>
    </reviewItem>
    <reviewItem>
      <errorID>8bbfac93-5a06-4bf9-84d5-22f8883b3679</errorID>
      <errorWord>;</errorWord>
      <group>L1_Format</group>
      <groupName>格式问题</groupName>
      <ability>L2_HalfPunc</ability>
      <abilityName>全半角检查</abilityName>
      <candidateList>
        <item>；</item>
      </candidateList>
      <explain>文本全半角错误。</explain>
      <paraID>3CDAF4BE</paraID>
      <start>41</start>
      <end>42</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acc5-810d-4884-8b8c-552e65bc71d8}">
  <ds:schemaRefs/>
</ds:datastoreItem>
</file>

<file path=customXml/itemProps2.xml><?xml version="1.0" encoding="utf-8"?>
<ds:datastoreItem xmlns:ds="http://schemas.openxmlformats.org/officeDocument/2006/customXml" ds:itemID="{DAF22BCF-DDB2-41F8-BF8D-8BC26CCCC1D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1898</Words>
  <Characters>2026</Characters>
  <Lines>16</Lines>
  <Paragraphs>4</Paragraphs>
  <TotalTime>38</TotalTime>
  <ScaleCrop>false</ScaleCrop>
  <LinksUpToDate>false</LinksUpToDate>
  <CharactersWithSpaces>2120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2025-02-19T10:16:00Z</dcterms:created>
  <dc:creator>Administrator</dc:creator>
  <cp:lastModifiedBy>大手牵小手</cp:lastModifiedBy>
  <cp:lastPrinted>2025-02-19T10:14:00Z</cp:lastPrinted>
  <dcterms:modified xsi:type="dcterms:W3CDTF">2026-02-26T00:29:16Z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eyJoZGlkIjoiMmE4MDg3YWJmMThjNjUzYTdmNTBiNDIzYWUwNTEwYTciLCJ1c2VySWQiOiI3OTcyNTU2NDgifQ==</vt:lpwstr>
  </property>
  <property fmtid="{D5CDD505-2E9C-101B-9397-08002B2CF9AE}" pid="4" name="ICV">
    <vt:lpwstr>E4BAC1A1C2B14285AB9EFF1DB6011CC1_13</vt:lpwstr>
  </property>
</Properties>
</file>