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4952AC">
      <w:pPr>
        <w:rPr>
          <w:rFonts w:hint="eastAsia" w:ascii="仿宋_GB2312" w:hAnsi="仿宋_GB2312" w:eastAsia="仿宋_GB2312" w:cs="仿宋_GB2312"/>
          <w:color w:val="auto"/>
          <w:sz w:val="36"/>
          <w:szCs w:val="36"/>
          <w:highlight w:val="none"/>
        </w:rPr>
      </w:pPr>
    </w:p>
    <w:p w14:paraId="2C2B02FF">
      <w:pPr>
        <w:pStyle w:val="44"/>
        <w:rPr>
          <w:color w:val="auto"/>
          <w:highlight w:val="none"/>
        </w:rPr>
      </w:pPr>
    </w:p>
    <w:p w14:paraId="7C3D7AED">
      <w:pPr>
        <w:pStyle w:val="46"/>
        <w:rPr>
          <w:color w:val="auto"/>
          <w:highlight w:val="none"/>
        </w:rPr>
      </w:pPr>
    </w:p>
    <w:p w14:paraId="4C7FFD9B">
      <w:pPr>
        <w:rPr>
          <w:rFonts w:ascii="仿宋_GB2312" w:hAnsi="仿宋_GB2312" w:eastAsia="仿宋_GB2312" w:cs="仿宋_GB2312"/>
          <w:color w:val="auto"/>
          <w:sz w:val="36"/>
          <w:szCs w:val="36"/>
          <w:highlight w:val="none"/>
        </w:rPr>
      </w:pPr>
    </w:p>
    <w:p w14:paraId="23DFC701">
      <w:pPr>
        <w:adjustRightInd w:val="0"/>
        <w:snapToGrid w:val="0"/>
        <w:jc w:val="center"/>
        <w:outlineLvl w:val="0"/>
        <w:rPr>
          <w:rFonts w:hint="eastAsia" w:ascii="方正小标宋简体" w:eastAsia="方正小标宋简体"/>
          <w:b/>
          <w:bCs/>
          <w:color w:val="auto"/>
          <w:spacing w:val="-20"/>
          <w:sz w:val="72"/>
          <w:szCs w:val="72"/>
          <w:highlight w:val="none"/>
        </w:rPr>
      </w:pPr>
      <w:bookmarkStart w:id="6" w:name="_GoBack"/>
      <w:bookmarkEnd w:id="6"/>
      <w:r>
        <w:rPr>
          <w:rFonts w:hint="eastAsia" w:ascii="方正小标宋简体" w:eastAsia="方正小标宋简体"/>
          <w:b/>
          <w:bCs/>
          <w:color w:val="auto"/>
          <w:spacing w:val="-20"/>
          <w:sz w:val="72"/>
          <w:szCs w:val="72"/>
          <w:highlight w:val="none"/>
        </w:rPr>
        <w:t>建设项目环境影响报告表</w:t>
      </w:r>
    </w:p>
    <w:p w14:paraId="6C2C6A8C">
      <w:pPr>
        <w:adjustRightInd w:val="0"/>
        <w:snapToGrid w:val="0"/>
        <w:spacing w:before="192" w:beforeLines="80"/>
        <w:jc w:val="center"/>
        <w:rPr>
          <w:rFonts w:hint="eastAsia" w:ascii="楷体_GB2312" w:eastAsia="楷体_GB2312"/>
          <w:b/>
          <w:bCs/>
          <w:color w:val="auto"/>
          <w:sz w:val="48"/>
          <w:szCs w:val="48"/>
          <w:highlight w:val="none"/>
        </w:rPr>
      </w:pPr>
      <w:r>
        <w:rPr>
          <w:rFonts w:hint="eastAsia" w:ascii="楷体_GB2312" w:eastAsia="楷体_GB2312"/>
          <w:b/>
          <w:bCs/>
          <w:color w:val="auto"/>
          <w:sz w:val="48"/>
          <w:szCs w:val="48"/>
          <w:highlight w:val="none"/>
        </w:rPr>
        <w:t>（污染影响类）</w:t>
      </w:r>
    </w:p>
    <w:p w14:paraId="14C9160A">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2B17CBE2">
      <w:pPr>
        <w:adjustRightInd w:val="0"/>
        <w:snapToGrid w:val="0"/>
        <w:spacing w:before="192" w:beforeLines="80"/>
        <w:jc w:val="center"/>
        <w:rPr>
          <w:rFonts w:eastAsia="仿宋"/>
          <w:color w:val="auto"/>
          <w:sz w:val="52"/>
          <w:szCs w:val="52"/>
          <w:highlight w:val="none"/>
        </w:rPr>
      </w:pPr>
    </w:p>
    <w:p w14:paraId="241E882C">
      <w:pPr>
        <w:ind w:firstLine="1040"/>
        <w:rPr>
          <w:rFonts w:eastAsia="仿宋"/>
          <w:color w:val="auto"/>
          <w:sz w:val="44"/>
          <w:szCs w:val="44"/>
          <w:highlight w:val="none"/>
        </w:rPr>
      </w:pPr>
    </w:p>
    <w:p w14:paraId="49B2B964">
      <w:pPr>
        <w:ind w:firstLine="1040"/>
        <w:rPr>
          <w:rFonts w:eastAsia="仿宋"/>
          <w:color w:val="auto"/>
          <w:sz w:val="44"/>
          <w:szCs w:val="44"/>
          <w:highlight w:val="none"/>
        </w:rPr>
      </w:pPr>
    </w:p>
    <w:p w14:paraId="576F5050">
      <w:pPr>
        <w:ind w:firstLine="1040"/>
        <w:rPr>
          <w:rFonts w:eastAsia="仿宋"/>
          <w:color w:val="auto"/>
          <w:sz w:val="30"/>
          <w:szCs w:val="30"/>
          <w:highlight w:val="none"/>
        </w:rPr>
      </w:pPr>
    </w:p>
    <w:p w14:paraId="66594494">
      <w:pPr>
        <w:adjustRightInd w:val="0"/>
        <w:spacing w:line="360" w:lineRule="auto"/>
        <w:ind w:left="1606" w:hanging="1606" w:hangingChars="500"/>
        <w:rPr>
          <w:rFonts w:eastAsia="仿宋_GB2312"/>
          <w:b/>
          <w:color w:val="auto"/>
          <w:sz w:val="32"/>
          <w:szCs w:val="32"/>
          <w:highlight w:val="none"/>
          <w:u w:val="single"/>
        </w:rPr>
      </w:pPr>
      <w:r>
        <w:rPr>
          <w:rFonts w:eastAsia="仿宋_GB2312"/>
          <w:b/>
          <w:color w:val="auto"/>
          <w:sz w:val="32"/>
          <w:szCs w:val="32"/>
          <w:highlight w:val="none"/>
        </w:rPr>
        <w:t>项目名称：</w:t>
      </w:r>
      <w:r>
        <w:rPr>
          <w:rFonts w:eastAsia="仿宋_GB2312"/>
          <w:b/>
          <w:color w:val="auto"/>
          <w:sz w:val="32"/>
          <w:szCs w:val="32"/>
          <w:highlight w:val="none"/>
          <w:u w:val="single"/>
        </w:rPr>
        <w:t xml:space="preserve"> </w:t>
      </w:r>
      <w:r>
        <w:rPr>
          <w:rFonts w:hint="eastAsia" w:eastAsia="仿宋_GB2312"/>
          <w:b/>
          <w:color w:val="auto"/>
          <w:sz w:val="32"/>
          <w:szCs w:val="32"/>
          <w:highlight w:val="none"/>
          <w:u w:val="single"/>
        </w:rPr>
        <w:t xml:space="preserve">   有机中药材山茱萸深加工生产线建设项目 </w:t>
      </w:r>
      <w:r>
        <w:rPr>
          <w:rFonts w:eastAsia="仿宋_GB2312"/>
          <w:b/>
          <w:color w:val="auto"/>
          <w:sz w:val="32"/>
          <w:szCs w:val="32"/>
          <w:highlight w:val="none"/>
          <w:u w:val="single"/>
        </w:rPr>
        <w:t xml:space="preserve"> </w:t>
      </w:r>
      <w:r>
        <w:rPr>
          <w:rFonts w:hint="eastAsia" w:eastAsia="仿宋_GB2312"/>
          <w:b/>
          <w:color w:val="auto"/>
          <w:sz w:val="32"/>
          <w:szCs w:val="32"/>
          <w:highlight w:val="none"/>
          <w:u w:val="single"/>
          <w:lang w:val="en-US" w:eastAsia="zh-CN"/>
        </w:rPr>
        <w:t xml:space="preserve">   </w:t>
      </w:r>
    </w:p>
    <w:p w14:paraId="2DFB9D85">
      <w:pPr>
        <w:adjustRightInd w:val="0"/>
        <w:spacing w:line="360" w:lineRule="auto"/>
        <w:rPr>
          <w:rFonts w:eastAsia="仿宋_GB2312"/>
          <w:b/>
          <w:color w:val="auto"/>
          <w:sz w:val="32"/>
          <w:szCs w:val="32"/>
          <w:highlight w:val="none"/>
          <w:u w:val="single"/>
        </w:rPr>
      </w:pPr>
      <w:r>
        <w:rPr>
          <w:rFonts w:eastAsia="仿宋_GB2312"/>
          <w:b/>
          <w:color w:val="auto"/>
          <w:sz w:val="32"/>
          <w:szCs w:val="32"/>
          <w:highlight w:val="none"/>
        </w:rPr>
        <w:t>建设单位（盖章）：</w:t>
      </w:r>
      <w:r>
        <w:rPr>
          <w:rFonts w:hint="eastAsia" w:eastAsia="仿宋_GB2312"/>
          <w:b/>
          <w:color w:val="auto"/>
          <w:sz w:val="32"/>
          <w:szCs w:val="32"/>
          <w:highlight w:val="none"/>
          <w:u w:val="single"/>
        </w:rPr>
        <w:t xml:space="preserve"> </w:t>
      </w:r>
      <w:r>
        <w:rPr>
          <w:rFonts w:hint="eastAsia" w:eastAsia="仿宋_GB2312"/>
          <w:b/>
          <w:color w:val="auto"/>
          <w:sz w:val="32"/>
          <w:szCs w:val="32"/>
          <w:highlight w:val="none"/>
          <w:u w:val="single"/>
          <w:lang w:val="en-US" w:eastAsia="zh-CN"/>
        </w:rPr>
        <w:t xml:space="preserve">   </w:t>
      </w:r>
      <w:r>
        <w:rPr>
          <w:rFonts w:hint="eastAsia" w:eastAsia="仿宋_GB2312"/>
          <w:b/>
          <w:color w:val="auto"/>
          <w:sz w:val="32"/>
          <w:szCs w:val="32"/>
          <w:highlight w:val="none"/>
          <w:u w:val="single"/>
        </w:rPr>
        <w:t>陕西汉阳健康中药科技有限公司</w:t>
      </w:r>
      <w:r>
        <w:rPr>
          <w:rFonts w:hint="eastAsia" w:eastAsia="仿宋_GB2312"/>
          <w:b/>
          <w:color w:val="auto"/>
          <w:sz w:val="32"/>
          <w:szCs w:val="32"/>
          <w:highlight w:val="none"/>
          <w:u w:val="single"/>
          <w:lang w:val="en-US" w:eastAsia="zh-CN"/>
        </w:rPr>
        <w:t xml:space="preserve">     </w:t>
      </w:r>
    </w:p>
    <w:p w14:paraId="137C0189">
      <w:pPr>
        <w:adjustRightInd w:val="0"/>
        <w:spacing w:line="360" w:lineRule="auto"/>
        <w:rPr>
          <w:rFonts w:eastAsia="仿宋_GB2312"/>
          <w:b/>
          <w:color w:val="auto"/>
          <w:sz w:val="32"/>
          <w:szCs w:val="32"/>
          <w:highlight w:val="none"/>
          <w:u w:val="single"/>
        </w:rPr>
      </w:pPr>
      <w:r>
        <w:rPr>
          <w:rFonts w:eastAsia="仿宋_GB2312"/>
          <w:b/>
          <w:color w:val="auto"/>
          <w:sz w:val="32"/>
          <w:szCs w:val="32"/>
          <w:highlight w:val="none"/>
        </w:rPr>
        <w:t>编制日期：</w:t>
      </w:r>
      <w:r>
        <w:rPr>
          <w:rFonts w:eastAsia="仿宋_GB2312"/>
          <w:b/>
          <w:color w:val="auto"/>
          <w:sz w:val="32"/>
          <w:szCs w:val="32"/>
          <w:highlight w:val="none"/>
          <w:u w:val="single"/>
        </w:rPr>
        <w:t xml:space="preserve">          </w:t>
      </w:r>
      <w:r>
        <w:rPr>
          <w:rFonts w:hint="eastAsia" w:eastAsia="仿宋_GB2312"/>
          <w:b/>
          <w:color w:val="auto"/>
          <w:sz w:val="32"/>
          <w:szCs w:val="32"/>
          <w:highlight w:val="none"/>
          <w:u w:val="single"/>
        </w:rPr>
        <w:t xml:space="preserve">    </w:t>
      </w:r>
      <w:r>
        <w:rPr>
          <w:rFonts w:hint="eastAsia" w:eastAsia="仿宋_GB2312"/>
          <w:b/>
          <w:color w:val="auto"/>
          <w:sz w:val="32"/>
          <w:szCs w:val="32"/>
          <w:highlight w:val="none"/>
          <w:u w:val="single"/>
          <w:lang w:val="en-US" w:eastAsia="zh-CN"/>
        </w:rPr>
        <w:t xml:space="preserve">  </w:t>
      </w:r>
      <w:r>
        <w:rPr>
          <w:rFonts w:eastAsia="仿宋_GB2312"/>
          <w:b/>
          <w:color w:val="auto"/>
          <w:sz w:val="32"/>
          <w:szCs w:val="32"/>
          <w:highlight w:val="none"/>
          <w:u w:val="single"/>
        </w:rPr>
        <w:t>二〇</w:t>
      </w:r>
      <w:r>
        <w:rPr>
          <w:rFonts w:hint="eastAsia" w:eastAsia="仿宋_GB2312"/>
          <w:b/>
          <w:color w:val="auto"/>
          <w:sz w:val="32"/>
          <w:szCs w:val="32"/>
          <w:highlight w:val="none"/>
          <w:u w:val="single"/>
        </w:rPr>
        <w:t>二</w:t>
      </w:r>
      <w:r>
        <w:rPr>
          <w:rFonts w:hint="eastAsia" w:eastAsia="仿宋_GB2312"/>
          <w:b/>
          <w:color w:val="auto"/>
          <w:sz w:val="32"/>
          <w:szCs w:val="32"/>
          <w:highlight w:val="none"/>
          <w:u w:val="single"/>
          <w:lang w:eastAsia="zh-CN"/>
        </w:rPr>
        <w:t>六</w:t>
      </w:r>
      <w:r>
        <w:rPr>
          <w:rFonts w:eastAsia="仿宋_GB2312"/>
          <w:b/>
          <w:color w:val="auto"/>
          <w:sz w:val="32"/>
          <w:szCs w:val="32"/>
          <w:highlight w:val="none"/>
          <w:u w:val="single"/>
        </w:rPr>
        <w:t>年</w:t>
      </w:r>
      <w:r>
        <w:rPr>
          <w:rFonts w:hint="eastAsia" w:eastAsia="仿宋_GB2312"/>
          <w:b/>
          <w:color w:val="auto"/>
          <w:sz w:val="32"/>
          <w:szCs w:val="32"/>
          <w:highlight w:val="none"/>
          <w:u w:val="single"/>
          <w:lang w:eastAsia="zh-CN"/>
        </w:rPr>
        <w:t>五</w:t>
      </w:r>
      <w:r>
        <w:rPr>
          <w:rFonts w:eastAsia="仿宋_GB2312"/>
          <w:b/>
          <w:color w:val="auto"/>
          <w:sz w:val="32"/>
          <w:szCs w:val="32"/>
          <w:highlight w:val="none"/>
          <w:u w:val="single"/>
        </w:rPr>
        <w:t xml:space="preserve">月  </w:t>
      </w:r>
      <w:r>
        <w:rPr>
          <w:rFonts w:hint="eastAsia" w:eastAsia="仿宋_GB2312"/>
          <w:b/>
          <w:color w:val="auto"/>
          <w:sz w:val="32"/>
          <w:szCs w:val="32"/>
          <w:highlight w:val="none"/>
          <w:u w:val="single"/>
          <w:lang w:val="en-US" w:eastAsia="zh-CN"/>
        </w:rPr>
        <w:t xml:space="preserve">   </w:t>
      </w:r>
      <w:r>
        <w:rPr>
          <w:rFonts w:eastAsia="仿宋_GB2312"/>
          <w:b/>
          <w:color w:val="auto"/>
          <w:sz w:val="32"/>
          <w:szCs w:val="32"/>
          <w:highlight w:val="none"/>
          <w:u w:val="single"/>
        </w:rPr>
        <w:t xml:space="preserve"> </w:t>
      </w:r>
      <w:r>
        <w:rPr>
          <w:rFonts w:hint="eastAsia" w:eastAsia="仿宋_GB2312"/>
          <w:b/>
          <w:color w:val="auto"/>
          <w:sz w:val="32"/>
          <w:szCs w:val="32"/>
          <w:highlight w:val="none"/>
          <w:u w:val="single"/>
        </w:rPr>
        <w:t xml:space="preserve"> </w:t>
      </w:r>
      <w:r>
        <w:rPr>
          <w:rFonts w:hint="eastAsia" w:eastAsia="仿宋_GB2312"/>
          <w:b/>
          <w:color w:val="auto"/>
          <w:sz w:val="32"/>
          <w:szCs w:val="32"/>
          <w:highlight w:val="none"/>
          <w:u w:val="single"/>
          <w:lang w:val="en-US" w:eastAsia="zh-CN"/>
        </w:rPr>
        <w:t xml:space="preserve"> </w:t>
      </w:r>
      <w:r>
        <w:rPr>
          <w:rFonts w:hint="eastAsia" w:eastAsia="仿宋_GB2312"/>
          <w:b/>
          <w:color w:val="auto"/>
          <w:sz w:val="32"/>
          <w:szCs w:val="32"/>
          <w:highlight w:val="none"/>
          <w:u w:val="single"/>
        </w:rPr>
        <w:t xml:space="preserve">   </w:t>
      </w:r>
      <w:r>
        <w:rPr>
          <w:rFonts w:eastAsia="仿宋_GB2312"/>
          <w:b/>
          <w:color w:val="auto"/>
          <w:sz w:val="32"/>
          <w:szCs w:val="32"/>
          <w:highlight w:val="none"/>
          <w:u w:val="single"/>
        </w:rPr>
        <w:t xml:space="preserve">    </w:t>
      </w:r>
    </w:p>
    <w:p w14:paraId="50554CF2">
      <w:pPr>
        <w:adjustRightInd w:val="0"/>
        <w:snapToGrid w:val="0"/>
        <w:spacing w:line="288" w:lineRule="auto"/>
        <w:ind w:firstLine="1040"/>
        <w:rPr>
          <w:rFonts w:ascii="仿宋_GB2312" w:eastAsia="仿宋_GB2312"/>
          <w:color w:val="auto"/>
          <w:sz w:val="30"/>
          <w:szCs w:val="30"/>
          <w:highlight w:val="none"/>
          <w:u w:val="single"/>
        </w:rPr>
      </w:pPr>
    </w:p>
    <w:p w14:paraId="32F83968">
      <w:pPr>
        <w:adjustRightInd w:val="0"/>
        <w:snapToGrid w:val="0"/>
        <w:spacing w:line="288" w:lineRule="auto"/>
        <w:ind w:firstLine="1040"/>
        <w:rPr>
          <w:rFonts w:hint="eastAsia" w:ascii="仿宋_GB2312" w:eastAsia="仿宋_GB2312"/>
          <w:color w:val="auto"/>
          <w:sz w:val="36"/>
          <w:szCs w:val="36"/>
          <w:highlight w:val="none"/>
        </w:rPr>
      </w:pPr>
    </w:p>
    <w:p w14:paraId="1CDCF405">
      <w:pPr>
        <w:pStyle w:val="43"/>
        <w:rPr>
          <w:rFonts w:hint="eastAsia"/>
          <w:color w:val="auto"/>
          <w:highlight w:val="none"/>
        </w:rPr>
      </w:pPr>
    </w:p>
    <w:p w14:paraId="18C1FC6A">
      <w:pPr>
        <w:pStyle w:val="43"/>
        <w:rPr>
          <w:rFonts w:hint="eastAsia"/>
          <w:color w:val="auto"/>
          <w:highlight w:val="none"/>
        </w:rPr>
      </w:pPr>
    </w:p>
    <w:p w14:paraId="22C6C2D4">
      <w:pPr>
        <w:pStyle w:val="43"/>
        <w:rPr>
          <w:rFonts w:hint="eastAsia"/>
          <w:color w:val="auto"/>
          <w:highlight w:val="none"/>
        </w:rPr>
      </w:pPr>
    </w:p>
    <w:p w14:paraId="09733A3E">
      <w:pPr>
        <w:pStyle w:val="43"/>
        <w:rPr>
          <w:rFonts w:hint="eastAsia"/>
          <w:color w:val="auto"/>
          <w:highlight w:val="none"/>
        </w:rPr>
      </w:pPr>
    </w:p>
    <w:p w14:paraId="1084F28C">
      <w:pPr>
        <w:adjustRightInd w:val="0"/>
        <w:snapToGrid w:val="0"/>
        <w:spacing w:line="288" w:lineRule="auto"/>
        <w:ind w:firstLine="1040"/>
        <w:rPr>
          <w:rFonts w:hint="eastAsia" w:ascii="仿宋_GB2312" w:eastAsia="仿宋_GB2312"/>
          <w:color w:val="auto"/>
          <w:sz w:val="36"/>
          <w:szCs w:val="36"/>
          <w:highlight w:val="none"/>
        </w:rPr>
      </w:pPr>
    </w:p>
    <w:p w14:paraId="3461EF50">
      <w:pPr>
        <w:adjustRightInd w:val="0"/>
        <w:snapToGrid w:val="0"/>
        <w:spacing w:line="288" w:lineRule="auto"/>
        <w:jc w:val="center"/>
        <w:rPr>
          <w:rFonts w:hint="eastAsia" w:ascii="楷体_GB2312" w:eastAsia="楷体_GB2312"/>
          <w:b/>
          <w:color w:val="auto"/>
          <w:sz w:val="32"/>
          <w:szCs w:val="32"/>
          <w:highlight w:val="none"/>
        </w:rPr>
      </w:pPr>
      <w:r>
        <w:rPr>
          <w:rFonts w:hint="eastAsia" w:ascii="楷体_GB2312" w:eastAsia="楷体_GB2312"/>
          <w:b/>
          <w:color w:val="auto"/>
          <w:sz w:val="32"/>
          <w:szCs w:val="32"/>
          <w:highlight w:val="none"/>
        </w:rPr>
        <w:t>中华人民共和国生态环境部制</w:t>
      </w:r>
    </w:p>
    <w:p w14:paraId="530F4CC9">
      <w:pPr>
        <w:pStyle w:val="51"/>
        <w:spacing w:before="192" w:beforeLines="80" w:after="24"/>
        <w:jc w:val="left"/>
        <w:rPr>
          <w:rFonts w:hAnsi="宋体" w:eastAsia="黑体"/>
          <w:color w:val="auto"/>
          <w:highlight w:val="none"/>
        </w:rPr>
      </w:pPr>
    </w:p>
    <w:p w14:paraId="5A967168">
      <w:pPr>
        <w:rPr>
          <w:rFonts w:ascii="仿宋_GB2312" w:hAnsi="仿宋_GB2312" w:eastAsia="仿宋_GB2312" w:cs="仿宋_GB2312"/>
          <w:color w:val="auto"/>
          <w:sz w:val="36"/>
          <w:szCs w:val="36"/>
          <w:highlight w:val="none"/>
        </w:rPr>
      </w:pPr>
    </w:p>
    <w:p w14:paraId="14D5DEE8">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1373C453">
      <w:pPr>
        <w:pStyle w:val="25"/>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lang w:val="en-US" w:eastAsia="zh-CN"/>
        </w:rPr>
        <w:t xml:space="preserve"> </w:t>
      </w:r>
      <w:r>
        <w:rPr>
          <w:rFonts w:hint="eastAsia" w:ascii="黑体" w:hAnsi="黑体" w:eastAsia="黑体"/>
          <w:snapToGrid w:val="0"/>
          <w:color w:val="auto"/>
          <w:sz w:val="30"/>
          <w:szCs w:val="30"/>
          <w:highlight w:val="none"/>
        </w:rPr>
        <w:t>一、建设项目基本情况</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66"/>
        <w:gridCol w:w="2353"/>
        <w:gridCol w:w="2212"/>
        <w:gridCol w:w="2639"/>
      </w:tblGrid>
      <w:tr w14:paraId="1B661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6" w:type="dxa"/>
            <w:noWrap w:val="0"/>
            <w:tcMar>
              <w:top w:w="16" w:type="dxa"/>
              <w:left w:w="16" w:type="dxa"/>
              <w:right w:w="16" w:type="dxa"/>
            </w:tcMar>
            <w:vAlign w:val="center"/>
          </w:tcPr>
          <w:p w14:paraId="16444597">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建设项目名称</w:t>
            </w:r>
          </w:p>
        </w:tc>
        <w:tc>
          <w:tcPr>
            <w:tcW w:w="7204" w:type="dxa"/>
            <w:gridSpan w:val="3"/>
            <w:noWrap w:val="0"/>
            <w:vAlign w:val="center"/>
          </w:tcPr>
          <w:p w14:paraId="0BF4DD7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有机中药材山茱萸深加工生产线建设项目</w:t>
            </w:r>
          </w:p>
        </w:tc>
      </w:tr>
      <w:tr w14:paraId="43C5E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6" w:type="dxa"/>
            <w:noWrap w:val="0"/>
            <w:tcMar>
              <w:top w:w="16" w:type="dxa"/>
              <w:left w:w="16" w:type="dxa"/>
              <w:right w:w="16" w:type="dxa"/>
            </w:tcMar>
            <w:vAlign w:val="center"/>
          </w:tcPr>
          <w:p w14:paraId="3A1F0F29">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项目代码</w:t>
            </w:r>
          </w:p>
        </w:tc>
        <w:tc>
          <w:tcPr>
            <w:tcW w:w="7204" w:type="dxa"/>
            <w:gridSpan w:val="3"/>
            <w:noWrap w:val="0"/>
            <w:vAlign w:val="center"/>
          </w:tcPr>
          <w:p w14:paraId="4110DD86">
            <w:pPr>
              <w:adjustRightInd w:val="0"/>
              <w:snapToGrid w:val="0"/>
              <w:jc w:val="center"/>
              <w:rPr>
                <w:rFonts w:hint="eastAsia" w:ascii="宋体" w:hAnsi="宋体" w:cs="宋体"/>
                <w:color w:val="auto"/>
                <w:szCs w:val="21"/>
                <w:highlight w:val="none"/>
              </w:rPr>
            </w:pPr>
            <w:r>
              <w:rPr>
                <w:rFonts w:hint="eastAsia"/>
                <w:color w:val="auto"/>
                <w:szCs w:val="21"/>
                <w:highlight w:val="none"/>
              </w:rPr>
              <w:t>2311-610723-04-01-311818</w:t>
            </w:r>
          </w:p>
        </w:tc>
      </w:tr>
      <w:tr w14:paraId="52557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6" w:type="dxa"/>
            <w:noWrap w:val="0"/>
            <w:tcMar>
              <w:top w:w="16" w:type="dxa"/>
              <w:left w:w="16" w:type="dxa"/>
              <w:right w:w="16" w:type="dxa"/>
            </w:tcMar>
            <w:vAlign w:val="center"/>
          </w:tcPr>
          <w:p w14:paraId="35815E56">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建设单位联系人</w:t>
            </w:r>
          </w:p>
        </w:tc>
        <w:tc>
          <w:tcPr>
            <w:tcW w:w="2353" w:type="dxa"/>
            <w:noWrap w:val="0"/>
            <w:vAlign w:val="center"/>
          </w:tcPr>
          <w:p w14:paraId="274C2829">
            <w:pPr>
              <w:adjustRightInd w:val="0"/>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白建西</w:t>
            </w:r>
          </w:p>
        </w:tc>
        <w:tc>
          <w:tcPr>
            <w:tcW w:w="2212" w:type="dxa"/>
            <w:noWrap w:val="0"/>
            <w:vAlign w:val="center"/>
          </w:tcPr>
          <w:p w14:paraId="35128179">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联系方式</w:t>
            </w:r>
          </w:p>
        </w:tc>
        <w:tc>
          <w:tcPr>
            <w:tcW w:w="2639" w:type="dxa"/>
            <w:noWrap w:val="0"/>
            <w:vAlign w:val="center"/>
          </w:tcPr>
          <w:p w14:paraId="057262CF">
            <w:pPr>
              <w:adjustRightInd w:val="0"/>
              <w:snapToGrid w:val="0"/>
              <w:jc w:val="center"/>
              <w:rPr>
                <w:rFonts w:hint="default" w:ascii="宋体" w:hAnsi="宋体" w:eastAsia="宋体" w:cs="宋体"/>
                <w:color w:val="auto"/>
                <w:szCs w:val="21"/>
                <w:highlight w:val="none"/>
                <w:lang w:val="en-US" w:eastAsia="zh-CN"/>
              </w:rPr>
            </w:pPr>
            <w:r>
              <w:rPr>
                <w:rFonts w:hint="default" w:ascii="Times New Roman" w:hAnsi="Times New Roman" w:cs="Times New Roman"/>
                <w:color w:val="auto"/>
                <w:szCs w:val="21"/>
                <w:highlight w:val="none"/>
                <w:lang w:val="en-US" w:eastAsia="zh-CN"/>
              </w:rPr>
              <w:t>18220466456</w:t>
            </w:r>
          </w:p>
        </w:tc>
      </w:tr>
      <w:tr w14:paraId="33CF1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6" w:type="dxa"/>
            <w:noWrap w:val="0"/>
            <w:tcMar>
              <w:top w:w="16" w:type="dxa"/>
              <w:left w:w="16" w:type="dxa"/>
              <w:right w:w="16" w:type="dxa"/>
            </w:tcMar>
            <w:vAlign w:val="center"/>
          </w:tcPr>
          <w:p w14:paraId="792774D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建设地点</w:t>
            </w:r>
          </w:p>
        </w:tc>
        <w:tc>
          <w:tcPr>
            <w:tcW w:w="7204" w:type="dxa"/>
            <w:gridSpan w:val="3"/>
            <w:noWrap w:val="0"/>
            <w:vAlign w:val="center"/>
          </w:tcPr>
          <w:p w14:paraId="7C75AFA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u w:val="single"/>
              </w:rPr>
              <w:t>陕西省汉中市洋县洋州街道办事处有机产业园区</w:t>
            </w:r>
          </w:p>
        </w:tc>
      </w:tr>
      <w:tr w14:paraId="631FC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6" w:type="dxa"/>
            <w:noWrap w:val="0"/>
            <w:tcMar>
              <w:top w:w="16" w:type="dxa"/>
              <w:left w:w="16" w:type="dxa"/>
              <w:right w:w="16" w:type="dxa"/>
            </w:tcMar>
            <w:vAlign w:val="center"/>
          </w:tcPr>
          <w:p w14:paraId="400064BE">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地理坐标</w:t>
            </w:r>
          </w:p>
        </w:tc>
        <w:tc>
          <w:tcPr>
            <w:tcW w:w="7204" w:type="dxa"/>
            <w:gridSpan w:val="3"/>
            <w:noWrap w:val="0"/>
            <w:vAlign w:val="center"/>
          </w:tcPr>
          <w:p w14:paraId="38A786AA">
            <w:pPr>
              <w:jc w:val="center"/>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10</w:t>
            </w:r>
            <w:r>
              <w:rPr>
                <w:rFonts w:hint="eastAsia" w:ascii="宋体" w:hAnsi="宋体" w:cs="宋体"/>
                <w:color w:val="auto"/>
                <w:szCs w:val="21"/>
                <w:highlight w:val="none"/>
                <w:u w:val="single"/>
                <w:lang w:val="en-US" w:eastAsia="zh-CN"/>
              </w:rPr>
              <w:t>7</w:t>
            </w:r>
            <w:r>
              <w:rPr>
                <w:rFonts w:ascii="宋体" w:hAnsi="宋体" w:cs="宋体"/>
                <w:color w:val="auto"/>
                <w:szCs w:val="21"/>
                <w:highlight w:val="none"/>
                <w:u w:val="single"/>
              </w:rPr>
              <w:t xml:space="preserve"> </w:t>
            </w:r>
            <w:r>
              <w:rPr>
                <w:rFonts w:hint="eastAsia" w:ascii="宋体" w:hAnsi="宋体" w:cs="宋体"/>
                <w:color w:val="auto"/>
                <w:szCs w:val="21"/>
                <w:highlight w:val="none"/>
              </w:rPr>
              <w:t>度</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34</w:t>
            </w:r>
            <w:r>
              <w:rPr>
                <w:rFonts w:ascii="宋体" w:hAnsi="宋体" w:cs="宋体"/>
                <w:color w:val="auto"/>
                <w:szCs w:val="21"/>
                <w:highlight w:val="none"/>
                <w:u w:val="single"/>
              </w:rPr>
              <w:t xml:space="preserve"> </w:t>
            </w:r>
            <w:r>
              <w:rPr>
                <w:rFonts w:hint="eastAsia" w:ascii="宋体" w:hAnsi="宋体" w:cs="宋体"/>
                <w:color w:val="auto"/>
                <w:szCs w:val="21"/>
                <w:highlight w:val="none"/>
              </w:rPr>
              <w:t>分</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9.222</w:t>
            </w:r>
            <w:r>
              <w:rPr>
                <w:rFonts w:ascii="宋体" w:hAnsi="宋体" w:cs="宋体"/>
                <w:color w:val="auto"/>
                <w:szCs w:val="21"/>
                <w:highlight w:val="none"/>
                <w:u w:val="single"/>
              </w:rPr>
              <w:t xml:space="preserve"> </w:t>
            </w:r>
            <w:r>
              <w:rPr>
                <w:rFonts w:hint="eastAsia" w:ascii="宋体" w:hAnsi="宋体" w:cs="宋体"/>
                <w:color w:val="auto"/>
                <w:szCs w:val="21"/>
                <w:highlight w:val="none"/>
              </w:rPr>
              <w:t>秒，</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33</w:t>
            </w:r>
            <w:r>
              <w:rPr>
                <w:rFonts w:ascii="宋体" w:hAnsi="宋体" w:cs="宋体"/>
                <w:color w:val="auto"/>
                <w:szCs w:val="21"/>
                <w:highlight w:val="none"/>
                <w:u w:val="single"/>
              </w:rPr>
              <w:t xml:space="preserve"> </w:t>
            </w:r>
            <w:r>
              <w:rPr>
                <w:rFonts w:hint="eastAsia" w:ascii="宋体" w:hAnsi="宋体" w:cs="宋体"/>
                <w:color w:val="auto"/>
                <w:szCs w:val="21"/>
                <w:highlight w:val="none"/>
              </w:rPr>
              <w:t>度</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1</w:t>
            </w:r>
            <w:r>
              <w:rPr>
                <w:rFonts w:hint="eastAsia" w:ascii="宋体" w:hAnsi="宋体" w:cs="宋体"/>
                <w:color w:val="auto"/>
                <w:szCs w:val="21"/>
                <w:highlight w:val="none"/>
                <w:u w:val="single"/>
                <w:lang w:val="en-US" w:eastAsia="zh-CN"/>
              </w:rPr>
              <w:t>3</w:t>
            </w:r>
            <w:r>
              <w:rPr>
                <w:rFonts w:ascii="宋体" w:hAnsi="宋体" w:cs="宋体"/>
                <w:color w:val="auto"/>
                <w:szCs w:val="21"/>
                <w:highlight w:val="none"/>
                <w:u w:val="single"/>
              </w:rPr>
              <w:t xml:space="preserve"> </w:t>
            </w:r>
            <w:r>
              <w:rPr>
                <w:rFonts w:hint="eastAsia" w:ascii="宋体" w:hAnsi="宋体" w:cs="宋体"/>
                <w:color w:val="auto"/>
                <w:szCs w:val="21"/>
                <w:highlight w:val="none"/>
              </w:rPr>
              <w:t>分</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11.450</w:t>
            </w:r>
            <w:r>
              <w:rPr>
                <w:rFonts w:ascii="宋体" w:hAnsi="宋体" w:cs="宋体"/>
                <w:color w:val="auto"/>
                <w:szCs w:val="21"/>
                <w:highlight w:val="none"/>
                <w:u w:val="single"/>
              </w:rPr>
              <w:t xml:space="preserve"> </w:t>
            </w:r>
            <w:r>
              <w:rPr>
                <w:rFonts w:hint="eastAsia" w:ascii="宋体" w:hAnsi="宋体" w:cs="宋体"/>
                <w:color w:val="auto"/>
                <w:szCs w:val="21"/>
                <w:highlight w:val="none"/>
              </w:rPr>
              <w:t>秒）</w:t>
            </w:r>
          </w:p>
        </w:tc>
      </w:tr>
      <w:tr w14:paraId="5A688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66" w:type="dxa"/>
            <w:noWrap w:val="0"/>
            <w:tcMar>
              <w:top w:w="16" w:type="dxa"/>
              <w:left w:w="16" w:type="dxa"/>
              <w:right w:w="16" w:type="dxa"/>
            </w:tcMar>
            <w:vAlign w:val="center"/>
          </w:tcPr>
          <w:p w14:paraId="226FE04A">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国民经济</w:t>
            </w:r>
          </w:p>
          <w:p w14:paraId="4B60C68F">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p>
        </w:tc>
        <w:tc>
          <w:tcPr>
            <w:tcW w:w="2353" w:type="dxa"/>
            <w:noWrap w:val="0"/>
            <w:vAlign w:val="center"/>
          </w:tcPr>
          <w:p w14:paraId="5160A050">
            <w:pPr>
              <w:pStyle w:val="44"/>
              <w:jc w:val="left"/>
              <w:rPr>
                <w:rFonts w:hint="eastAsia"/>
                <w:b w:val="0"/>
                <w:bCs w:val="0"/>
                <w:color w:val="auto"/>
                <w:sz w:val="21"/>
                <w:szCs w:val="21"/>
                <w:highlight w:val="none"/>
                <w:lang w:eastAsia="zh-CN"/>
              </w:rPr>
            </w:pPr>
            <w:r>
              <w:rPr>
                <w:b w:val="0"/>
                <w:bCs w:val="0"/>
                <w:color w:val="auto"/>
                <w:sz w:val="21"/>
                <w:szCs w:val="21"/>
                <w:highlight w:val="none"/>
              </w:rPr>
              <w:t>C</w:t>
            </w:r>
            <w:r>
              <w:rPr>
                <w:rFonts w:hint="eastAsia"/>
                <w:b w:val="0"/>
                <w:bCs w:val="0"/>
                <w:color w:val="auto"/>
                <w:sz w:val="21"/>
                <w:szCs w:val="21"/>
                <w:highlight w:val="none"/>
                <w:lang w:val="en-US" w:eastAsia="zh-CN"/>
              </w:rPr>
              <w:t>1499</w:t>
            </w:r>
            <w:r>
              <w:rPr>
                <w:rFonts w:hint="eastAsia"/>
                <w:b w:val="0"/>
                <w:bCs w:val="0"/>
                <w:color w:val="auto"/>
                <w:sz w:val="21"/>
                <w:szCs w:val="21"/>
                <w:highlight w:val="none"/>
                <w:lang w:eastAsia="zh-CN"/>
              </w:rPr>
              <w:t>其他未列明食品制造；</w:t>
            </w:r>
          </w:p>
          <w:p w14:paraId="561FC8AA">
            <w:pPr>
              <w:pStyle w:val="46"/>
              <w:ind w:left="0" w:leftChars="0" w:firstLine="0" w:firstLineChars="0"/>
              <w:jc w:val="left"/>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C1519其他酒制造；</w:t>
            </w:r>
          </w:p>
          <w:p w14:paraId="5EB09DDA">
            <w:pPr>
              <w:jc w:val="left"/>
              <w:rPr>
                <w:rFonts w:hint="default"/>
                <w:color w:val="auto"/>
                <w:highlight w:val="none"/>
                <w:lang w:val="en-US" w:eastAsia="zh-CN"/>
              </w:rPr>
            </w:pPr>
            <w:r>
              <w:rPr>
                <w:rFonts w:hint="eastAsia"/>
                <w:b w:val="0"/>
                <w:bCs w:val="0"/>
                <w:color w:val="auto"/>
                <w:sz w:val="21"/>
                <w:szCs w:val="21"/>
                <w:highlight w:val="none"/>
                <w:lang w:val="en-US" w:eastAsia="zh-CN"/>
              </w:rPr>
              <w:t>C1523果菜汁及果菜汁饮料制造</w:t>
            </w:r>
          </w:p>
        </w:tc>
        <w:tc>
          <w:tcPr>
            <w:tcW w:w="2212" w:type="dxa"/>
            <w:noWrap w:val="0"/>
            <w:vAlign w:val="center"/>
          </w:tcPr>
          <w:p w14:paraId="3BA44DAF">
            <w:pPr>
              <w:adjustRightInd w:val="0"/>
              <w:snapToGrid w:val="0"/>
              <w:jc w:val="center"/>
              <w:rPr>
                <w:rFonts w:ascii="宋体" w:hAnsi="宋体" w:cs="宋体"/>
                <w:color w:val="auto"/>
                <w:szCs w:val="21"/>
                <w:highlight w:val="none"/>
              </w:rPr>
            </w:pPr>
            <w:bookmarkStart w:id="0" w:name="_Hlk49843745"/>
            <w:r>
              <w:rPr>
                <w:rFonts w:hint="eastAsia" w:ascii="宋体" w:hAnsi="宋体" w:cs="宋体"/>
                <w:color w:val="auto"/>
                <w:szCs w:val="21"/>
                <w:highlight w:val="none"/>
              </w:rPr>
              <w:t>建设项目</w:t>
            </w:r>
          </w:p>
          <w:p w14:paraId="064497F9">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行业类别</w:t>
            </w:r>
            <w:bookmarkEnd w:id="0"/>
          </w:p>
        </w:tc>
        <w:tc>
          <w:tcPr>
            <w:tcW w:w="2639" w:type="dxa"/>
            <w:noWrap w:val="0"/>
            <w:vAlign w:val="center"/>
          </w:tcPr>
          <w:p w14:paraId="16451D14">
            <w:pPr>
              <w:rPr>
                <w:rFonts w:hint="default" w:eastAsia="宋体"/>
                <w:color w:val="auto"/>
                <w:highlight w:val="none"/>
                <w:lang w:val="en-US" w:eastAsia="zh-CN"/>
              </w:rPr>
            </w:pPr>
            <w:r>
              <w:rPr>
                <w:rFonts w:hint="eastAsia"/>
                <w:color w:val="auto"/>
                <w:highlight w:val="none"/>
                <w:lang w:eastAsia="zh-CN"/>
              </w:rPr>
              <w:t>十一、食品制造；</w:t>
            </w:r>
            <w:r>
              <w:rPr>
                <w:rFonts w:hint="eastAsia"/>
                <w:color w:val="auto"/>
                <w:highlight w:val="none"/>
                <w:lang w:val="en-US" w:eastAsia="zh-CN"/>
              </w:rPr>
              <w:t>24</w:t>
            </w:r>
            <w:r>
              <w:rPr>
                <w:rFonts w:hint="eastAsia"/>
                <w:color w:val="auto"/>
                <w:highlight w:val="none"/>
                <w:lang w:eastAsia="zh-CN"/>
              </w:rPr>
              <w:t>其他食品制造</w:t>
            </w:r>
            <w:r>
              <w:rPr>
                <w:rFonts w:hint="eastAsia"/>
                <w:color w:val="auto"/>
                <w:highlight w:val="none"/>
                <w:lang w:val="en-US" w:eastAsia="zh-CN"/>
              </w:rPr>
              <w:t>；</w:t>
            </w:r>
          </w:p>
          <w:p w14:paraId="1FAE2CBC">
            <w:pPr>
              <w:rPr>
                <w:rFonts w:hint="eastAsia"/>
                <w:color w:val="auto"/>
                <w:highlight w:val="none"/>
              </w:rPr>
            </w:pPr>
            <w:r>
              <w:rPr>
                <w:rFonts w:hint="eastAsia"/>
                <w:color w:val="auto"/>
                <w:highlight w:val="none"/>
                <w:lang w:eastAsia="zh-CN"/>
              </w:rPr>
              <w:t>十二</w:t>
            </w:r>
            <w:r>
              <w:rPr>
                <w:rFonts w:hint="eastAsia"/>
                <w:color w:val="auto"/>
                <w:highlight w:val="none"/>
              </w:rPr>
              <w:t>、</w:t>
            </w:r>
            <w:r>
              <w:rPr>
                <w:rFonts w:hint="eastAsia"/>
                <w:color w:val="auto"/>
                <w:highlight w:val="none"/>
                <w:lang w:eastAsia="zh-CN"/>
              </w:rPr>
              <w:t>酒、饮料</w:t>
            </w:r>
            <w:r>
              <w:rPr>
                <w:rFonts w:hint="eastAsia"/>
                <w:color w:val="auto"/>
                <w:highlight w:val="none"/>
              </w:rPr>
              <w:t>制造业</w:t>
            </w:r>
            <w:r>
              <w:rPr>
                <w:rFonts w:hint="eastAsia"/>
                <w:color w:val="auto"/>
                <w:highlight w:val="none"/>
                <w:lang w:val="en-US" w:eastAsia="zh-CN"/>
              </w:rPr>
              <w:t>25</w:t>
            </w:r>
            <w:r>
              <w:rPr>
                <w:rFonts w:hint="eastAsia"/>
                <w:color w:val="auto"/>
                <w:highlight w:val="none"/>
                <w:lang w:eastAsia="zh-CN"/>
              </w:rPr>
              <w:t>酒的制造</w:t>
            </w:r>
            <w:r>
              <w:rPr>
                <w:rFonts w:hint="eastAsia"/>
                <w:color w:val="auto"/>
                <w:highlight w:val="none"/>
              </w:rPr>
              <w:t>；</w:t>
            </w:r>
            <w:r>
              <w:rPr>
                <w:rFonts w:hint="eastAsia"/>
                <w:color w:val="auto"/>
                <w:highlight w:val="none"/>
                <w:lang w:val="en-US" w:eastAsia="zh-CN"/>
              </w:rPr>
              <w:t>26</w:t>
            </w:r>
            <w:r>
              <w:rPr>
                <w:rFonts w:hint="eastAsia"/>
                <w:color w:val="auto"/>
                <w:highlight w:val="none"/>
                <w:lang w:eastAsia="zh-CN"/>
              </w:rPr>
              <w:t>饮料制造</w:t>
            </w:r>
          </w:p>
        </w:tc>
      </w:tr>
      <w:tr w14:paraId="4C9958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66" w:type="dxa"/>
            <w:noWrap w:val="0"/>
            <w:tcMar>
              <w:top w:w="16" w:type="dxa"/>
              <w:left w:w="16" w:type="dxa"/>
              <w:right w:w="16" w:type="dxa"/>
            </w:tcMar>
            <w:vAlign w:val="center"/>
          </w:tcPr>
          <w:p w14:paraId="3B7E895C">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建设性质</w:t>
            </w:r>
          </w:p>
        </w:tc>
        <w:tc>
          <w:tcPr>
            <w:tcW w:w="2353" w:type="dxa"/>
            <w:noWrap w:val="0"/>
            <w:vAlign w:val="center"/>
          </w:tcPr>
          <w:p w14:paraId="22FF6C23">
            <w:pPr>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新建（迁建）</w:t>
            </w:r>
          </w:p>
          <w:p w14:paraId="6183328A">
            <w:pPr>
              <w:jc w:val="left"/>
              <w:rPr>
                <w:rFonts w:hint="eastAsia" w:ascii="宋体" w:hAnsi="宋体" w:cs="宋体"/>
                <w:color w:val="auto"/>
                <w:szCs w:val="21"/>
                <w:highlight w:val="none"/>
              </w:rPr>
            </w:pPr>
            <w:r>
              <w:rPr>
                <w:rFonts w:hint="eastAsia" w:ascii="宋体" w:hAnsi="宋体" w:cs="宋体"/>
                <w:color w:val="auto"/>
                <w:szCs w:val="21"/>
                <w:highlight w:val="none"/>
              </w:rPr>
              <w:t>□改建</w:t>
            </w:r>
          </w:p>
          <w:p w14:paraId="3C495D37">
            <w:pPr>
              <w:jc w:val="left"/>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扩建</w:t>
            </w:r>
          </w:p>
          <w:p w14:paraId="00F17A99">
            <w:pPr>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技术改造</w:t>
            </w:r>
          </w:p>
        </w:tc>
        <w:tc>
          <w:tcPr>
            <w:tcW w:w="2212" w:type="dxa"/>
            <w:noWrap w:val="0"/>
            <w:vAlign w:val="center"/>
          </w:tcPr>
          <w:p w14:paraId="070DEA47">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建设项目</w:t>
            </w:r>
          </w:p>
          <w:p w14:paraId="1BE8ED26">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申报情形</w:t>
            </w:r>
          </w:p>
        </w:tc>
        <w:tc>
          <w:tcPr>
            <w:tcW w:w="2639" w:type="dxa"/>
            <w:noWrap w:val="0"/>
            <w:vAlign w:val="center"/>
          </w:tcPr>
          <w:p w14:paraId="0B46FF47">
            <w:pPr>
              <w:jc w:val="lef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首次申报项目</w:t>
            </w:r>
            <w:r>
              <w:rPr>
                <w:rFonts w:ascii="宋体" w:hAnsi="宋体" w:cs="宋体"/>
                <w:color w:val="auto"/>
                <w:szCs w:val="21"/>
                <w:highlight w:val="none"/>
              </w:rPr>
              <w:t xml:space="preserve">             </w:t>
            </w:r>
          </w:p>
          <w:p w14:paraId="09576973">
            <w:pPr>
              <w:jc w:val="left"/>
              <w:rPr>
                <w:rFonts w:ascii="宋体" w:hAnsi="宋体" w:cs="宋体"/>
                <w:color w:val="auto"/>
                <w:szCs w:val="21"/>
                <w:highlight w:val="none"/>
              </w:rPr>
            </w:pPr>
            <w:r>
              <w:rPr>
                <w:rFonts w:hint="eastAsia" w:ascii="宋体" w:hAnsi="宋体" w:cs="宋体"/>
                <w:color w:val="auto"/>
                <w:szCs w:val="21"/>
                <w:highlight w:val="none"/>
              </w:rPr>
              <w:t>□不予批准后再次申报项目</w:t>
            </w:r>
          </w:p>
          <w:p w14:paraId="361DBE13">
            <w:pPr>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超五年重新审核项目</w:t>
            </w:r>
            <w:r>
              <w:rPr>
                <w:rFonts w:ascii="宋体" w:hAnsi="宋体" w:cs="宋体"/>
                <w:color w:val="auto"/>
                <w:szCs w:val="21"/>
                <w:highlight w:val="none"/>
              </w:rPr>
              <w:t xml:space="preserve">     </w:t>
            </w:r>
          </w:p>
          <w:p w14:paraId="1E832700">
            <w:pPr>
              <w:jc w:val="left"/>
              <w:rPr>
                <w:rFonts w:ascii="宋体" w:hAnsi="宋体" w:cs="宋体"/>
                <w:color w:val="auto"/>
                <w:szCs w:val="21"/>
                <w:highlight w:val="none"/>
              </w:rPr>
            </w:pPr>
            <w:r>
              <w:rPr>
                <w:rFonts w:hint="eastAsia" w:ascii="宋体" w:hAnsi="宋体" w:cs="宋体"/>
                <w:color w:val="auto"/>
                <w:szCs w:val="21"/>
                <w:highlight w:val="none"/>
              </w:rPr>
              <w:t>□重大变动重新报批项目</w:t>
            </w:r>
          </w:p>
        </w:tc>
      </w:tr>
      <w:tr w14:paraId="361CC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66" w:type="dxa"/>
            <w:noWrap w:val="0"/>
            <w:tcMar>
              <w:top w:w="16" w:type="dxa"/>
              <w:left w:w="16" w:type="dxa"/>
              <w:right w:w="16" w:type="dxa"/>
            </w:tcMar>
            <w:vAlign w:val="center"/>
          </w:tcPr>
          <w:p w14:paraId="0835FF3F">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14:paraId="48D81ED1">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备案）部门（选填）</w:t>
            </w:r>
          </w:p>
        </w:tc>
        <w:tc>
          <w:tcPr>
            <w:tcW w:w="2353" w:type="dxa"/>
            <w:noWrap w:val="0"/>
            <w:vAlign w:val="center"/>
          </w:tcPr>
          <w:p w14:paraId="79EE1346">
            <w:pPr>
              <w:adjustRightInd w:val="0"/>
              <w:snapToGrid w:val="0"/>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洋县行政审批服务局</w:t>
            </w:r>
          </w:p>
        </w:tc>
        <w:tc>
          <w:tcPr>
            <w:tcW w:w="2212" w:type="dxa"/>
            <w:noWrap w:val="0"/>
            <w:vAlign w:val="center"/>
          </w:tcPr>
          <w:p w14:paraId="3008625E">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项目审批（核准</w:t>
            </w:r>
            <w:r>
              <w:rPr>
                <w:rFonts w:ascii="宋体" w:hAnsi="宋体" w:cs="宋体"/>
                <w:color w:val="auto"/>
                <w:szCs w:val="21"/>
                <w:highlight w:val="none"/>
              </w:rPr>
              <w:t>/</w:t>
            </w:r>
          </w:p>
          <w:p w14:paraId="58BE6316">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备案）文号（选填）</w:t>
            </w:r>
          </w:p>
        </w:tc>
        <w:tc>
          <w:tcPr>
            <w:tcW w:w="2639" w:type="dxa"/>
            <w:noWrap w:val="0"/>
            <w:vAlign w:val="center"/>
          </w:tcPr>
          <w:p w14:paraId="5B2AAA08">
            <w:pPr>
              <w:adjustRightInd w:val="0"/>
              <w:snapToGrid w:val="0"/>
              <w:jc w:val="center"/>
              <w:rPr>
                <w:rFonts w:hint="eastAsia" w:ascii="宋体" w:hAnsi="宋体" w:cs="宋体"/>
                <w:color w:val="auto"/>
                <w:szCs w:val="21"/>
                <w:highlight w:val="none"/>
              </w:rPr>
            </w:pPr>
            <w:r>
              <w:rPr>
                <w:rFonts w:hint="eastAsia"/>
                <w:color w:val="auto"/>
                <w:szCs w:val="21"/>
                <w:highlight w:val="none"/>
              </w:rPr>
              <w:t>2311-610723-04-01-311818</w:t>
            </w:r>
          </w:p>
        </w:tc>
      </w:tr>
      <w:tr w14:paraId="67308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6" w:type="dxa"/>
            <w:noWrap w:val="0"/>
            <w:tcMar>
              <w:top w:w="16" w:type="dxa"/>
              <w:left w:w="16" w:type="dxa"/>
              <w:right w:w="16" w:type="dxa"/>
            </w:tcMar>
            <w:vAlign w:val="center"/>
          </w:tcPr>
          <w:p w14:paraId="6C9C8EBD">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总投资（万元）</w:t>
            </w:r>
          </w:p>
        </w:tc>
        <w:tc>
          <w:tcPr>
            <w:tcW w:w="2353" w:type="dxa"/>
            <w:noWrap w:val="0"/>
            <w:vAlign w:val="center"/>
          </w:tcPr>
          <w:p w14:paraId="1E730C51">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5300</w:t>
            </w:r>
          </w:p>
        </w:tc>
        <w:tc>
          <w:tcPr>
            <w:tcW w:w="2212" w:type="dxa"/>
            <w:noWrap w:val="0"/>
            <w:tcMar>
              <w:top w:w="16" w:type="dxa"/>
              <w:left w:w="16" w:type="dxa"/>
              <w:right w:w="16" w:type="dxa"/>
            </w:tcMar>
            <w:vAlign w:val="center"/>
          </w:tcPr>
          <w:p w14:paraId="1A55E656">
            <w:pPr>
              <w:adjustRightInd w:val="0"/>
              <w:snapToGrid w:val="0"/>
              <w:jc w:val="center"/>
              <w:rPr>
                <w:color w:val="auto"/>
                <w:szCs w:val="21"/>
                <w:highlight w:val="none"/>
              </w:rPr>
            </w:pPr>
            <w:r>
              <w:rPr>
                <w:color w:val="auto"/>
                <w:szCs w:val="21"/>
                <w:highlight w:val="none"/>
              </w:rPr>
              <w:t>环保投资（万元）</w:t>
            </w:r>
          </w:p>
        </w:tc>
        <w:tc>
          <w:tcPr>
            <w:tcW w:w="2639" w:type="dxa"/>
            <w:noWrap w:val="0"/>
            <w:vAlign w:val="center"/>
          </w:tcPr>
          <w:p w14:paraId="3F35F76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80</w:t>
            </w:r>
          </w:p>
        </w:tc>
      </w:tr>
      <w:tr w14:paraId="1A1CC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666" w:type="dxa"/>
            <w:noWrap w:val="0"/>
            <w:tcMar>
              <w:top w:w="16" w:type="dxa"/>
              <w:left w:w="16" w:type="dxa"/>
              <w:right w:w="16" w:type="dxa"/>
            </w:tcMar>
            <w:vAlign w:val="center"/>
          </w:tcPr>
          <w:p w14:paraId="31C039A5">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环保投资占比（</w:t>
            </w:r>
            <w:r>
              <w:rPr>
                <w:rFonts w:ascii="宋体" w:hAnsi="宋体" w:cs="宋体"/>
                <w:color w:val="auto"/>
                <w:szCs w:val="21"/>
                <w:highlight w:val="none"/>
              </w:rPr>
              <w:t>%</w:t>
            </w:r>
            <w:r>
              <w:rPr>
                <w:rFonts w:hint="eastAsia" w:ascii="宋体" w:hAnsi="宋体" w:cs="宋体"/>
                <w:color w:val="auto"/>
                <w:szCs w:val="21"/>
                <w:highlight w:val="none"/>
              </w:rPr>
              <w:t>）</w:t>
            </w:r>
          </w:p>
        </w:tc>
        <w:tc>
          <w:tcPr>
            <w:tcW w:w="2353" w:type="dxa"/>
            <w:noWrap w:val="0"/>
            <w:vAlign w:val="center"/>
          </w:tcPr>
          <w:p w14:paraId="36F03510">
            <w:pPr>
              <w:adjustRightInd w:val="0"/>
              <w:snapToGrid w:val="0"/>
              <w:jc w:val="center"/>
              <w:rPr>
                <w:color w:val="auto"/>
                <w:szCs w:val="21"/>
                <w:highlight w:val="none"/>
              </w:rPr>
            </w:pPr>
            <w:r>
              <w:rPr>
                <w:rFonts w:hint="eastAsia"/>
                <w:color w:val="auto"/>
                <w:szCs w:val="21"/>
                <w:highlight w:val="none"/>
                <w:lang w:val="en-US" w:eastAsia="zh-CN"/>
              </w:rPr>
              <w:t>1.51</w:t>
            </w:r>
            <w:r>
              <w:rPr>
                <w:color w:val="auto"/>
                <w:szCs w:val="21"/>
                <w:highlight w:val="none"/>
              </w:rPr>
              <w:t>%</w:t>
            </w:r>
          </w:p>
        </w:tc>
        <w:tc>
          <w:tcPr>
            <w:tcW w:w="2212" w:type="dxa"/>
            <w:noWrap w:val="0"/>
            <w:tcMar>
              <w:top w:w="16" w:type="dxa"/>
              <w:left w:w="16" w:type="dxa"/>
              <w:right w:w="16" w:type="dxa"/>
            </w:tcMar>
            <w:vAlign w:val="center"/>
          </w:tcPr>
          <w:p w14:paraId="08D18A64">
            <w:pPr>
              <w:adjustRightInd w:val="0"/>
              <w:snapToGrid w:val="0"/>
              <w:jc w:val="center"/>
              <w:rPr>
                <w:color w:val="auto"/>
                <w:szCs w:val="21"/>
                <w:highlight w:val="none"/>
              </w:rPr>
            </w:pPr>
            <w:r>
              <w:rPr>
                <w:color w:val="auto"/>
                <w:szCs w:val="21"/>
                <w:highlight w:val="none"/>
              </w:rPr>
              <w:t>施工工期</w:t>
            </w:r>
          </w:p>
        </w:tc>
        <w:tc>
          <w:tcPr>
            <w:tcW w:w="2639" w:type="dxa"/>
            <w:noWrap w:val="0"/>
            <w:vAlign w:val="center"/>
          </w:tcPr>
          <w:p w14:paraId="6EE14B80">
            <w:pPr>
              <w:adjustRightInd w:val="0"/>
              <w:snapToGrid w:val="0"/>
              <w:jc w:val="center"/>
              <w:rPr>
                <w:color w:val="auto"/>
                <w:szCs w:val="21"/>
                <w:highlight w:val="none"/>
              </w:rPr>
            </w:pPr>
            <w:r>
              <w:rPr>
                <w:rFonts w:hint="eastAsia"/>
                <w:color w:val="auto"/>
                <w:szCs w:val="21"/>
                <w:highlight w:val="none"/>
              </w:rPr>
              <w:t>202</w:t>
            </w:r>
            <w:r>
              <w:rPr>
                <w:rFonts w:hint="eastAsia"/>
                <w:color w:val="auto"/>
                <w:szCs w:val="21"/>
                <w:highlight w:val="none"/>
                <w:lang w:val="en-US" w:eastAsia="zh-CN"/>
              </w:rPr>
              <w:t>5</w:t>
            </w:r>
            <w:r>
              <w:rPr>
                <w:rFonts w:hint="eastAsia"/>
                <w:color w:val="auto"/>
                <w:szCs w:val="21"/>
                <w:highlight w:val="none"/>
              </w:rPr>
              <w:t>年</w:t>
            </w:r>
            <w:r>
              <w:rPr>
                <w:rFonts w:hint="eastAsia"/>
                <w:color w:val="auto"/>
                <w:szCs w:val="21"/>
                <w:highlight w:val="none"/>
                <w:lang w:val="en-US" w:eastAsia="zh-CN"/>
              </w:rPr>
              <w:t>9</w:t>
            </w:r>
            <w:r>
              <w:rPr>
                <w:rFonts w:hint="eastAsia"/>
                <w:color w:val="auto"/>
                <w:szCs w:val="21"/>
                <w:highlight w:val="none"/>
              </w:rPr>
              <w:t>月</w:t>
            </w:r>
            <w:r>
              <w:rPr>
                <w:rFonts w:hint="eastAsia"/>
                <w:color w:val="auto"/>
                <w:szCs w:val="21"/>
                <w:highlight w:val="none"/>
                <w:lang w:eastAsia="zh-CN"/>
              </w:rPr>
              <w:t>—</w:t>
            </w:r>
            <w:r>
              <w:rPr>
                <w:rFonts w:hint="eastAsia"/>
                <w:color w:val="auto"/>
                <w:szCs w:val="21"/>
                <w:highlight w:val="none"/>
                <w:lang w:val="en-US" w:eastAsia="zh-CN"/>
              </w:rPr>
              <w:t>2026年5</w:t>
            </w:r>
            <w:r>
              <w:rPr>
                <w:rFonts w:hint="eastAsia"/>
                <w:color w:val="auto"/>
                <w:szCs w:val="21"/>
                <w:highlight w:val="none"/>
              </w:rPr>
              <w:t>月</w:t>
            </w:r>
          </w:p>
        </w:tc>
      </w:tr>
      <w:tr w14:paraId="44C9D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66" w:type="dxa"/>
            <w:noWrap w:val="0"/>
            <w:tcMar>
              <w:top w:w="16" w:type="dxa"/>
              <w:left w:w="16" w:type="dxa"/>
              <w:right w:w="16" w:type="dxa"/>
            </w:tcMar>
            <w:vAlign w:val="center"/>
          </w:tcPr>
          <w:p w14:paraId="048BA421">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是否开工建设</w:t>
            </w:r>
          </w:p>
        </w:tc>
        <w:tc>
          <w:tcPr>
            <w:tcW w:w="2353" w:type="dxa"/>
            <w:noWrap w:val="0"/>
            <w:vAlign w:val="center"/>
          </w:tcPr>
          <w:p w14:paraId="214B1919">
            <w:pPr>
              <w:adjustRightInd w:val="0"/>
              <w:snapToGrid w:val="0"/>
              <w:rPr>
                <w:color w:val="auto"/>
                <w:szCs w:val="21"/>
                <w:highlight w:val="none"/>
              </w:rPr>
            </w:pPr>
            <w:r>
              <w:rPr>
                <w:color w:val="auto"/>
                <w:szCs w:val="21"/>
                <w:highlight w:val="none"/>
              </w:rPr>
              <w:sym w:font="Wingdings 2" w:char="00A3"/>
            </w:r>
            <w:r>
              <w:rPr>
                <w:color w:val="auto"/>
                <w:szCs w:val="21"/>
                <w:highlight w:val="none"/>
              </w:rPr>
              <w:t>否</w:t>
            </w:r>
          </w:p>
          <w:p w14:paraId="72139117">
            <w:pPr>
              <w:adjustRightInd w:val="0"/>
              <w:snapToGrid w:val="0"/>
              <w:rPr>
                <w:rFonts w:hint="eastAsia"/>
                <w:color w:val="auto"/>
                <w:szCs w:val="21"/>
                <w:highlight w:val="none"/>
                <w:u w:val="single"/>
                <w:lang w:val="en-US" w:eastAsia="zh-CN"/>
              </w:rPr>
            </w:pPr>
            <w:r>
              <w:rPr>
                <w:color w:val="auto"/>
                <w:szCs w:val="21"/>
                <w:highlight w:val="none"/>
              </w:rPr>
              <w:sym w:font="Wingdings 2" w:char="0052"/>
            </w:r>
            <w:r>
              <w:rPr>
                <w:color w:val="auto"/>
                <w:szCs w:val="21"/>
                <w:highlight w:val="none"/>
              </w:rPr>
              <w:t>是：</w:t>
            </w:r>
            <w:r>
              <w:rPr>
                <w:color w:val="auto"/>
                <w:szCs w:val="21"/>
                <w:highlight w:val="none"/>
                <w:u w:val="single"/>
              </w:rPr>
              <w:t xml:space="preserve"> </w:t>
            </w:r>
            <w:r>
              <w:rPr>
                <w:rFonts w:hint="eastAsia"/>
                <w:color w:val="auto"/>
                <w:szCs w:val="21"/>
                <w:highlight w:val="none"/>
                <w:u w:val="single"/>
                <w:lang w:eastAsia="zh-CN"/>
              </w:rPr>
              <w:t>现场踏勘时部分</w:t>
            </w:r>
          </w:p>
          <w:p w14:paraId="1FB597D5">
            <w:pPr>
              <w:adjustRightInd w:val="0"/>
              <w:snapToGrid w:val="0"/>
              <w:rPr>
                <w:color w:val="auto"/>
                <w:szCs w:val="21"/>
                <w:highlight w:val="none"/>
              </w:rPr>
            </w:pPr>
            <w:r>
              <w:rPr>
                <w:rFonts w:hint="eastAsia"/>
                <w:color w:val="auto"/>
                <w:szCs w:val="21"/>
                <w:highlight w:val="none"/>
                <w:u w:val="single"/>
                <w:lang w:eastAsia="zh-CN"/>
              </w:rPr>
              <w:t>厂房（</w:t>
            </w:r>
            <w:r>
              <w:rPr>
                <w:rFonts w:hint="eastAsia"/>
                <w:color w:val="auto"/>
                <w:szCs w:val="21"/>
                <w:highlight w:val="none"/>
                <w:u w:val="single"/>
                <w:lang w:val="en-US" w:eastAsia="zh-CN"/>
              </w:rPr>
              <w:t>1#、2#、3#</w:t>
            </w:r>
            <w:r>
              <w:rPr>
                <w:rFonts w:hint="eastAsia"/>
                <w:color w:val="auto"/>
                <w:szCs w:val="21"/>
                <w:highlight w:val="none"/>
                <w:u w:val="single"/>
                <w:lang w:eastAsia="zh-CN"/>
              </w:rPr>
              <w:t>）主体已建成，其余区域正在进行土地平整，暂未投产，未受到行政处罚</w:t>
            </w:r>
            <w:r>
              <w:rPr>
                <w:color w:val="auto"/>
                <w:szCs w:val="21"/>
                <w:highlight w:val="none"/>
                <w:u w:val="single"/>
              </w:rPr>
              <w:t xml:space="preserve">            </w:t>
            </w:r>
          </w:p>
        </w:tc>
        <w:tc>
          <w:tcPr>
            <w:tcW w:w="2212" w:type="dxa"/>
            <w:noWrap w:val="0"/>
            <w:tcMar>
              <w:top w:w="16" w:type="dxa"/>
              <w:left w:w="16" w:type="dxa"/>
              <w:right w:w="16" w:type="dxa"/>
            </w:tcMar>
            <w:vAlign w:val="center"/>
          </w:tcPr>
          <w:p w14:paraId="0C44BFF9">
            <w:pPr>
              <w:adjustRightInd w:val="0"/>
              <w:snapToGrid w:val="0"/>
              <w:jc w:val="center"/>
              <w:rPr>
                <w:color w:val="auto"/>
                <w:spacing w:val="-6"/>
                <w:szCs w:val="21"/>
                <w:highlight w:val="none"/>
              </w:rPr>
            </w:pPr>
            <w:r>
              <w:rPr>
                <w:color w:val="auto"/>
                <w:spacing w:val="-6"/>
                <w:szCs w:val="21"/>
                <w:highlight w:val="none"/>
              </w:rPr>
              <w:t>用地（用海）</w:t>
            </w:r>
          </w:p>
          <w:p w14:paraId="0E2710D1">
            <w:pPr>
              <w:adjustRightInd w:val="0"/>
              <w:snapToGrid w:val="0"/>
              <w:jc w:val="center"/>
              <w:rPr>
                <w:color w:val="auto"/>
                <w:szCs w:val="21"/>
                <w:highlight w:val="none"/>
              </w:rPr>
            </w:pPr>
            <w:r>
              <w:rPr>
                <w:color w:val="auto"/>
                <w:spacing w:val="-6"/>
                <w:szCs w:val="21"/>
                <w:highlight w:val="none"/>
              </w:rPr>
              <w:t>面积（m</w:t>
            </w:r>
            <w:r>
              <w:rPr>
                <w:color w:val="auto"/>
                <w:spacing w:val="-6"/>
                <w:szCs w:val="21"/>
                <w:highlight w:val="none"/>
                <w:vertAlign w:val="superscript"/>
              </w:rPr>
              <w:t>2</w:t>
            </w:r>
            <w:r>
              <w:rPr>
                <w:color w:val="auto"/>
                <w:spacing w:val="-6"/>
                <w:szCs w:val="21"/>
                <w:highlight w:val="none"/>
              </w:rPr>
              <w:t>）</w:t>
            </w:r>
          </w:p>
        </w:tc>
        <w:tc>
          <w:tcPr>
            <w:tcW w:w="2639" w:type="dxa"/>
            <w:noWrap w:val="0"/>
            <w:vAlign w:val="center"/>
          </w:tcPr>
          <w:p w14:paraId="0C036351">
            <w:pPr>
              <w:adjustRightInd w:val="0"/>
              <w:snapToGrid w:val="0"/>
              <w:jc w:val="center"/>
              <w:rPr>
                <w:color w:val="auto"/>
                <w:szCs w:val="21"/>
                <w:highlight w:val="none"/>
              </w:rPr>
            </w:pPr>
            <w:r>
              <w:rPr>
                <w:rFonts w:hint="eastAsia"/>
                <w:color w:val="auto"/>
                <w:szCs w:val="21"/>
                <w:highlight w:val="none"/>
              </w:rPr>
              <w:t>厂区总面积约</w:t>
            </w:r>
            <w:r>
              <w:rPr>
                <w:rFonts w:hint="eastAsia"/>
                <w:color w:val="auto"/>
                <w:szCs w:val="21"/>
                <w:highlight w:val="none"/>
                <w:lang w:val="en-US" w:eastAsia="zh-CN"/>
              </w:rPr>
              <w:t>13494.07</w:t>
            </w:r>
            <w:r>
              <w:rPr>
                <w:rFonts w:hint="eastAsia"/>
                <w:color w:val="auto"/>
                <w:szCs w:val="21"/>
                <w:highlight w:val="none"/>
              </w:rPr>
              <w:t>m</w:t>
            </w:r>
            <w:r>
              <w:rPr>
                <w:rFonts w:hint="eastAsia"/>
                <w:color w:val="auto"/>
                <w:szCs w:val="21"/>
                <w:highlight w:val="none"/>
                <w:vertAlign w:val="superscript"/>
              </w:rPr>
              <w:t>2</w:t>
            </w:r>
          </w:p>
        </w:tc>
      </w:tr>
      <w:tr w14:paraId="0E65A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666" w:type="dxa"/>
            <w:noWrap w:val="0"/>
            <w:vAlign w:val="center"/>
          </w:tcPr>
          <w:p w14:paraId="468876D6">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专项评价设置情况</w:t>
            </w:r>
          </w:p>
        </w:tc>
        <w:tc>
          <w:tcPr>
            <w:tcW w:w="7204" w:type="dxa"/>
            <w:gridSpan w:val="3"/>
            <w:noWrap w:val="0"/>
            <w:vAlign w:val="center"/>
          </w:tcPr>
          <w:p w14:paraId="6C642314">
            <w:pPr>
              <w:autoSpaceDE w:val="0"/>
              <w:autoSpaceDN w:val="0"/>
              <w:adjustRightInd w:val="0"/>
              <w:snapToGrid w:val="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无</w:t>
            </w:r>
          </w:p>
        </w:tc>
      </w:tr>
      <w:tr w14:paraId="6794E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66" w:type="dxa"/>
            <w:noWrap w:val="0"/>
            <w:vAlign w:val="center"/>
          </w:tcPr>
          <w:p w14:paraId="2143B925">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规划情况</w:t>
            </w:r>
          </w:p>
        </w:tc>
        <w:tc>
          <w:tcPr>
            <w:tcW w:w="7204" w:type="dxa"/>
            <w:gridSpan w:val="3"/>
            <w:noWrap w:val="0"/>
            <w:vAlign w:val="center"/>
          </w:tcPr>
          <w:p w14:paraId="59094CB2">
            <w:pPr>
              <w:autoSpaceDE w:val="0"/>
              <w:autoSpaceDN w:val="0"/>
              <w:adjustRightInd w:val="0"/>
              <w:snapToGrid w:val="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规划名称：《陕西洋县经济技术开发区总体发展规划》</w:t>
            </w:r>
          </w:p>
          <w:p w14:paraId="7AA0F696">
            <w:pPr>
              <w:autoSpaceDE w:val="0"/>
              <w:autoSpaceDN w:val="0"/>
              <w:adjustRightInd w:val="0"/>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审查机关：陕西省人民政府</w:t>
            </w:r>
          </w:p>
          <w:p w14:paraId="4E90D96C">
            <w:pPr>
              <w:autoSpaceDE w:val="0"/>
              <w:autoSpaceDN w:val="0"/>
              <w:adjustRightInd w:val="0"/>
              <w:snapToGrid w:val="0"/>
              <w:rPr>
                <w:rFonts w:hint="eastAsia" w:hAnsi="宋体" w:cs="宋体"/>
                <w:color w:val="auto"/>
                <w:kern w:val="0"/>
                <w:szCs w:val="21"/>
                <w:highlight w:val="none"/>
                <w:lang w:eastAsia="zh-CN"/>
              </w:rPr>
            </w:pPr>
            <w:r>
              <w:rPr>
                <w:rFonts w:hint="eastAsia" w:ascii="宋体" w:hAnsi="宋体" w:eastAsia="宋体" w:cs="宋体"/>
                <w:color w:val="auto"/>
                <w:kern w:val="0"/>
                <w:szCs w:val="21"/>
                <w:highlight w:val="none"/>
                <w:lang w:eastAsia="zh-CN"/>
              </w:rPr>
              <w:t>审查文件名称及文号：《陕西省人民政府关于认定潼关县工业园区等11个工业园区为省级经济技术开发区的批复》（汉政函〔2025〕54号）</w:t>
            </w:r>
          </w:p>
        </w:tc>
      </w:tr>
      <w:tr w14:paraId="5FC4C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66" w:type="dxa"/>
            <w:noWrap w:val="0"/>
            <w:vAlign w:val="center"/>
          </w:tcPr>
          <w:p w14:paraId="6FEFE2CF">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规划环境影响</w:t>
            </w:r>
          </w:p>
          <w:p w14:paraId="0F38B848">
            <w:pPr>
              <w:adjustRightInd w:val="0"/>
              <w:snapToGrid w:val="0"/>
              <w:jc w:val="center"/>
              <w:rPr>
                <w:rFonts w:hint="eastAsia" w:ascii="宋体" w:hAnsi="宋体" w:cs="宋体"/>
                <w:color w:val="auto"/>
                <w:kern w:val="0"/>
                <w:szCs w:val="21"/>
                <w:highlight w:val="none"/>
              </w:rPr>
            </w:pPr>
            <w:r>
              <w:rPr>
                <w:rFonts w:hint="eastAsia" w:ascii="宋体" w:hAnsi="宋体" w:cs="宋体"/>
                <w:color w:val="auto"/>
                <w:szCs w:val="21"/>
                <w:highlight w:val="none"/>
              </w:rPr>
              <w:t>评价情况</w:t>
            </w:r>
          </w:p>
        </w:tc>
        <w:tc>
          <w:tcPr>
            <w:tcW w:w="7204" w:type="dxa"/>
            <w:gridSpan w:val="3"/>
            <w:noWrap w:val="0"/>
            <w:vAlign w:val="center"/>
          </w:tcPr>
          <w:p w14:paraId="1E42E3B0">
            <w:pPr>
              <w:autoSpaceDE w:val="0"/>
              <w:autoSpaceDN w:val="0"/>
              <w:adjustRightInd w:val="0"/>
              <w:snapToGrid w:val="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规划环境影响评价文件名称：《陕西洋县经济技术开发区总体发展规划环境影响报告书》</w:t>
            </w:r>
          </w:p>
          <w:p w14:paraId="3C5A5284">
            <w:pPr>
              <w:autoSpaceDE w:val="0"/>
              <w:autoSpaceDN w:val="0"/>
              <w:adjustRightInd w:val="0"/>
              <w:snapToGrid w:val="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召集审查机关：陕西省生态环境厅</w:t>
            </w:r>
          </w:p>
          <w:p w14:paraId="370BCB83">
            <w:pPr>
              <w:autoSpaceDE w:val="0"/>
              <w:autoSpaceDN w:val="0"/>
              <w:adjustRightInd w:val="0"/>
              <w:snapToGrid w:val="0"/>
              <w:rPr>
                <w:rFonts w:hint="eastAsia" w:ascii="宋体" w:hAnsi="宋体" w:cs="宋体"/>
                <w:color w:val="auto"/>
                <w:kern w:val="0"/>
                <w:szCs w:val="21"/>
                <w:highlight w:val="none"/>
              </w:rPr>
            </w:pPr>
            <w:r>
              <w:rPr>
                <w:rFonts w:hint="default" w:ascii="Times New Roman" w:hAnsi="Times New Roman" w:cs="Times New Roman"/>
                <w:color w:val="auto"/>
                <w:kern w:val="0"/>
                <w:szCs w:val="21"/>
                <w:highlight w:val="none"/>
              </w:rPr>
              <w:t>审查文件名称及文号：《陕西省生态环境厅关于陕西洋县经济技术开发区总体发展规划（2024</w:t>
            </w:r>
            <w:r>
              <w:rPr>
                <w:rFonts w:hint="eastAsia"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2035年）环境影响报告书审查意见的函》（陕环环评函〔2025〕79号）</w:t>
            </w:r>
          </w:p>
        </w:tc>
      </w:tr>
      <w:tr w14:paraId="2554B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666" w:type="dxa"/>
            <w:noWrap w:val="0"/>
            <w:vAlign w:val="center"/>
          </w:tcPr>
          <w:p w14:paraId="12812E23">
            <w:pPr>
              <w:autoSpaceDE w:val="0"/>
              <w:autoSpaceDN w:val="0"/>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规划及规划环境影响评价符合性分析</w:t>
            </w:r>
          </w:p>
        </w:tc>
        <w:tc>
          <w:tcPr>
            <w:tcW w:w="7204" w:type="dxa"/>
            <w:gridSpan w:val="3"/>
            <w:noWrap w:val="0"/>
            <w:vAlign w:val="center"/>
          </w:tcPr>
          <w:p w14:paraId="4CFFD548">
            <w:pPr>
              <w:autoSpaceDE w:val="0"/>
              <w:autoSpaceDN w:val="0"/>
              <w:adjustRightInd w:val="0"/>
              <w:snapToGrid w:val="0"/>
              <w:spacing w:line="360" w:lineRule="auto"/>
              <w:ind w:firstLine="482" w:firstLineChars="200"/>
              <w:rPr>
                <w:rFonts w:hint="eastAsia" w:eastAsia="宋体"/>
                <w:b/>
                <w:bCs/>
                <w:color w:val="auto"/>
                <w:kern w:val="0"/>
                <w:sz w:val="24"/>
                <w:highlight w:val="none"/>
                <w:u w:val="none"/>
                <w:lang w:eastAsia="zh-CN"/>
              </w:rPr>
            </w:pPr>
            <w:r>
              <w:rPr>
                <w:rFonts w:hint="eastAsia"/>
                <w:b/>
                <w:bCs/>
                <w:color w:val="auto"/>
                <w:kern w:val="0"/>
                <w:sz w:val="24"/>
                <w:highlight w:val="none"/>
                <w:lang w:eastAsia="zh-CN"/>
              </w:rPr>
              <w:t>1.</w:t>
            </w:r>
            <w:r>
              <w:rPr>
                <w:b/>
                <w:bCs/>
                <w:color w:val="auto"/>
                <w:kern w:val="0"/>
                <w:sz w:val="24"/>
                <w:highlight w:val="none"/>
                <w:u w:val="none"/>
              </w:rPr>
              <w:t>本项目</w:t>
            </w:r>
            <w:r>
              <w:rPr>
                <w:rFonts w:hint="eastAsia"/>
                <w:b/>
                <w:bCs/>
                <w:color w:val="auto"/>
                <w:kern w:val="0"/>
                <w:sz w:val="24"/>
                <w:highlight w:val="none"/>
                <w:u w:val="none"/>
                <w:lang w:eastAsia="zh-CN"/>
              </w:rPr>
              <w:t>与《</w:t>
            </w:r>
            <w:r>
              <w:rPr>
                <w:rFonts w:hint="eastAsia"/>
                <w:b/>
                <w:bCs/>
                <w:color w:val="auto"/>
                <w:kern w:val="0"/>
                <w:sz w:val="24"/>
                <w:highlight w:val="none"/>
                <w:u w:val="none"/>
              </w:rPr>
              <w:t>陕西洋县经济技术开发区总体发展规划</w:t>
            </w:r>
            <w:r>
              <w:rPr>
                <w:rFonts w:hint="eastAsia"/>
                <w:b/>
                <w:bCs/>
                <w:color w:val="auto"/>
                <w:kern w:val="0"/>
                <w:sz w:val="24"/>
                <w:highlight w:val="none"/>
                <w:u w:val="none"/>
                <w:lang w:eastAsia="zh-CN"/>
              </w:rPr>
              <w:t>》</w:t>
            </w:r>
            <w:r>
              <w:rPr>
                <w:rFonts w:hint="eastAsia"/>
                <w:b/>
                <w:bCs/>
                <w:color w:val="auto"/>
                <w:kern w:val="0"/>
                <w:sz w:val="24"/>
                <w:highlight w:val="none"/>
                <w:u w:val="none"/>
              </w:rPr>
              <w:t>符合性</w:t>
            </w:r>
            <w:r>
              <w:rPr>
                <w:rFonts w:hint="eastAsia"/>
                <w:b/>
                <w:bCs/>
                <w:color w:val="auto"/>
                <w:kern w:val="0"/>
                <w:sz w:val="24"/>
                <w:highlight w:val="none"/>
                <w:u w:val="none"/>
                <w:lang w:eastAsia="zh-CN"/>
              </w:rPr>
              <w:t>分析</w:t>
            </w:r>
          </w:p>
          <w:p w14:paraId="458CC1C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color w:val="auto"/>
                <w:kern w:val="0"/>
                <w:sz w:val="24"/>
                <w:highlight w:val="none"/>
                <w:lang w:val="en-US" w:eastAsia="zh-CN"/>
              </w:rPr>
              <w:t>规划范围：</w:t>
            </w:r>
          </w:p>
          <w:p w14:paraId="570483B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color w:val="auto"/>
                <w:kern w:val="0"/>
                <w:sz w:val="24"/>
                <w:highlight w:val="none"/>
                <w:lang w:val="en-US" w:eastAsia="zh-CN"/>
              </w:rPr>
              <w:t>陕西洋县经济技术开发区总面积365.21公顷，由三个区块组成。</w:t>
            </w:r>
          </w:p>
          <w:p w14:paraId="25855A1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color w:val="auto"/>
                <w:kern w:val="0"/>
                <w:sz w:val="24"/>
                <w:highlight w:val="none"/>
                <w:lang w:val="en-US" w:eastAsia="zh-CN"/>
              </w:rPr>
              <w:t>区块一面积194.57公顷，四至范围为：东至滨河西路，南至G108国道、洋县国基工程材料有限公司南边界，西至东二环路，北至姜家村村道。</w:t>
            </w:r>
          </w:p>
          <w:p w14:paraId="7893A53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color w:val="auto"/>
                <w:kern w:val="0"/>
                <w:sz w:val="24"/>
                <w:highlight w:val="none"/>
                <w:lang w:val="en-US" w:eastAsia="zh-CN"/>
              </w:rPr>
              <w:t>区块二面积70.62公顷，其中，小微企业孵化板块四至范围为：东至磨子桥污水处理厂东边界及规划道路，南至汉黄路，西至冶磨路，北至京昆高速南约100米；航空配件产业板块四至范围为：东至四兴村耕地，南至阳安铁路北约20米，西至307专线，北至阳安铁路北约300米。</w:t>
            </w:r>
          </w:p>
          <w:p w14:paraId="0577FC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color w:val="auto"/>
                <w:kern w:val="0"/>
                <w:sz w:val="24"/>
                <w:highlight w:val="none"/>
                <w:lang w:val="en-US" w:eastAsia="zh-CN"/>
              </w:rPr>
              <w:t>区块三面积100.02公顷，四至范围为：东至盛华冶化公司东边界、范坝村，南至汉江北约150米，西至405铁路专线，北至材一路。</w:t>
            </w:r>
          </w:p>
          <w:p w14:paraId="14203E2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color w:val="auto"/>
                <w:kern w:val="0"/>
                <w:sz w:val="24"/>
                <w:highlight w:val="none"/>
                <w:lang w:val="en-US" w:eastAsia="zh-CN"/>
              </w:rPr>
            </w:pPr>
            <w:r>
              <w:rPr>
                <w:rFonts w:hint="eastAsia"/>
                <w:b/>
                <w:bCs/>
                <w:color w:val="auto"/>
                <w:kern w:val="0"/>
                <w:sz w:val="24"/>
                <w:highlight w:val="none"/>
                <w:u w:val="single"/>
                <w:lang w:eastAsia="zh-CN"/>
              </w:rPr>
              <w:t>本项目区位：</w:t>
            </w:r>
            <w:r>
              <w:rPr>
                <w:rFonts w:hint="eastAsia"/>
                <w:b w:val="0"/>
                <w:bCs w:val="0"/>
                <w:color w:val="auto"/>
                <w:kern w:val="0"/>
                <w:sz w:val="24"/>
                <w:highlight w:val="none"/>
                <w:lang w:eastAsia="zh-CN"/>
              </w:rPr>
              <w:t>经对照本项目位于陕西洋县经济技术开发区中的区块一中的绿色有机产业园。</w:t>
            </w:r>
          </w:p>
          <w:p w14:paraId="018283D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color w:val="auto"/>
                <w:kern w:val="0"/>
                <w:sz w:val="24"/>
                <w:highlight w:val="none"/>
                <w:lang w:val="en-US" w:eastAsia="zh-CN"/>
              </w:rPr>
              <w:t>（1）园区定位</w:t>
            </w:r>
          </w:p>
          <w:p w14:paraId="08F76A4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ascii="宋体" w:hAnsi="宋体" w:eastAsia="宋体" w:cs="宋体"/>
                <w:color w:val="auto"/>
                <w:kern w:val="0"/>
                <w:sz w:val="24"/>
                <w:highlight w:val="none"/>
                <w:lang w:val="en-US" w:eastAsia="zh-CN"/>
              </w:rPr>
              <w:t>①</w:t>
            </w:r>
            <w:r>
              <w:rPr>
                <w:rFonts w:hint="eastAsia"/>
                <w:color w:val="auto"/>
                <w:kern w:val="0"/>
                <w:sz w:val="24"/>
                <w:highlight w:val="none"/>
                <w:lang w:val="en-US" w:eastAsia="zh-CN"/>
              </w:rPr>
              <w:t>绿色有机产业园</w:t>
            </w:r>
          </w:p>
          <w:p w14:paraId="2695828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kern w:val="0"/>
                <w:sz w:val="24"/>
                <w:highlight w:val="none"/>
                <w:lang w:val="en-US" w:eastAsia="zh-CN"/>
              </w:rPr>
            </w:pPr>
            <w:r>
              <w:rPr>
                <w:rFonts w:hint="eastAsia"/>
                <w:color w:val="auto"/>
                <w:kern w:val="0"/>
                <w:sz w:val="24"/>
                <w:highlight w:val="none"/>
                <w:lang w:val="en-US" w:eastAsia="zh-CN"/>
              </w:rPr>
              <w:t>园区建设以有机食品制造为主导，做好有机农产品加工、有机中药材加工、有机酒饮品制造和食药物质产业，打造国家优质有机食品生产基地。</w:t>
            </w:r>
          </w:p>
          <w:p w14:paraId="0B04D86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b w:val="0"/>
                <w:bCs w:val="0"/>
                <w:color w:val="auto"/>
                <w:kern w:val="0"/>
                <w:sz w:val="24"/>
                <w:highlight w:val="none"/>
                <w:lang w:eastAsia="zh-CN"/>
              </w:rPr>
            </w:pPr>
            <w:r>
              <w:rPr>
                <w:rFonts w:hint="eastAsia" w:ascii="宋体" w:hAnsi="宋体" w:eastAsia="宋体" w:cs="宋体"/>
                <w:b w:val="0"/>
                <w:bCs w:val="0"/>
                <w:color w:val="auto"/>
                <w:kern w:val="0"/>
                <w:sz w:val="24"/>
                <w:highlight w:val="none"/>
                <w:lang w:eastAsia="zh-CN"/>
              </w:rPr>
              <w:t>②</w:t>
            </w:r>
            <w:r>
              <w:rPr>
                <w:rFonts w:hint="eastAsia"/>
                <w:b w:val="0"/>
                <w:bCs w:val="0"/>
                <w:color w:val="auto"/>
                <w:kern w:val="0"/>
                <w:sz w:val="24"/>
                <w:highlight w:val="none"/>
                <w:lang w:eastAsia="zh-CN"/>
              </w:rPr>
              <w:t>高端装备制造产业园</w:t>
            </w:r>
          </w:p>
          <w:p w14:paraId="5464CAB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highlight w:val="none"/>
                <w:lang w:val="en-US" w:eastAsia="zh-CN"/>
              </w:rPr>
            </w:pPr>
            <w:r>
              <w:rPr>
                <w:rFonts w:hint="eastAsia"/>
                <w:b w:val="0"/>
                <w:bCs w:val="0"/>
                <w:color w:val="auto"/>
                <w:kern w:val="0"/>
                <w:sz w:val="24"/>
                <w:highlight w:val="none"/>
                <w:lang w:eastAsia="zh-CN"/>
              </w:rPr>
              <w:t>园区建设涵盖“航空装备、智能制造装备、新能源储能设备”发展方向的高端装备制造产业发展集群，综合实力稳步提升、新兴技术进一步融合、基础能力显著增强，“军转民”“民参军”取得重要进展，建成具有一定影响力的“陕南高端装备制造创新发展引领区”。</w:t>
            </w:r>
          </w:p>
          <w:p w14:paraId="4E3BDB8E">
            <w:pPr>
              <w:pStyle w:val="43"/>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③</w:t>
            </w:r>
            <w:r>
              <w:rPr>
                <w:rFonts w:hint="eastAsia" w:ascii="Times New Roman" w:hAnsi="Times New Roman" w:eastAsia="宋体" w:cs="Times New Roman"/>
                <w:b w:val="0"/>
                <w:bCs w:val="0"/>
                <w:color w:val="auto"/>
                <w:sz w:val="24"/>
                <w:szCs w:val="24"/>
                <w:highlight w:val="none"/>
                <w:lang w:val="en-US" w:eastAsia="zh-CN"/>
              </w:rPr>
              <w:t>新型材料产业园</w:t>
            </w:r>
          </w:p>
          <w:p w14:paraId="14F25F7C">
            <w:pPr>
              <w:pStyle w:val="43"/>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围绕先进金属材料、先进无机非金属材料、前沿新材料（3D 打印用材料）三大产业，陕西新型材料产业发展新高地。</w:t>
            </w:r>
          </w:p>
          <w:p w14:paraId="56DE8DDA">
            <w:pPr>
              <w:autoSpaceDE w:val="0"/>
              <w:autoSpaceDN w:val="0"/>
              <w:adjustRightInd w:val="0"/>
              <w:snapToGrid w:val="0"/>
              <w:spacing w:line="360" w:lineRule="auto"/>
              <w:ind w:firstLine="482" w:firstLineChars="200"/>
              <w:rPr>
                <w:rFonts w:hint="eastAsia"/>
                <w:b w:val="0"/>
                <w:bCs w:val="0"/>
                <w:color w:val="auto"/>
                <w:kern w:val="0"/>
                <w:sz w:val="24"/>
                <w:highlight w:val="none"/>
                <w:lang w:eastAsia="zh-CN"/>
              </w:rPr>
            </w:pPr>
            <w:r>
              <w:rPr>
                <w:rFonts w:hint="eastAsia"/>
                <w:b/>
                <w:bCs/>
                <w:color w:val="auto"/>
                <w:kern w:val="0"/>
                <w:sz w:val="24"/>
                <w:highlight w:val="none"/>
                <w:u w:val="single"/>
                <w:lang w:eastAsia="zh-CN"/>
              </w:rPr>
              <w:t>本项目情况：</w:t>
            </w:r>
            <w:r>
              <w:rPr>
                <w:rFonts w:hint="eastAsia"/>
                <w:b w:val="0"/>
                <w:bCs w:val="0"/>
                <w:color w:val="auto"/>
                <w:kern w:val="0"/>
                <w:sz w:val="24"/>
                <w:highlight w:val="none"/>
                <w:lang w:eastAsia="zh-CN"/>
              </w:rPr>
              <w:t>经对照本项目位于陕西洋县经济技术开发区中的区块一中的绿色有机产业园中的有机产品加工区</w:t>
            </w:r>
            <w:r>
              <w:rPr>
                <w:rFonts w:hint="eastAsia"/>
                <w:b w:val="0"/>
                <w:bCs w:val="0"/>
                <w:color w:val="auto"/>
                <w:kern w:val="0"/>
                <w:sz w:val="24"/>
                <w:highlight w:val="none"/>
              </w:rPr>
              <w:t>，</w:t>
            </w:r>
            <w:r>
              <w:rPr>
                <w:rFonts w:hint="eastAsia"/>
                <w:b w:val="0"/>
                <w:bCs w:val="0"/>
                <w:color w:val="auto"/>
                <w:kern w:val="0"/>
                <w:sz w:val="24"/>
                <w:highlight w:val="none"/>
                <w:lang w:eastAsia="zh-CN"/>
              </w:rPr>
              <w:t>本项目主要利用有机山茱萸原料加工山茱萸饮品、山茱萸酒、山茱萸醋等产品，因此项目符合园区规划定位要求。</w:t>
            </w:r>
          </w:p>
          <w:p w14:paraId="0710E87D">
            <w:pPr>
              <w:pStyle w:val="43"/>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分园区空间布局</w:t>
            </w:r>
          </w:p>
          <w:p w14:paraId="55CBE71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b w:val="0"/>
                <w:bCs w:val="0"/>
                <w:color w:val="auto"/>
                <w:sz w:val="24"/>
                <w:szCs w:val="24"/>
                <w:highlight w:val="none"/>
              </w:rPr>
            </w:pPr>
            <w:r>
              <w:rPr>
                <w:rFonts w:hint="eastAsia"/>
                <w:b/>
                <w:bCs/>
                <w:color w:val="auto"/>
                <w:kern w:val="0"/>
                <w:sz w:val="24"/>
                <w:highlight w:val="none"/>
                <w:lang w:val="en-US" w:eastAsia="zh-CN"/>
              </w:rPr>
              <w:t>绿色有机产业园：</w:t>
            </w:r>
            <w:r>
              <w:rPr>
                <w:rFonts w:hint="default" w:ascii="Times New Roman" w:hAnsi="Times New Roman" w:eastAsia="宋体" w:cs="Times New Roman"/>
                <w:b w:val="0"/>
                <w:bCs w:val="0"/>
                <w:color w:val="auto"/>
                <w:sz w:val="24"/>
                <w:szCs w:val="24"/>
                <w:highlight w:val="none"/>
              </w:rPr>
              <w:t>梳理园区基本结构，打造以有机研发、有机加工为主，产业协同发展的布局结构，形成“一带</w:t>
            </w:r>
            <w:r>
              <w:rPr>
                <w:rFonts w:hint="eastAsia" w:ascii="宋体" w:hAnsi="宋体" w:eastAsia="宋体" w:cs="宋体"/>
                <w:b w:val="0"/>
                <w:bCs w:val="0"/>
                <w:color w:val="auto"/>
                <w:sz w:val="24"/>
                <w:szCs w:val="24"/>
                <w:highlight w:val="none"/>
              </w:rPr>
              <w:t>、两轴、两带、三区</w:t>
            </w:r>
            <w:r>
              <w:rPr>
                <w:rFonts w:hint="default" w:ascii="Times New Roman PS MT" w:hAnsi="Times New Roman PS MT" w:eastAsia="Times New Roman PS MT" w:cs="Times New Roman PS MT"/>
                <w:b w:val="0"/>
                <w:bCs w:val="0"/>
                <w:color w:val="auto"/>
                <w:sz w:val="24"/>
                <w:szCs w:val="24"/>
                <w:highlight w:val="none"/>
              </w:rPr>
              <w:t>”</w:t>
            </w:r>
            <w:r>
              <w:rPr>
                <w:rFonts w:hint="eastAsia" w:ascii="宋体" w:hAnsi="宋体" w:eastAsia="宋体" w:cs="宋体"/>
                <w:b w:val="0"/>
                <w:bCs w:val="0"/>
                <w:color w:val="auto"/>
                <w:sz w:val="24"/>
                <w:szCs w:val="24"/>
                <w:highlight w:val="none"/>
              </w:rPr>
              <w:t>发展的空间布局。</w:t>
            </w:r>
          </w:p>
          <w:p w14:paraId="60FF6ED7">
            <w:pPr>
              <w:pStyle w:val="4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一带：园区综合服务核心，以园区管委会为载体，为企业和员工提供全方位、一站式的服务，集行政管理、商务办公、金融服务、技术研发、人才服务、生活配套等多种功能于一体。</w:t>
            </w:r>
          </w:p>
          <w:p w14:paraId="2516F991">
            <w:pPr>
              <w:pStyle w:val="4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两轴：有机产业发展主轴，以园区大道为载体，以有机农业、有机食品加工、有机产品销售及相关服务为主要内容，通过整合资源、优化布局、创新发展模式，</w:t>
            </w:r>
            <w:r>
              <w:rPr>
                <w:rFonts w:hint="eastAsia" w:hAnsi="宋体" w:eastAsia="宋体" w:cs="宋体"/>
                <w:b w:val="0"/>
                <w:bCs w:val="0"/>
                <w:color w:val="auto"/>
                <w:sz w:val="24"/>
                <w:szCs w:val="24"/>
                <w:highlight w:val="none"/>
                <w:lang w:eastAsia="zh-CN"/>
              </w:rPr>
              <w:t>形成</w:t>
            </w:r>
            <w:r>
              <w:rPr>
                <w:rFonts w:hint="eastAsia" w:ascii="宋体" w:hAnsi="宋体" w:eastAsia="宋体" w:cs="宋体"/>
                <w:b w:val="0"/>
                <w:bCs w:val="0"/>
                <w:color w:val="auto"/>
                <w:sz w:val="24"/>
                <w:szCs w:val="24"/>
                <w:highlight w:val="none"/>
              </w:rPr>
              <w:t>具有强大带动作用的产业发展主轴；有机产业发展次轴以文明东路为载体，对主轴的功能进行补充和强化，与主轴相辅相成、共同推动有机产业全面进步的重要支撑轴线。</w:t>
            </w:r>
          </w:p>
          <w:p w14:paraId="2242C830">
            <w:pPr>
              <w:pStyle w:val="4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两带：沿河生态景观带，融合天宁寺河的自然生态与人文景观，是园区重要的生态景观长廊；有机产业风貌展示带，以东二环路为载体，是提升区域的形象和品质，展现有机产业独特魅力与发展成果的重要窗口。</w:t>
            </w:r>
          </w:p>
          <w:p w14:paraId="53DD48D6">
            <w:pPr>
              <w:pStyle w:val="4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eastAsia"/>
                <w:color w:val="auto"/>
                <w:highlight w:val="none"/>
                <w:lang w:eastAsia="zh-CN"/>
              </w:rPr>
            </w:pPr>
            <w:r>
              <w:rPr>
                <w:rFonts w:hint="eastAsia" w:ascii="宋体" w:hAnsi="宋体" w:eastAsia="宋体" w:cs="宋体"/>
                <w:b w:val="0"/>
                <w:bCs w:val="0"/>
                <w:color w:val="auto"/>
                <w:sz w:val="24"/>
                <w:szCs w:val="24"/>
                <w:highlight w:val="none"/>
              </w:rPr>
              <w:t>三区：有机产品加工区，以打造高品质、可持续的有机产品加工基地为目标。致力于将有机农业生产的优质原材料转化为符合严格有机标准的各类产品，推动有机产业的规模化、专业化发展。有机产品仓储物流区</w:t>
            </w:r>
            <w:r>
              <w:rPr>
                <w:rFonts w:hint="eastAsia" w:hAnsi="宋体" w:eastAsia="宋体" w:cs="宋体"/>
                <w:b w:val="0"/>
                <w:bCs w:val="0"/>
                <w:color w:val="auto"/>
                <w:sz w:val="24"/>
                <w:szCs w:val="24"/>
                <w:highlight w:val="none"/>
                <w:lang w:eastAsia="zh-CN"/>
              </w:rPr>
              <w:t>，是</w:t>
            </w:r>
            <w:r>
              <w:rPr>
                <w:rFonts w:hint="eastAsia" w:ascii="宋体" w:hAnsi="宋体" w:eastAsia="宋体" w:cs="宋体"/>
                <w:b w:val="0"/>
                <w:bCs w:val="0"/>
                <w:color w:val="auto"/>
                <w:sz w:val="24"/>
                <w:szCs w:val="24"/>
                <w:highlight w:val="none"/>
              </w:rPr>
              <w:t>连接有机产品生产与市场的关键枢纽，是园区发展的重要支撑，提供安全、高效的仓储和物流服务。生态宜居居住区，作为园区的配套区域，以生态环保、舒适宜居为主要特色的居住区域。</w:t>
            </w:r>
          </w:p>
          <w:p w14:paraId="5E8935FB">
            <w:pPr>
              <w:autoSpaceDE w:val="0"/>
              <w:autoSpaceDN w:val="0"/>
              <w:adjustRightInd w:val="0"/>
              <w:snapToGrid w:val="0"/>
              <w:spacing w:line="360" w:lineRule="auto"/>
              <w:ind w:firstLine="482" w:firstLineChars="200"/>
              <w:rPr>
                <w:rFonts w:hint="eastAsia"/>
                <w:b w:val="0"/>
                <w:bCs w:val="0"/>
                <w:color w:val="auto"/>
                <w:kern w:val="0"/>
                <w:sz w:val="24"/>
                <w:highlight w:val="none"/>
                <w:lang w:eastAsia="zh-CN"/>
              </w:rPr>
            </w:pPr>
            <w:r>
              <w:rPr>
                <w:rFonts w:hint="eastAsia"/>
                <w:b/>
                <w:bCs/>
                <w:color w:val="auto"/>
                <w:kern w:val="0"/>
                <w:sz w:val="24"/>
                <w:highlight w:val="none"/>
                <w:u w:val="single"/>
                <w:lang w:eastAsia="zh-CN"/>
              </w:rPr>
              <w:t>本项目情况：</w:t>
            </w:r>
            <w:r>
              <w:rPr>
                <w:rFonts w:hint="eastAsia"/>
                <w:b w:val="0"/>
                <w:bCs w:val="0"/>
                <w:color w:val="auto"/>
                <w:kern w:val="0"/>
                <w:sz w:val="24"/>
                <w:highlight w:val="none"/>
                <w:lang w:eastAsia="zh-CN"/>
              </w:rPr>
              <w:t>经对照本项目位于陕西洋县经济技术开发区中的有机产品加工区</w:t>
            </w:r>
            <w:r>
              <w:rPr>
                <w:rFonts w:hint="eastAsia"/>
                <w:b w:val="0"/>
                <w:bCs w:val="0"/>
                <w:color w:val="auto"/>
                <w:kern w:val="0"/>
                <w:sz w:val="24"/>
                <w:highlight w:val="none"/>
              </w:rPr>
              <w:t>，</w:t>
            </w:r>
            <w:r>
              <w:rPr>
                <w:rFonts w:hint="eastAsia"/>
                <w:b w:val="0"/>
                <w:bCs w:val="0"/>
                <w:color w:val="auto"/>
                <w:kern w:val="0"/>
                <w:sz w:val="24"/>
                <w:highlight w:val="none"/>
                <w:lang w:eastAsia="zh-CN"/>
              </w:rPr>
              <w:t>本项目主要利用有机山茱萸原料加工山茱萸饮品、山茱萸酒、山茱萸醋等产品，同时经对照本项目属于园区近期重点项目之一，因此项目符合园区分区空间布局要求。</w:t>
            </w:r>
          </w:p>
          <w:p w14:paraId="4C94B37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（3）土地利用规划结构</w:t>
            </w:r>
          </w:p>
          <w:p w14:paraId="57477789">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82" w:firstLineChars="200"/>
              <w:jc w:val="both"/>
              <w:textAlignment w:val="auto"/>
              <w:rPr>
                <w:rFonts w:hint="eastAsia"/>
                <w:b/>
                <w:bCs/>
                <w:color w:val="auto"/>
                <w:sz w:val="24"/>
                <w:szCs w:val="24"/>
                <w:highlight w:val="none"/>
                <w:lang w:val="en-US" w:eastAsia="zh-CN"/>
              </w:rPr>
            </w:pPr>
            <w:r>
              <w:rPr>
                <w:rFonts w:hint="default"/>
                <w:b/>
                <w:bCs/>
                <w:color w:val="auto"/>
                <w:sz w:val="24"/>
                <w:szCs w:val="24"/>
                <w:highlight w:val="none"/>
                <w:lang w:val="en-US" w:eastAsia="zh-CN"/>
              </w:rPr>
              <w:t>绿色有机产业园</w:t>
            </w:r>
            <w:r>
              <w:rPr>
                <w:rFonts w:hint="eastAsia"/>
                <w:b/>
                <w:bCs/>
                <w:color w:val="auto"/>
                <w:sz w:val="24"/>
                <w:szCs w:val="24"/>
                <w:highlight w:val="none"/>
                <w:lang w:val="en-US" w:eastAsia="zh-CN"/>
              </w:rPr>
              <w:t>：</w:t>
            </w:r>
          </w:p>
          <w:p w14:paraId="134D13E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宋体" w:eastAsia="宋体" w:cs="Times New Roman"/>
                <w:color w:val="auto"/>
                <w:sz w:val="24"/>
                <w:highlight w:val="none"/>
                <w:lang w:val="en-US" w:eastAsia="zh-CN"/>
              </w:rPr>
            </w:pPr>
            <w:r>
              <w:rPr>
                <w:rFonts w:hint="default" w:ascii="Times New Roman" w:hAnsi="宋体" w:eastAsia="宋体" w:cs="Times New Roman"/>
                <w:color w:val="auto"/>
                <w:sz w:val="24"/>
                <w:highlight w:val="none"/>
                <w:lang w:val="en-US" w:eastAsia="zh-CN"/>
              </w:rPr>
              <w:t>居住用地布局。居住用地面积27.19公顷，占园区建设用地面积的13.97%，分布在园区两侧，南侧为现状居住，北侧为规划宜居住宅，作为园区的配套服务设施。</w:t>
            </w:r>
          </w:p>
          <w:p w14:paraId="60D4A777">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宋体" w:eastAsia="宋体" w:cs="Times New Roman"/>
                <w:color w:val="auto"/>
                <w:sz w:val="24"/>
                <w:highlight w:val="none"/>
                <w:lang w:val="en-US" w:eastAsia="zh-CN"/>
              </w:rPr>
            </w:pPr>
            <w:r>
              <w:rPr>
                <w:rFonts w:hint="default" w:ascii="Times New Roman" w:hAnsi="宋体" w:eastAsia="宋体" w:cs="Times New Roman"/>
                <w:color w:val="auto"/>
                <w:sz w:val="24"/>
                <w:highlight w:val="none"/>
                <w:lang w:val="en-US" w:eastAsia="zh-CN"/>
              </w:rPr>
              <w:t>公共管理与公共服务用地布局。公共管理与公共服务用地面积8.00公顷，占园区建设用地面积的4.11%。其中，机关团体用地面积4.94公顷，占园区建设用地面积的2.54%，为现状园区管委会；科研用地面积0.47公顷，占园区建设用地面积的0.24%，为科研展示中心项目；教育用地面积2.59公顷，占园区建设用地面积的1.33%，为园区北侧规划小学一所。</w:t>
            </w:r>
          </w:p>
          <w:p w14:paraId="3FA3A43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宋体" w:eastAsia="宋体" w:cs="Times New Roman"/>
                <w:color w:val="auto"/>
                <w:sz w:val="24"/>
                <w:highlight w:val="none"/>
                <w:lang w:val="en-US" w:eastAsia="zh-CN"/>
              </w:rPr>
            </w:pPr>
            <w:r>
              <w:rPr>
                <w:rFonts w:hint="default" w:ascii="Times New Roman" w:hAnsi="宋体" w:eastAsia="宋体" w:cs="Times New Roman"/>
                <w:color w:val="auto"/>
                <w:sz w:val="24"/>
                <w:highlight w:val="none"/>
                <w:lang w:val="en-US" w:eastAsia="zh-CN"/>
              </w:rPr>
              <w:t>工矿用地布局。工矿用地面积 93.28 公顷，占园区建设用地面积的47.94%，为一、二类工业用地。</w:t>
            </w:r>
          </w:p>
          <w:p w14:paraId="6A9E7EF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宋体" w:eastAsia="宋体" w:cs="Times New Roman"/>
                <w:color w:val="auto"/>
                <w:sz w:val="24"/>
                <w:highlight w:val="none"/>
                <w:lang w:val="en-US" w:eastAsia="zh-CN"/>
              </w:rPr>
            </w:pPr>
            <w:r>
              <w:rPr>
                <w:rFonts w:hint="default" w:ascii="Times New Roman" w:hAnsi="宋体" w:eastAsia="宋体" w:cs="Times New Roman"/>
                <w:color w:val="auto"/>
                <w:sz w:val="24"/>
                <w:highlight w:val="none"/>
                <w:lang w:val="en-US" w:eastAsia="zh-CN"/>
              </w:rPr>
              <w:t>仓储用地布局。仓储用地面积 10.36 公顷，占园区建设用地面积的 5.32%，为对现状洋县蔬菜瓜果批发市场进行改造。</w:t>
            </w:r>
          </w:p>
          <w:p w14:paraId="37FA2ECD">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宋体" w:eastAsia="宋体" w:cs="Times New Roman"/>
                <w:color w:val="auto"/>
                <w:sz w:val="24"/>
                <w:highlight w:val="none"/>
                <w:lang w:val="en-US" w:eastAsia="zh-CN"/>
              </w:rPr>
            </w:pPr>
            <w:r>
              <w:rPr>
                <w:rFonts w:hint="default" w:ascii="Times New Roman" w:hAnsi="宋体" w:eastAsia="宋体" w:cs="Times New Roman"/>
                <w:color w:val="auto"/>
                <w:sz w:val="24"/>
                <w:highlight w:val="none"/>
                <w:lang w:val="en-US" w:eastAsia="zh-CN"/>
              </w:rPr>
              <w:t>交通运输用地布局。交通运输用地面积41.81公顷，占园区建设用地面积21.49%。其中，城镇村道路用地面积41.81公顷，占园区建设用地面积的21.49%；交通场站用地0.74公顷，占园区建设用地面积的0.38%，为园区北侧规划停车场。</w:t>
            </w:r>
          </w:p>
          <w:p w14:paraId="50FA03B5">
            <w:pPr>
              <w:keepNext w:val="0"/>
              <w:keepLines w:val="0"/>
              <w:pageBreakBefore w:val="0"/>
              <w:widowControl w:val="0"/>
              <w:kinsoku/>
              <w:wordWrap/>
              <w:overflowPunct/>
              <w:topLinePunct w:val="0"/>
              <w:bidi w:val="0"/>
              <w:adjustRightInd w:val="0"/>
              <w:snapToGrid w:val="0"/>
              <w:spacing w:line="360" w:lineRule="auto"/>
              <w:ind w:left="0" w:leftChars="0" w:firstLine="480" w:firstLineChars="200"/>
              <w:textAlignment w:val="auto"/>
              <w:rPr>
                <w:rFonts w:hint="default"/>
                <w:color w:val="auto"/>
                <w:sz w:val="24"/>
                <w:szCs w:val="24"/>
                <w:highlight w:val="none"/>
                <w:lang w:val="en-US" w:eastAsia="zh-CN"/>
              </w:rPr>
            </w:pPr>
            <w:r>
              <w:rPr>
                <w:rFonts w:hint="default"/>
                <w:color w:val="auto"/>
                <w:sz w:val="24"/>
                <w:szCs w:val="24"/>
                <w:highlight w:val="none"/>
                <w:lang w:val="en-US" w:eastAsia="zh-CN"/>
              </w:rPr>
              <w:t>绿色有机产业园规划用地一览表</w:t>
            </w:r>
            <w:r>
              <w:rPr>
                <w:rFonts w:hint="eastAsia"/>
                <w:color w:val="auto"/>
                <w:sz w:val="24"/>
                <w:szCs w:val="24"/>
                <w:highlight w:val="none"/>
                <w:lang w:val="en-US" w:eastAsia="zh-CN"/>
              </w:rPr>
              <w:t>及</w:t>
            </w:r>
            <w:r>
              <w:rPr>
                <w:rFonts w:hint="default"/>
                <w:color w:val="auto"/>
                <w:sz w:val="24"/>
                <w:szCs w:val="24"/>
                <w:highlight w:val="none"/>
                <w:lang w:val="en-US" w:eastAsia="zh-CN"/>
              </w:rPr>
              <w:t>土地利用规划图详见</w:t>
            </w:r>
            <w:r>
              <w:rPr>
                <w:rFonts w:hint="eastAsia"/>
                <w:color w:val="auto"/>
                <w:sz w:val="24"/>
                <w:szCs w:val="24"/>
                <w:highlight w:val="none"/>
                <w:lang w:val="en-US" w:eastAsia="zh-CN"/>
              </w:rPr>
              <w:t>附图附表。</w:t>
            </w:r>
          </w:p>
          <w:p w14:paraId="791D9A99">
            <w:pPr>
              <w:keepNext w:val="0"/>
              <w:keepLines w:val="0"/>
              <w:pageBreakBefore w:val="0"/>
              <w:widowControl w:val="0"/>
              <w:kinsoku/>
              <w:wordWrap/>
              <w:overflowPunct/>
              <w:topLinePunct w:val="0"/>
              <w:bidi w:val="0"/>
              <w:adjustRightInd w:val="0"/>
              <w:snapToGrid w:val="0"/>
              <w:spacing w:line="360" w:lineRule="auto"/>
              <w:ind w:left="0" w:leftChars="0" w:firstLine="482" w:firstLineChars="200"/>
              <w:textAlignment w:val="auto"/>
              <w:rPr>
                <w:rFonts w:hint="default"/>
                <w:b w:val="0"/>
                <w:bCs w:val="0"/>
                <w:color w:val="auto"/>
                <w:highlight w:val="none"/>
                <w:u w:val="none"/>
                <w:lang w:val="en-US" w:eastAsia="zh-CN"/>
              </w:rPr>
            </w:pPr>
            <w:r>
              <w:rPr>
                <w:rFonts w:hint="eastAsia"/>
                <w:b/>
                <w:bCs/>
                <w:color w:val="auto"/>
                <w:kern w:val="0"/>
                <w:sz w:val="24"/>
                <w:highlight w:val="none"/>
                <w:u w:val="single"/>
                <w:lang w:eastAsia="zh-CN"/>
              </w:rPr>
              <w:t>本项目情况：</w:t>
            </w:r>
            <w:r>
              <w:rPr>
                <w:rFonts w:hint="eastAsia"/>
                <w:b w:val="0"/>
                <w:bCs w:val="0"/>
                <w:color w:val="auto"/>
                <w:kern w:val="0"/>
                <w:sz w:val="24"/>
                <w:highlight w:val="none"/>
                <w:u w:val="none"/>
                <w:lang w:eastAsia="zh-CN"/>
              </w:rPr>
              <w:t>经对照</w:t>
            </w:r>
            <w:r>
              <w:rPr>
                <w:rFonts w:hint="default"/>
                <w:color w:val="auto"/>
                <w:sz w:val="24"/>
                <w:szCs w:val="24"/>
                <w:highlight w:val="none"/>
                <w:lang w:val="en-US" w:eastAsia="zh-CN"/>
              </w:rPr>
              <w:t>绿色有机产业园土地利用规划图</w:t>
            </w:r>
            <w:r>
              <w:rPr>
                <w:rFonts w:hint="eastAsia"/>
                <w:color w:val="auto"/>
                <w:sz w:val="24"/>
                <w:szCs w:val="24"/>
                <w:highlight w:val="none"/>
                <w:lang w:val="en-US" w:eastAsia="zh-CN"/>
              </w:rPr>
              <w:t>（附图1），</w:t>
            </w:r>
            <w:r>
              <w:rPr>
                <w:rFonts w:hint="eastAsia"/>
                <w:b w:val="0"/>
                <w:bCs w:val="0"/>
                <w:color w:val="auto"/>
                <w:kern w:val="0"/>
                <w:sz w:val="24"/>
                <w:highlight w:val="none"/>
                <w:u w:val="none"/>
                <w:lang w:eastAsia="zh-CN"/>
              </w:rPr>
              <w:t>本项目位于用地属于工业用地，本项目主要生产干山茱萸、山茱萸饮品、山茱萸醋、山茱萸酒等产品，因此项目用地符合园区规划的土地用途。</w:t>
            </w:r>
          </w:p>
          <w:p w14:paraId="00DD641C">
            <w:pPr>
              <w:autoSpaceDE w:val="0"/>
              <w:autoSpaceDN w:val="0"/>
              <w:adjustRightInd w:val="0"/>
              <w:snapToGrid w:val="0"/>
              <w:spacing w:line="360" w:lineRule="auto"/>
              <w:ind w:firstLine="482" w:firstLineChars="200"/>
              <w:rPr>
                <w:rFonts w:hint="eastAsia" w:eastAsia="宋体"/>
                <w:b/>
                <w:bCs/>
                <w:color w:val="auto"/>
                <w:kern w:val="0"/>
                <w:sz w:val="24"/>
                <w:highlight w:val="none"/>
                <w:lang w:eastAsia="zh-CN"/>
              </w:rPr>
            </w:pPr>
            <w:r>
              <w:rPr>
                <w:rFonts w:hint="eastAsia" w:hAnsi="宋体"/>
                <w:b/>
                <w:bCs/>
                <w:color w:val="auto"/>
                <w:kern w:val="0"/>
                <w:sz w:val="24"/>
                <w:highlight w:val="none"/>
                <w:lang w:eastAsia="zh-CN"/>
              </w:rPr>
              <w:t>2.与</w:t>
            </w:r>
            <w:r>
              <w:rPr>
                <w:rFonts w:hint="eastAsia"/>
                <w:b/>
                <w:bCs/>
                <w:color w:val="auto"/>
                <w:kern w:val="0"/>
                <w:sz w:val="24"/>
                <w:highlight w:val="none"/>
              </w:rPr>
              <w:t>《陕西洋县经济技术开发区总体发展规划》</w:t>
            </w:r>
            <w:r>
              <w:rPr>
                <w:rFonts w:hint="eastAsia"/>
                <w:b/>
                <w:bCs/>
                <w:color w:val="auto"/>
                <w:kern w:val="0"/>
                <w:sz w:val="24"/>
                <w:highlight w:val="none"/>
                <w:lang w:eastAsia="zh-CN"/>
              </w:rPr>
              <w:t>环境影响报告书的符合性分析</w:t>
            </w:r>
          </w:p>
          <w:p w14:paraId="11862B4E">
            <w:pPr>
              <w:autoSpaceDE w:val="0"/>
              <w:autoSpaceDN w:val="0"/>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经对照规划环评中设置入区项目的环境准入条件，本项目与规划环评</w:t>
            </w:r>
            <w:r>
              <w:rPr>
                <w:rFonts w:hint="eastAsia" w:hAnsi="宋体"/>
                <w:color w:val="auto"/>
                <w:sz w:val="24"/>
                <w:highlight w:val="none"/>
                <w:lang w:eastAsia="zh-CN"/>
              </w:rPr>
              <w:t>中生态环境准入条件及</w:t>
            </w:r>
            <w:r>
              <w:rPr>
                <w:rFonts w:hint="eastAsia" w:hAnsi="宋体"/>
                <w:color w:val="auto"/>
                <w:sz w:val="24"/>
                <w:highlight w:val="none"/>
              </w:rPr>
              <w:t>分区管控产业准入清单的对比见表1-1。</w:t>
            </w:r>
          </w:p>
          <w:p w14:paraId="6573E2FE">
            <w:pPr>
              <w:autoSpaceDE w:val="0"/>
              <w:autoSpaceDN w:val="0"/>
              <w:adjustRightInd w:val="0"/>
              <w:snapToGrid w:val="0"/>
              <w:jc w:val="center"/>
              <w:rPr>
                <w:rFonts w:hint="eastAsia" w:hAnsi="宋体"/>
                <w:b/>
                <w:bCs/>
                <w:color w:val="auto"/>
                <w:szCs w:val="21"/>
                <w:highlight w:val="none"/>
              </w:rPr>
            </w:pPr>
            <w:r>
              <w:rPr>
                <w:rFonts w:hint="eastAsia" w:hAnsi="宋体"/>
                <w:b/>
                <w:bCs/>
                <w:color w:val="auto"/>
                <w:szCs w:val="21"/>
                <w:highlight w:val="none"/>
              </w:rPr>
              <w:t>表1-1   生态环境准入</w:t>
            </w:r>
            <w:r>
              <w:rPr>
                <w:rFonts w:hint="eastAsia" w:hAnsi="宋体"/>
                <w:b/>
                <w:bCs/>
                <w:color w:val="auto"/>
                <w:szCs w:val="21"/>
                <w:highlight w:val="none"/>
                <w:lang w:eastAsia="zh-CN"/>
              </w:rPr>
              <w:t>及</w:t>
            </w:r>
            <w:r>
              <w:rPr>
                <w:rFonts w:hint="eastAsia" w:hAnsi="宋体"/>
                <w:b/>
                <w:bCs/>
                <w:color w:val="auto"/>
                <w:szCs w:val="21"/>
                <w:highlight w:val="none"/>
              </w:rPr>
              <w:t>分区管控产业准入清单</w:t>
            </w:r>
          </w:p>
          <w:tbl>
            <w:tblPr>
              <w:tblStyle w:val="28"/>
              <w:tblW w:w="6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
              <w:gridCol w:w="1515"/>
              <w:gridCol w:w="110"/>
              <w:gridCol w:w="2225"/>
              <w:gridCol w:w="2050"/>
              <w:gridCol w:w="741"/>
            </w:tblGrid>
            <w:tr w14:paraId="34EA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blHeader/>
                <w:jc w:val="center"/>
              </w:trPr>
              <w:tc>
                <w:tcPr>
                  <w:tcW w:w="6977" w:type="dxa"/>
                  <w:gridSpan w:val="6"/>
                  <w:noWrap w:val="0"/>
                  <w:vAlign w:val="center"/>
                </w:tcPr>
                <w:p w14:paraId="303E7EF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生态环境准入条件</w:t>
                  </w:r>
                </w:p>
              </w:tc>
            </w:tr>
            <w:tr w14:paraId="6A8B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blHeader/>
                <w:jc w:val="center"/>
              </w:trPr>
              <w:tc>
                <w:tcPr>
                  <w:tcW w:w="4186" w:type="dxa"/>
                  <w:gridSpan w:val="4"/>
                  <w:noWrap w:val="0"/>
                  <w:vAlign w:val="center"/>
                </w:tcPr>
                <w:p w14:paraId="6D9D6CD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环保准入条件</w:t>
                  </w:r>
                </w:p>
              </w:tc>
              <w:tc>
                <w:tcPr>
                  <w:tcW w:w="2050" w:type="dxa"/>
                  <w:noWrap w:val="0"/>
                  <w:vAlign w:val="center"/>
                </w:tcPr>
                <w:p w14:paraId="6C8B5BE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本项目情况</w:t>
                  </w:r>
                </w:p>
              </w:tc>
              <w:tc>
                <w:tcPr>
                  <w:tcW w:w="741" w:type="dxa"/>
                  <w:noWrap w:val="0"/>
                  <w:vAlign w:val="center"/>
                </w:tcPr>
                <w:p w14:paraId="3D92228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符合性</w:t>
                  </w:r>
                </w:p>
              </w:tc>
            </w:tr>
            <w:tr w14:paraId="72E9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36" w:type="dxa"/>
                  <w:noWrap w:val="0"/>
                  <w:vAlign w:val="center"/>
                </w:tcPr>
                <w:p w14:paraId="69B8F82B">
                  <w:pPr>
                    <w:snapToGrid w:val="0"/>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绿色有机产业园</w:t>
                  </w:r>
                </w:p>
              </w:tc>
              <w:tc>
                <w:tcPr>
                  <w:tcW w:w="1625" w:type="dxa"/>
                  <w:gridSpan w:val="2"/>
                  <w:noWrap w:val="0"/>
                  <w:vAlign w:val="center"/>
                </w:tcPr>
                <w:p w14:paraId="0C0704BC">
                  <w:pPr>
                    <w:snapToGrid w:val="0"/>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酒饮品酿造、粮油加工、淀粉及深加工制品、方便休闲食品、绿色蔬菜深加工、中药材加工</w:t>
                  </w:r>
                </w:p>
              </w:tc>
              <w:tc>
                <w:tcPr>
                  <w:tcW w:w="2225" w:type="dxa"/>
                  <w:noWrap w:val="0"/>
                  <w:vAlign w:val="center"/>
                </w:tcPr>
                <w:p w14:paraId="750D90A3">
                  <w:pPr>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1.入园项目应符合规划产业布局和产业规划；</w:t>
                  </w:r>
                </w:p>
                <w:p w14:paraId="002672F1">
                  <w:pPr>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2.入园产业及项目应符合国家及地方产业政策，包括《产业结构调整指导目录》《鼓励外商投资产业目录》等文件中鼓励类和允许类，《西部地区鼓励类产业目录》等。</w:t>
                  </w:r>
                </w:p>
              </w:tc>
              <w:tc>
                <w:tcPr>
                  <w:tcW w:w="2050" w:type="dxa"/>
                  <w:noWrap w:val="0"/>
                  <w:vAlign w:val="center"/>
                </w:tcPr>
                <w:p w14:paraId="3D0B4521">
                  <w:pP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本项目主要利用有机山茱萸原料加工山茱萸饮品、山茱萸酒、山茱萸醋等产品，</w:t>
                  </w:r>
                  <w:r>
                    <w:rPr>
                      <w:rFonts w:hint="default" w:ascii="Times New Roman" w:hAnsi="Times New Roman" w:cs="Times New Roman"/>
                      <w:color w:val="auto"/>
                      <w:sz w:val="21"/>
                      <w:szCs w:val="21"/>
                      <w:highlight w:val="none"/>
                      <w:lang w:eastAsia="zh-CN"/>
                    </w:rPr>
                    <w:t>符合园区产业布局和产业规划，项目符合</w:t>
                  </w:r>
                  <w:r>
                    <w:rPr>
                      <w:rFonts w:hint="default" w:ascii="Times New Roman" w:hAnsi="Times New Roman" w:cs="Times New Roman"/>
                      <w:color w:val="auto"/>
                      <w:sz w:val="21"/>
                      <w:szCs w:val="21"/>
                      <w:highlight w:val="none"/>
                    </w:rPr>
                    <w:t>《产业结构调整指导目录》</w:t>
                  </w:r>
                  <w:r>
                    <w:rPr>
                      <w:rFonts w:hint="default" w:ascii="Times New Roman" w:hAnsi="Times New Roman" w:cs="Times New Roman"/>
                      <w:color w:val="auto"/>
                      <w:sz w:val="21"/>
                      <w:szCs w:val="21"/>
                      <w:highlight w:val="none"/>
                      <w:lang w:eastAsia="zh-CN"/>
                    </w:rPr>
                    <w:t>等</w:t>
                  </w:r>
                  <w:r>
                    <w:rPr>
                      <w:rFonts w:hint="default" w:ascii="Times New Roman" w:hAnsi="Times New Roman" w:cs="Times New Roman"/>
                      <w:color w:val="auto"/>
                      <w:sz w:val="21"/>
                      <w:szCs w:val="21"/>
                      <w:highlight w:val="none"/>
                    </w:rPr>
                    <w:t>国家及地方产业政策</w:t>
                  </w:r>
                </w:p>
              </w:tc>
              <w:tc>
                <w:tcPr>
                  <w:tcW w:w="741" w:type="dxa"/>
                  <w:noWrap w:val="0"/>
                  <w:vAlign w:val="center"/>
                </w:tcPr>
                <w:p w14:paraId="3164840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AAA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36" w:type="dxa"/>
                  <w:noWrap w:val="0"/>
                  <w:vAlign w:val="center"/>
                </w:tcPr>
                <w:p w14:paraId="47C34A9A">
                  <w:pPr>
                    <w:snapToGrid w:val="0"/>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优先引入</w:t>
                  </w:r>
                </w:p>
              </w:tc>
              <w:tc>
                <w:tcPr>
                  <w:tcW w:w="3850" w:type="dxa"/>
                  <w:gridSpan w:val="3"/>
                  <w:noWrap w:val="0"/>
                  <w:vAlign w:val="center"/>
                </w:tcPr>
                <w:p w14:paraId="1501E3CF">
                  <w:pPr>
                    <w:numPr>
                      <w:ilvl w:val="0"/>
                      <w:numId w:val="2"/>
                    </w:numPr>
                    <w:snapToGrid w:val="0"/>
                    <w:ind w:left="10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国家和地方鼓励的符合本规划产业定位的产业；</w:t>
                  </w:r>
                </w:p>
                <w:p w14:paraId="63A40010">
                  <w:pPr>
                    <w:numPr>
                      <w:ilvl w:val="0"/>
                      <w:numId w:val="2"/>
                    </w:numPr>
                    <w:snapToGrid w:val="0"/>
                    <w:ind w:left="10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《产业结构调整指导目录》中鼓励类项目；</w:t>
                  </w:r>
                </w:p>
                <w:p w14:paraId="0807DAF3">
                  <w:pPr>
                    <w:numPr>
                      <w:ilvl w:val="0"/>
                      <w:numId w:val="2"/>
                    </w:numPr>
                    <w:snapToGrid w:val="0"/>
                    <w:ind w:left="10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不产生废水或者废水产生量小、水质因子简单、易于处理便于回用的产业。</w:t>
                  </w:r>
                </w:p>
                <w:p w14:paraId="58D18C20">
                  <w:pPr>
                    <w:numPr>
                      <w:ilvl w:val="0"/>
                      <w:numId w:val="0"/>
                    </w:numPr>
                    <w:snapToGrid w:val="0"/>
                    <w:ind w:left="100" w:leftChars="0"/>
                    <w:rPr>
                      <w:rFonts w:hint="default" w:ascii="Times New Roman" w:hAnsi="Times New Roman" w:cs="Times New Roman"/>
                      <w:color w:val="auto"/>
                      <w:kern w:val="0"/>
                      <w:sz w:val="21"/>
                      <w:szCs w:val="21"/>
                      <w:highlight w:val="none"/>
                    </w:rPr>
                  </w:pPr>
                  <w:r>
                    <w:rPr>
                      <w:rFonts w:hint="default" w:ascii="Times New Roman" w:hAnsi="Times New Roman" w:eastAsia="Times New Roman PS MT" w:cs="Times New Roman"/>
                      <w:b w:val="0"/>
                      <w:bCs w:val="0"/>
                      <w:color w:val="auto"/>
                      <w:sz w:val="21"/>
                      <w:szCs w:val="21"/>
                      <w:highlight w:val="none"/>
                    </w:rPr>
                    <w:t>4.</w:t>
                  </w:r>
                  <w:r>
                    <w:rPr>
                      <w:rFonts w:hint="default" w:ascii="Times New Roman" w:hAnsi="Times New Roman" w:eastAsia="宋体" w:cs="Times New Roman"/>
                      <w:b w:val="0"/>
                      <w:bCs w:val="0"/>
                      <w:color w:val="auto"/>
                      <w:sz w:val="21"/>
                      <w:szCs w:val="21"/>
                      <w:highlight w:val="none"/>
                    </w:rPr>
                    <w:t>有机废气处理工艺鼓励采用干法工艺处理。</w:t>
                  </w:r>
                </w:p>
              </w:tc>
              <w:tc>
                <w:tcPr>
                  <w:tcW w:w="2050" w:type="dxa"/>
                  <w:noWrap w:val="0"/>
                  <w:vAlign w:val="center"/>
                </w:tcPr>
                <w:p w14:paraId="31C3E4FF">
                  <w:pP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本项目符合该园区规划产业定位，符合国家及地方现行的产业政策，属于《产业结构调整指导目录》中允许类项目，项目生产废水产量较小，产生的废气量较小</w:t>
                  </w:r>
                </w:p>
              </w:tc>
              <w:tc>
                <w:tcPr>
                  <w:tcW w:w="741" w:type="dxa"/>
                  <w:noWrap w:val="0"/>
                  <w:vAlign w:val="center"/>
                </w:tcPr>
                <w:p w14:paraId="303A36A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68B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36" w:type="dxa"/>
                  <w:noWrap w:val="0"/>
                  <w:vAlign w:val="center"/>
                </w:tcPr>
                <w:p w14:paraId="383AE99A">
                  <w:pPr>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禁止引入</w:t>
                  </w:r>
                </w:p>
              </w:tc>
              <w:tc>
                <w:tcPr>
                  <w:tcW w:w="3850" w:type="dxa"/>
                  <w:gridSpan w:val="3"/>
                  <w:noWrap w:val="0"/>
                  <w:vAlign w:val="center"/>
                </w:tcPr>
                <w:p w14:paraId="542C1B96">
                  <w:pPr>
                    <w:numPr>
                      <w:ilvl w:val="0"/>
                      <w:numId w:val="0"/>
                    </w:numPr>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《产业结构调整指导目录》中淘汰类项目；</w:t>
                  </w:r>
                </w:p>
                <w:p w14:paraId="24F9AE73">
                  <w:pPr>
                    <w:numPr>
                      <w:ilvl w:val="0"/>
                      <w:numId w:val="0"/>
                    </w:numPr>
                    <w:snapToGrid w:val="0"/>
                    <w:ind w:left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《市场准入负面清单》中禁止准入事项项目；</w:t>
                  </w:r>
                </w:p>
                <w:p w14:paraId="120AA266">
                  <w:pPr>
                    <w:numPr>
                      <w:ilvl w:val="0"/>
                      <w:numId w:val="0"/>
                    </w:numPr>
                    <w:snapToGrid w:val="0"/>
                    <w:ind w:left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Times New Roman PS MT" w:cs="Times New Roman"/>
                      <w:b w:val="0"/>
                      <w:bCs w:val="0"/>
                      <w:color w:val="auto"/>
                      <w:sz w:val="21"/>
                      <w:szCs w:val="21"/>
                      <w:highlight w:val="none"/>
                    </w:rPr>
                    <w:t>3.</w:t>
                  </w:r>
                  <w:r>
                    <w:rPr>
                      <w:rFonts w:hint="default" w:ascii="Times New Roman" w:hAnsi="Times New Roman" w:eastAsia="宋体" w:cs="Times New Roman"/>
                      <w:b w:val="0"/>
                      <w:bCs w:val="0"/>
                      <w:color w:val="auto"/>
                      <w:sz w:val="21"/>
                      <w:szCs w:val="21"/>
                      <w:highlight w:val="none"/>
                    </w:rPr>
                    <w:t>《环境保护综合名录》的高污染、高风险项目；</w:t>
                  </w:r>
                </w:p>
                <w:p w14:paraId="532656CD">
                  <w:pPr>
                    <w:numPr>
                      <w:ilvl w:val="0"/>
                      <w:numId w:val="0"/>
                    </w:numPr>
                    <w:snapToGrid w:val="0"/>
                    <w:ind w:left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Times New Roman PS MT" w:cs="Times New Roman"/>
                      <w:b w:val="0"/>
                      <w:bCs w:val="0"/>
                      <w:color w:val="auto"/>
                      <w:sz w:val="21"/>
                      <w:szCs w:val="21"/>
                      <w:highlight w:val="none"/>
                    </w:rPr>
                    <w:t>4.</w:t>
                  </w:r>
                  <w:r>
                    <w:rPr>
                      <w:rFonts w:hint="default" w:ascii="Times New Roman" w:hAnsi="Times New Roman" w:eastAsia="宋体" w:cs="Times New Roman"/>
                      <w:b w:val="0"/>
                      <w:bCs w:val="0"/>
                      <w:color w:val="auto"/>
                      <w:sz w:val="21"/>
                      <w:szCs w:val="21"/>
                      <w:highlight w:val="none"/>
                    </w:rPr>
                    <w:t>《陕西省国家重点生态功能区产业准入负面清单（试行）》中禁止类项目；</w:t>
                  </w:r>
                </w:p>
                <w:p w14:paraId="16864497">
                  <w:pPr>
                    <w:numPr>
                      <w:ilvl w:val="0"/>
                      <w:numId w:val="0"/>
                    </w:numPr>
                    <w:snapToGrid w:val="0"/>
                    <w:ind w:left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Times New Roman PS MT" w:cs="Times New Roman"/>
                      <w:b w:val="0"/>
                      <w:bCs w:val="0"/>
                      <w:color w:val="auto"/>
                      <w:sz w:val="21"/>
                      <w:szCs w:val="21"/>
                      <w:highlight w:val="none"/>
                    </w:rPr>
                    <w:t>5.</w:t>
                  </w:r>
                  <w:r>
                    <w:rPr>
                      <w:rFonts w:hint="default" w:ascii="Times New Roman" w:hAnsi="Times New Roman" w:eastAsia="宋体" w:cs="Times New Roman"/>
                      <w:b w:val="0"/>
                      <w:bCs w:val="0"/>
                      <w:color w:val="auto"/>
                      <w:sz w:val="21"/>
                      <w:szCs w:val="21"/>
                      <w:highlight w:val="none"/>
                    </w:rPr>
                    <w:t>不符合行业准入条件和行业环境准入条件的产业和项目；</w:t>
                  </w:r>
                </w:p>
                <w:p w14:paraId="1B277E09">
                  <w:pPr>
                    <w:numPr>
                      <w:ilvl w:val="0"/>
                      <w:numId w:val="0"/>
                    </w:numPr>
                    <w:snapToGrid w:val="0"/>
                    <w:ind w:left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Times New Roman PS MT" w:cs="Times New Roman"/>
                      <w:b w:val="0"/>
                      <w:bCs w:val="0"/>
                      <w:color w:val="auto"/>
                      <w:sz w:val="21"/>
                      <w:szCs w:val="21"/>
                      <w:highlight w:val="none"/>
                    </w:rPr>
                    <w:t>6.</w:t>
                  </w:r>
                  <w:r>
                    <w:rPr>
                      <w:rFonts w:hint="default" w:ascii="Times New Roman" w:hAnsi="Times New Roman" w:eastAsia="宋体" w:cs="Times New Roman"/>
                      <w:b w:val="0"/>
                      <w:bCs w:val="0"/>
                      <w:color w:val="auto"/>
                      <w:sz w:val="21"/>
                      <w:szCs w:val="21"/>
                      <w:highlight w:val="none"/>
                    </w:rPr>
                    <w:t>不符合有关法律法规和政策规定，严重浪费资源、污染环境、不具备安全生产条件、产品质量低于国家法定标准要求等，以及需要禁止、淘汰的落后工艺技术、装备和产品。</w:t>
                  </w:r>
                </w:p>
                <w:p w14:paraId="1C7F6ACE">
                  <w:pPr>
                    <w:numPr>
                      <w:ilvl w:val="0"/>
                      <w:numId w:val="0"/>
                    </w:numPr>
                    <w:snapToGrid w:val="0"/>
                    <w:ind w:leftChars="0"/>
                    <w:rPr>
                      <w:rFonts w:hint="default" w:ascii="Times New Roman" w:hAnsi="Times New Roman" w:cs="Times New Roman"/>
                      <w:color w:val="auto"/>
                      <w:kern w:val="0"/>
                      <w:sz w:val="21"/>
                      <w:szCs w:val="21"/>
                      <w:highlight w:val="none"/>
                    </w:rPr>
                  </w:pPr>
                  <w:r>
                    <w:rPr>
                      <w:rFonts w:hint="default" w:ascii="Times New Roman" w:hAnsi="Times New Roman" w:eastAsia="Times New Roman PS MT" w:cs="Times New Roman"/>
                      <w:b w:val="0"/>
                      <w:bCs w:val="0"/>
                      <w:color w:val="auto"/>
                      <w:sz w:val="21"/>
                      <w:szCs w:val="21"/>
                      <w:highlight w:val="none"/>
                    </w:rPr>
                    <w:t>7.</w:t>
                  </w:r>
                  <w:r>
                    <w:rPr>
                      <w:rFonts w:hint="default" w:ascii="Times New Roman" w:hAnsi="Times New Roman" w:eastAsia="宋体" w:cs="Times New Roman"/>
                      <w:b w:val="0"/>
                      <w:bCs w:val="0"/>
                      <w:color w:val="auto"/>
                      <w:sz w:val="21"/>
                      <w:szCs w:val="21"/>
                      <w:highlight w:val="none"/>
                    </w:rPr>
                    <w:t>新型材料产业园禁止引入有色金属冶炼等</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两高</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项目</w:t>
                  </w:r>
                </w:p>
              </w:tc>
              <w:tc>
                <w:tcPr>
                  <w:tcW w:w="2050" w:type="dxa"/>
                  <w:noWrap w:val="0"/>
                  <w:vAlign w:val="center"/>
                </w:tcPr>
                <w:p w14:paraId="6741D093">
                  <w:pP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本项目不属于上述淘汰类、</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两高</w:t>
                  </w:r>
                  <w:r>
                    <w:rPr>
                      <w:rFonts w:hint="default" w:ascii="Times New Roman" w:hAnsi="Times New Roman" w:eastAsia="Times New Roman PS MT"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eastAsia="zh-CN"/>
                    </w:rPr>
                    <w:t>等禁止引入行业</w:t>
                  </w:r>
                </w:p>
              </w:tc>
              <w:tc>
                <w:tcPr>
                  <w:tcW w:w="741" w:type="dxa"/>
                  <w:noWrap w:val="0"/>
                  <w:vAlign w:val="center"/>
                </w:tcPr>
                <w:p w14:paraId="0C2DEED0">
                  <w:pPr>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符合</w:t>
                  </w:r>
                </w:p>
              </w:tc>
            </w:tr>
            <w:tr w14:paraId="0E8D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36" w:type="dxa"/>
                  <w:noWrap w:val="0"/>
                  <w:vAlign w:val="center"/>
                </w:tcPr>
                <w:p w14:paraId="056EE2D9">
                  <w:pPr>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限制引入</w:t>
                  </w:r>
                </w:p>
              </w:tc>
              <w:tc>
                <w:tcPr>
                  <w:tcW w:w="3850" w:type="dxa"/>
                  <w:gridSpan w:val="3"/>
                  <w:noWrap w:val="0"/>
                  <w:vAlign w:val="center"/>
                </w:tcPr>
                <w:p w14:paraId="17B8F2AF">
                  <w:pPr>
                    <w:numPr>
                      <w:ilvl w:val="0"/>
                      <w:numId w:val="3"/>
                    </w:numPr>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《产业结构调整指导目录》中限制类项目；</w:t>
                  </w:r>
                </w:p>
                <w:p w14:paraId="5F452ACE">
                  <w:pPr>
                    <w:numPr>
                      <w:ilvl w:val="0"/>
                      <w:numId w:val="3"/>
                    </w:numPr>
                    <w:snapToGrid w:val="0"/>
                    <w:ind w:left="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《陕西省国家重点生态功能区产业准入负面清单（试行）》中限制类项目；</w:t>
                  </w:r>
                </w:p>
                <w:p w14:paraId="41B80EB9">
                  <w:pPr>
                    <w:numPr>
                      <w:ilvl w:val="0"/>
                      <w:numId w:val="3"/>
                    </w:numPr>
                    <w:snapToGrid w:val="0"/>
                    <w:ind w:left="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严格控制新建、扩建果汁加工、有色金属、电镀等涉水重点行业；</w:t>
                  </w:r>
                </w:p>
                <w:p w14:paraId="129E0BD5">
                  <w:pPr>
                    <w:numPr>
                      <w:ilvl w:val="0"/>
                      <w:numId w:val="3"/>
                    </w:numPr>
                    <w:snapToGrid w:val="0"/>
                    <w:ind w:left="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严格限制增加氮磷污染物排放的工业项目；</w:t>
                  </w:r>
                </w:p>
                <w:p w14:paraId="7605C9DB">
                  <w:pPr>
                    <w:numPr>
                      <w:ilvl w:val="0"/>
                      <w:numId w:val="0"/>
                    </w:numPr>
                    <w:snapToGrid w:val="0"/>
                    <w:ind w:leftChars="0"/>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Times New Roman PS MT" w:cs="Times New Roman"/>
                      <w:b w:val="0"/>
                      <w:bCs w:val="0"/>
                      <w:color w:val="auto"/>
                      <w:sz w:val="21"/>
                      <w:szCs w:val="21"/>
                      <w:highlight w:val="none"/>
                    </w:rPr>
                    <w:t>5.</w:t>
                  </w:r>
                  <w:r>
                    <w:rPr>
                      <w:rFonts w:hint="default" w:ascii="Times New Roman" w:hAnsi="Times New Roman" w:eastAsia="宋体" w:cs="Times New Roman"/>
                      <w:b w:val="0"/>
                      <w:bCs w:val="0"/>
                      <w:color w:val="auto"/>
                      <w:sz w:val="21"/>
                      <w:szCs w:val="21"/>
                      <w:highlight w:val="none"/>
                    </w:rPr>
                    <w:t>绿色有机产业园限制引入排放高浓度</w:t>
                  </w:r>
                  <w:r>
                    <w:rPr>
                      <w:rFonts w:hint="default" w:ascii="Times New Roman" w:hAnsi="Times New Roman" w:eastAsia="Times New Roman PS MT" w:cs="Times New Roman"/>
                      <w:b w:val="0"/>
                      <w:bCs w:val="0"/>
                      <w:color w:val="auto"/>
                      <w:sz w:val="21"/>
                      <w:szCs w:val="21"/>
                      <w:highlight w:val="none"/>
                    </w:rPr>
                    <w:t>COD</w:t>
                  </w:r>
                  <w:r>
                    <w:rPr>
                      <w:rFonts w:hint="default" w:ascii="Times New Roman" w:hAnsi="Times New Roman" w:eastAsia="宋体" w:cs="Times New Roman"/>
                      <w:b w:val="0"/>
                      <w:bCs w:val="0"/>
                      <w:color w:val="auto"/>
                      <w:sz w:val="21"/>
                      <w:szCs w:val="21"/>
                      <w:highlight w:val="none"/>
                    </w:rPr>
                    <w:t>废水的项目</w:t>
                  </w:r>
                  <w:r>
                    <w:rPr>
                      <w:rFonts w:hint="default" w:ascii="Times New Roman" w:hAnsi="Times New Roman" w:eastAsia="宋体" w:cs="Times New Roman"/>
                      <w:b w:val="0"/>
                      <w:bCs w:val="0"/>
                      <w:color w:val="auto"/>
                      <w:sz w:val="21"/>
                      <w:szCs w:val="21"/>
                      <w:highlight w:val="none"/>
                      <w:lang w:eastAsia="zh-CN"/>
                    </w:rPr>
                    <w:t>。</w:t>
                  </w:r>
                </w:p>
              </w:tc>
              <w:tc>
                <w:tcPr>
                  <w:tcW w:w="2050" w:type="dxa"/>
                  <w:noWrap w:val="0"/>
                  <w:vAlign w:val="center"/>
                </w:tcPr>
                <w:p w14:paraId="683C05DB">
                  <w:pPr>
                    <w:numPr>
                      <w:ilvl w:val="0"/>
                      <w:numId w:val="0"/>
                    </w:numPr>
                    <w:snapToGrid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本项目不属于</w:t>
                  </w:r>
                  <w:r>
                    <w:rPr>
                      <w:rFonts w:hint="default" w:ascii="Times New Roman" w:hAnsi="Times New Roman" w:eastAsia="宋体" w:cs="Times New Roman"/>
                      <w:b w:val="0"/>
                      <w:bCs w:val="0"/>
                      <w:color w:val="auto"/>
                      <w:sz w:val="21"/>
                      <w:szCs w:val="21"/>
                      <w:highlight w:val="none"/>
                    </w:rPr>
                    <w:t>《产业结构调整指导目录》中限制类</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《陕西省国家重点生态功能区产业准入负面清单（试行）》中限制类</w:t>
                  </w:r>
                  <w:r>
                    <w:rPr>
                      <w:rFonts w:hint="eastAsia"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新建、扩建有色金属、电镀等涉水</w:t>
                  </w:r>
                  <w:r>
                    <w:rPr>
                      <w:rFonts w:hint="eastAsia" w:ascii="Times New Roman" w:hAnsi="Times New Roman" w:eastAsia="宋体" w:cs="Times New Roman"/>
                      <w:b w:val="0"/>
                      <w:bCs w:val="0"/>
                      <w:color w:val="auto"/>
                      <w:sz w:val="21"/>
                      <w:szCs w:val="21"/>
                      <w:highlight w:val="none"/>
                      <w:lang w:eastAsia="zh-CN"/>
                    </w:rPr>
                    <w:t>重点行业，同时本项目</w:t>
                  </w:r>
                  <w:r>
                    <w:rPr>
                      <w:rFonts w:hint="eastAsia" w:ascii="Times New Roman" w:hAnsi="Times New Roman" w:eastAsia="宋体" w:cs="Times New Roman"/>
                      <w:b w:val="0"/>
                      <w:bCs w:val="0"/>
                      <w:color w:val="auto"/>
                      <w:sz w:val="21"/>
                      <w:szCs w:val="21"/>
                      <w:highlight w:val="none"/>
                      <w:lang w:val="en-US" w:eastAsia="zh-CN"/>
                    </w:rPr>
                    <w:t>属于园区产业规划近期重点项目之一。</w:t>
                  </w:r>
                </w:p>
              </w:tc>
              <w:tc>
                <w:tcPr>
                  <w:tcW w:w="741" w:type="dxa"/>
                  <w:noWrap w:val="0"/>
                  <w:vAlign w:val="center"/>
                </w:tcPr>
                <w:p w14:paraId="2720A97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2FA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36" w:type="dxa"/>
                  <w:noWrap w:val="0"/>
                  <w:vAlign w:val="center"/>
                </w:tcPr>
                <w:p w14:paraId="1D3F3556">
                  <w:pPr>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空间布局约束</w:t>
                  </w:r>
                </w:p>
              </w:tc>
              <w:tc>
                <w:tcPr>
                  <w:tcW w:w="3850" w:type="dxa"/>
                  <w:gridSpan w:val="3"/>
                  <w:noWrap w:val="0"/>
                  <w:vAlign w:val="center"/>
                </w:tcPr>
                <w:p w14:paraId="2BFB05C8">
                  <w:pPr>
                    <w:numPr>
                      <w:ilvl w:val="0"/>
                      <w:numId w:val="4"/>
                    </w:numPr>
                    <w:snapToGrid w:val="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不得引入列入《环境准入负面清单》的项目。</w:t>
                  </w:r>
                </w:p>
                <w:p w14:paraId="657D4B08">
                  <w:pPr>
                    <w:numPr>
                      <w:ilvl w:val="0"/>
                      <w:numId w:val="4"/>
                    </w:numPr>
                    <w:snapToGrid w:val="0"/>
                    <w:ind w:left="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对不符合园区产业布局的现有企业制定迁出计划，或者调整园区规划产业布局，确保现有企业与规划的产业布局相符。</w:t>
                  </w:r>
                </w:p>
                <w:p w14:paraId="53BF0B17">
                  <w:pPr>
                    <w:numPr>
                      <w:ilvl w:val="0"/>
                      <w:numId w:val="4"/>
                    </w:numPr>
                    <w:snapToGrid w:val="0"/>
                    <w:ind w:left="0" w:leftChars="0" w:firstLine="0" w:firstLine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严格控制新增《陕西省</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两高</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项目管理暂行目录》行业项目（民生等项目除外，后续对</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两高</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范围国家如有新规定的，从其规定）。</w:t>
                  </w:r>
                </w:p>
                <w:p w14:paraId="51B271E8">
                  <w:pPr>
                    <w:numPr>
                      <w:ilvl w:val="0"/>
                      <w:numId w:val="0"/>
                    </w:numPr>
                    <w:snapToGrid w:val="0"/>
                    <w:ind w:leftChars="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入园项目应满足</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三线一单</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分区管控要求。</w:t>
                  </w:r>
                </w:p>
                <w:p w14:paraId="46B7BE8A">
                  <w:pPr>
                    <w:numPr>
                      <w:ilvl w:val="0"/>
                      <w:numId w:val="0"/>
                    </w:numPr>
                    <w:snapToGrid w:val="0"/>
                    <w:ind w:leftChars="0"/>
                    <w:rPr>
                      <w:rFonts w:hint="default" w:ascii="Times New Roman" w:hAnsi="Times New Roman" w:cs="Times New Roman"/>
                      <w:color w:val="auto"/>
                      <w:kern w:val="0"/>
                      <w:sz w:val="21"/>
                      <w:szCs w:val="21"/>
                      <w:highlight w:val="none"/>
                    </w:rPr>
                  </w:pPr>
                  <w:r>
                    <w:rPr>
                      <w:rFonts w:hint="default" w:ascii="Times New Roman" w:hAnsi="Times New Roman" w:eastAsia="Times New Roman PS MT" w:cs="Times New Roman"/>
                      <w:b w:val="0"/>
                      <w:bCs w:val="0"/>
                      <w:color w:val="auto"/>
                      <w:sz w:val="21"/>
                      <w:szCs w:val="21"/>
                      <w:highlight w:val="none"/>
                    </w:rPr>
                    <w:t>5.</w:t>
                  </w:r>
                  <w:r>
                    <w:rPr>
                      <w:rFonts w:hint="default" w:ascii="Times New Roman" w:hAnsi="Times New Roman" w:eastAsia="宋体" w:cs="Times New Roman"/>
                      <w:b w:val="0"/>
                      <w:bCs w:val="0"/>
                      <w:color w:val="auto"/>
                      <w:sz w:val="21"/>
                      <w:szCs w:val="21"/>
                      <w:highlight w:val="none"/>
                    </w:rPr>
                    <w:t>工业项目选址应符合上位国土空间规划，符合园区产业布局、土地利用规划、规划功能定位等要求，项目建设环评需分析规划及规划环评的符合性。</w:t>
                  </w:r>
                </w:p>
              </w:tc>
              <w:tc>
                <w:tcPr>
                  <w:tcW w:w="2050" w:type="dxa"/>
                  <w:noWrap w:val="0"/>
                  <w:vAlign w:val="center"/>
                </w:tcPr>
                <w:p w14:paraId="7B514EA6">
                  <w:pP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项目不属于</w:t>
                  </w:r>
                  <w:r>
                    <w:rPr>
                      <w:rFonts w:hint="default" w:ascii="Times New Roman" w:hAnsi="Times New Roman" w:eastAsia="宋体" w:cs="Times New Roman"/>
                      <w:b w:val="0"/>
                      <w:bCs w:val="0"/>
                      <w:color w:val="auto"/>
                      <w:sz w:val="21"/>
                      <w:szCs w:val="21"/>
                      <w:highlight w:val="none"/>
                    </w:rPr>
                    <w:t>列入《环境准入负面清单》的项目</w:t>
                  </w:r>
                  <w:r>
                    <w:rPr>
                      <w:rFonts w:hint="eastAsia" w:ascii="Times New Roman" w:hAnsi="Times New Roman" w:eastAsia="宋体" w:cs="Times New Roman"/>
                      <w:b w:val="0"/>
                      <w:bCs w:val="0"/>
                      <w:color w:val="auto"/>
                      <w:sz w:val="21"/>
                      <w:szCs w:val="21"/>
                      <w:highlight w:val="none"/>
                      <w:lang w:eastAsia="zh-CN"/>
                    </w:rPr>
                    <w:t>；本项目符合园区产业规划，不属于</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两高</w:t>
                  </w:r>
                  <w:r>
                    <w:rPr>
                      <w:rFonts w:hint="default" w:ascii="Times New Roman" w:hAnsi="Times New Roman" w:eastAsia="Times New Roman PS MT"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eastAsia="zh-CN"/>
                    </w:rPr>
                    <w:t>行业，经对照项目满足</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三线一单</w:t>
                  </w:r>
                  <w:r>
                    <w:rPr>
                      <w:rFonts w:hint="default" w:ascii="Times New Roman" w:hAnsi="Times New Roman" w:eastAsia="Times New Roman PS MT"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rPr>
                    <w:t>分区管控要求，符合园区产业布局、</w:t>
                  </w:r>
                  <w:r>
                    <w:rPr>
                      <w:rFonts w:hint="eastAsia" w:ascii="Times New Roman" w:hAnsi="Times New Roman" w:eastAsia="宋体" w:cs="Times New Roman"/>
                      <w:b w:val="0"/>
                      <w:bCs w:val="0"/>
                      <w:color w:val="auto"/>
                      <w:sz w:val="21"/>
                      <w:szCs w:val="21"/>
                      <w:highlight w:val="none"/>
                      <w:lang w:eastAsia="zh-CN"/>
                    </w:rPr>
                    <w:t>符合洋县</w:t>
                  </w:r>
                  <w:r>
                    <w:rPr>
                      <w:rFonts w:hint="default" w:ascii="Times New Roman" w:hAnsi="Times New Roman" w:eastAsia="宋体" w:cs="Times New Roman"/>
                      <w:b w:val="0"/>
                      <w:bCs w:val="0"/>
                      <w:color w:val="auto"/>
                      <w:sz w:val="21"/>
                      <w:szCs w:val="21"/>
                      <w:highlight w:val="none"/>
                    </w:rPr>
                    <w:t>土地利用规划、规划功能定位等要求</w:t>
                  </w:r>
                  <w:r>
                    <w:rPr>
                      <w:rFonts w:hint="eastAsia" w:ascii="Times New Roman" w:hAnsi="Times New Roman" w:eastAsia="宋体" w:cs="Times New Roman"/>
                      <w:b w:val="0"/>
                      <w:bCs w:val="0"/>
                      <w:color w:val="auto"/>
                      <w:sz w:val="21"/>
                      <w:szCs w:val="21"/>
                      <w:highlight w:val="none"/>
                      <w:lang w:eastAsia="zh-CN"/>
                    </w:rPr>
                    <w:t>。</w:t>
                  </w:r>
                </w:p>
              </w:tc>
              <w:tc>
                <w:tcPr>
                  <w:tcW w:w="741" w:type="dxa"/>
                  <w:noWrap w:val="0"/>
                  <w:vAlign w:val="center"/>
                </w:tcPr>
                <w:p w14:paraId="5662CD7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58AC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77" w:type="dxa"/>
                  <w:gridSpan w:val="6"/>
                  <w:noWrap w:val="0"/>
                  <w:vAlign w:val="center"/>
                </w:tcPr>
                <w:p w14:paraId="6661FA5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分区管控产业准入清单</w:t>
                  </w:r>
                </w:p>
              </w:tc>
            </w:tr>
            <w:tr w14:paraId="496C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851" w:type="dxa"/>
                  <w:gridSpan w:val="2"/>
                  <w:noWrap w:val="0"/>
                  <w:vAlign w:val="center"/>
                </w:tcPr>
                <w:p w14:paraId="3FA1CB4A">
                  <w:pPr>
                    <w:snapToGrid w:val="0"/>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rPr>
                    <w:t>规划分区</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板块</w:t>
                  </w:r>
                </w:p>
              </w:tc>
              <w:tc>
                <w:tcPr>
                  <w:tcW w:w="2335" w:type="dxa"/>
                  <w:gridSpan w:val="2"/>
                  <w:noWrap w:val="0"/>
                  <w:vAlign w:val="center"/>
                </w:tcPr>
                <w:p w14:paraId="052F9952">
                  <w:pPr>
                    <w:snapToGrid w:val="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产业准入明细</w:t>
                  </w:r>
                </w:p>
              </w:tc>
              <w:tc>
                <w:tcPr>
                  <w:tcW w:w="2050" w:type="dxa"/>
                  <w:noWrap w:val="0"/>
                  <w:vAlign w:val="center"/>
                </w:tcPr>
                <w:p w14:paraId="5B8EAF48">
                  <w:pP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本项目情况</w:t>
                  </w:r>
                </w:p>
              </w:tc>
              <w:tc>
                <w:tcPr>
                  <w:tcW w:w="741" w:type="dxa"/>
                  <w:noWrap w:val="0"/>
                  <w:vAlign w:val="center"/>
                </w:tcPr>
                <w:p w14:paraId="2091B14D">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符合</w:t>
                  </w:r>
                  <w:r>
                    <w:rPr>
                      <w:rFonts w:hint="default" w:ascii="Times New Roman" w:hAnsi="Times New Roman" w:cs="Times New Roman"/>
                      <w:color w:val="auto"/>
                      <w:sz w:val="21"/>
                      <w:szCs w:val="21"/>
                      <w:highlight w:val="none"/>
                      <w:lang w:eastAsia="zh-CN"/>
                    </w:rPr>
                    <w:t>性</w:t>
                  </w:r>
                </w:p>
              </w:tc>
            </w:tr>
            <w:tr w14:paraId="7DC0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51" w:type="dxa"/>
                  <w:gridSpan w:val="2"/>
                  <w:noWrap w:val="0"/>
                  <w:vAlign w:val="center"/>
                </w:tcPr>
                <w:p w14:paraId="237EF4C5">
                  <w:pPr>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酒饮品酿造、粮油加工、淀粉及深加工制品、方便休闲食品、绿色蔬菜深加工、中药材加工</w:t>
                  </w:r>
                </w:p>
              </w:tc>
              <w:tc>
                <w:tcPr>
                  <w:tcW w:w="2335" w:type="dxa"/>
                  <w:gridSpan w:val="2"/>
                  <w:noWrap w:val="0"/>
                  <w:vAlign w:val="center"/>
                </w:tcPr>
                <w:p w14:paraId="3D99FE5B">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C13农副食品加工</w:t>
                  </w:r>
                </w:p>
                <w:p w14:paraId="5A6EC326">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C14食品制造业（除149其他食品制造1495食品及饲料添加剂制造）</w:t>
                  </w:r>
                </w:p>
                <w:p w14:paraId="7A8A28F9">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C15酒、饮料制造业（严格限制增加氮磷污染物排放的工业项目）</w:t>
                  </w:r>
                </w:p>
                <w:p w14:paraId="5EC42C13">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C273中药饮品加工</w:t>
                  </w:r>
                </w:p>
                <w:p w14:paraId="48DF9FF7">
                  <w:pPr>
                    <w:snapToGrid w:val="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C274中成药生产</w:t>
                  </w:r>
                </w:p>
              </w:tc>
              <w:tc>
                <w:tcPr>
                  <w:tcW w:w="2050" w:type="dxa"/>
                  <w:noWrap w:val="0"/>
                  <w:vAlign w:val="center"/>
                </w:tcPr>
                <w:p w14:paraId="69775923">
                  <w:pP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本项目主要利用有机山茱萸原料加工山茱萸饮品、山茱萸酒、山茱萸醋等产品</w:t>
                  </w:r>
                  <w:r>
                    <w:rPr>
                      <w:rFonts w:hint="eastAsia" w:ascii="Times New Roman" w:hAnsi="Times New Roman" w:cs="Times New Roman"/>
                      <w:color w:val="auto"/>
                      <w:sz w:val="21"/>
                      <w:szCs w:val="21"/>
                      <w:highlight w:val="none"/>
                      <w:lang w:eastAsia="zh-CN"/>
                    </w:rPr>
                    <w:t>，属于特色农产品加工、</w:t>
                  </w:r>
                  <w:r>
                    <w:rPr>
                      <w:rFonts w:hint="default" w:ascii="Times New Roman" w:hAnsi="Times New Roman" w:cs="Times New Roman"/>
                      <w:color w:val="auto"/>
                      <w:sz w:val="21"/>
                      <w:szCs w:val="21"/>
                      <w:highlight w:val="none"/>
                    </w:rPr>
                    <w:t>酒、饮料制造业</w:t>
                  </w:r>
                  <w:r>
                    <w:rPr>
                      <w:rFonts w:hint="eastAsia" w:ascii="Times New Roman" w:hAnsi="Times New Roman" w:cs="Times New Roman"/>
                      <w:color w:val="auto"/>
                      <w:sz w:val="21"/>
                      <w:szCs w:val="21"/>
                      <w:highlight w:val="none"/>
                      <w:lang w:eastAsia="zh-CN"/>
                    </w:rPr>
                    <w:t>，项目设备清洗、鲜果清洗等废水收集后</w:t>
                  </w:r>
                  <w:r>
                    <w:rPr>
                      <w:rFonts w:hint="eastAsia"/>
                      <w:color w:val="auto"/>
                      <w:sz w:val="21"/>
                      <w:szCs w:val="21"/>
                      <w:highlight w:val="none"/>
                      <w:lang w:bidi="ar"/>
                    </w:rPr>
                    <w:t>拟</w:t>
                  </w:r>
                  <w:r>
                    <w:rPr>
                      <w:rFonts w:hint="eastAsia"/>
                      <w:color w:val="auto"/>
                      <w:sz w:val="21"/>
                      <w:szCs w:val="21"/>
                      <w:highlight w:val="none"/>
                      <w:lang w:eastAsia="zh-CN" w:bidi="ar"/>
                    </w:rPr>
                    <w:t>经罐车运输至北侧</w:t>
                  </w:r>
                  <w:r>
                    <w:rPr>
                      <w:rFonts w:hint="eastAsia"/>
                      <w:color w:val="auto"/>
                      <w:sz w:val="21"/>
                      <w:szCs w:val="21"/>
                      <w:highlight w:val="none"/>
                      <w:lang w:val="en-US" w:eastAsia="zh-CN" w:bidi="ar"/>
                    </w:rPr>
                    <w:t>300m处的</w:t>
                  </w:r>
                  <w:r>
                    <w:rPr>
                      <w:rFonts w:hint="eastAsia"/>
                      <w:color w:val="auto"/>
                      <w:sz w:val="21"/>
                      <w:szCs w:val="21"/>
                      <w:highlight w:val="none"/>
                      <w:lang w:eastAsia="zh-CN" w:bidi="ar"/>
                    </w:rPr>
                    <w:t>陕西朱鹮酒业有限公司污水处理站处理后与其他污水经污水管网排入洋县</w:t>
                  </w:r>
                  <w:r>
                    <w:rPr>
                      <w:rFonts w:hint="eastAsia"/>
                      <w:color w:val="auto"/>
                      <w:sz w:val="21"/>
                      <w:szCs w:val="21"/>
                      <w:highlight w:val="none"/>
                      <w:lang w:bidi="ar"/>
                    </w:rPr>
                    <w:t>污水处理厂进一步处置</w:t>
                  </w:r>
                  <w:r>
                    <w:rPr>
                      <w:rFonts w:hint="eastAsia" w:ascii="Times New Roman" w:hAnsi="Times New Roman" w:cs="Times New Roman"/>
                      <w:color w:val="auto"/>
                      <w:sz w:val="21"/>
                      <w:szCs w:val="21"/>
                      <w:highlight w:val="none"/>
                      <w:lang w:eastAsia="zh-CN"/>
                    </w:rPr>
                    <w:t>，废水污染物总量依托污水处理厂总量消耗，不突破污水处理厂设计规模</w:t>
                  </w:r>
                </w:p>
              </w:tc>
              <w:tc>
                <w:tcPr>
                  <w:tcW w:w="741" w:type="dxa"/>
                  <w:noWrap w:val="0"/>
                  <w:vAlign w:val="center"/>
                </w:tcPr>
                <w:p w14:paraId="194974D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28E4DFB5">
            <w:pPr>
              <w:adjustRightInd w:val="0"/>
              <w:snapToGrid w:val="0"/>
              <w:spacing w:line="360" w:lineRule="auto"/>
              <w:ind w:firstLine="480" w:firstLineChars="200"/>
              <w:rPr>
                <w:color w:val="auto"/>
                <w:sz w:val="24"/>
                <w:highlight w:val="none"/>
              </w:rPr>
            </w:pPr>
            <w:r>
              <w:rPr>
                <w:rFonts w:hint="eastAsia"/>
                <w:color w:val="auto"/>
                <w:sz w:val="24"/>
                <w:highlight w:val="none"/>
              </w:rPr>
              <w:t>经与《陕西洋县经济技术开发区总体发展规划环境影响报告书》中要求的</w:t>
            </w:r>
            <w:r>
              <w:rPr>
                <w:rFonts w:hint="eastAsia"/>
                <w:color w:val="auto"/>
                <w:sz w:val="24"/>
                <w:highlight w:val="none"/>
                <w:lang w:eastAsia="zh-CN"/>
              </w:rPr>
              <w:t>生态</w:t>
            </w:r>
            <w:r>
              <w:rPr>
                <w:rFonts w:hint="eastAsia"/>
                <w:color w:val="auto"/>
                <w:sz w:val="24"/>
                <w:highlight w:val="none"/>
              </w:rPr>
              <w:t>环境准入条件</w:t>
            </w:r>
            <w:r>
              <w:rPr>
                <w:rFonts w:hint="eastAsia"/>
                <w:color w:val="auto"/>
                <w:sz w:val="24"/>
                <w:highlight w:val="none"/>
                <w:lang w:eastAsia="zh-CN"/>
              </w:rPr>
              <w:t>及分区管控产业准入清单</w:t>
            </w:r>
            <w:r>
              <w:rPr>
                <w:rFonts w:hint="eastAsia"/>
                <w:color w:val="auto"/>
                <w:sz w:val="24"/>
                <w:highlight w:val="none"/>
              </w:rPr>
              <w:t>进行对比，项目与各项要求条款均不冲突，因此，项目符合园区规划环评的要求。</w:t>
            </w:r>
          </w:p>
          <w:p w14:paraId="1B20FD9B">
            <w:pPr>
              <w:autoSpaceDE w:val="0"/>
              <w:autoSpaceDN w:val="0"/>
              <w:adjustRightInd w:val="0"/>
              <w:snapToGrid w:val="0"/>
              <w:spacing w:line="360" w:lineRule="auto"/>
              <w:ind w:firstLine="482" w:firstLineChars="200"/>
              <w:rPr>
                <w:rFonts w:hint="eastAsia" w:hAnsi="宋体" w:eastAsia="宋体"/>
                <w:b/>
                <w:bCs/>
                <w:color w:val="auto"/>
                <w:sz w:val="24"/>
                <w:highlight w:val="none"/>
                <w:lang w:eastAsia="zh-CN"/>
              </w:rPr>
            </w:pPr>
            <w:r>
              <w:rPr>
                <w:rFonts w:hint="eastAsia" w:hAnsi="宋体"/>
                <w:b/>
                <w:bCs/>
                <w:color w:val="auto"/>
                <w:sz w:val="24"/>
                <w:highlight w:val="none"/>
                <w:lang w:eastAsia="zh-CN"/>
              </w:rPr>
              <w:t>3.与</w:t>
            </w:r>
            <w:r>
              <w:rPr>
                <w:rFonts w:hint="eastAsia" w:hAnsi="宋体"/>
                <w:b/>
                <w:bCs/>
                <w:color w:val="auto"/>
                <w:sz w:val="24"/>
                <w:highlight w:val="none"/>
              </w:rPr>
              <w:t>规划环评审查意见</w:t>
            </w:r>
            <w:r>
              <w:rPr>
                <w:rFonts w:hint="eastAsia" w:hAnsi="宋体"/>
                <w:b/>
                <w:bCs/>
                <w:color w:val="auto"/>
                <w:sz w:val="24"/>
                <w:highlight w:val="none"/>
                <w:lang w:eastAsia="zh-CN"/>
              </w:rPr>
              <w:t>符合性分析</w:t>
            </w:r>
          </w:p>
          <w:p w14:paraId="38FEB4A9">
            <w:pPr>
              <w:autoSpaceDE w:val="0"/>
              <w:autoSpaceDN w:val="0"/>
              <w:adjustRightInd w:val="0"/>
              <w:snapToGrid w:val="0"/>
              <w:spacing w:line="360" w:lineRule="auto"/>
              <w:ind w:firstLine="482" w:firstLineChars="200"/>
              <w:rPr>
                <w:color w:val="auto"/>
                <w:kern w:val="0"/>
                <w:sz w:val="24"/>
                <w:szCs w:val="24"/>
                <w:highlight w:val="none"/>
              </w:rPr>
            </w:pPr>
            <w:r>
              <w:rPr>
                <w:rFonts w:hint="eastAsia"/>
                <w:b/>
                <w:bCs/>
                <w:color w:val="auto"/>
                <w:sz w:val="24"/>
                <w:highlight w:val="none"/>
                <w:u w:val="single"/>
              </w:rPr>
              <w:t>相关要求：</w:t>
            </w:r>
            <w:r>
              <w:rPr>
                <w:rFonts w:hint="eastAsia"/>
                <w:color w:val="auto"/>
                <w:sz w:val="24"/>
                <w:szCs w:val="24"/>
                <w:highlight w:val="none"/>
              </w:rPr>
              <w:t>根据</w:t>
            </w:r>
            <w:r>
              <w:rPr>
                <w:rFonts w:hint="default" w:ascii="Times New Roman" w:hAnsi="Times New Roman" w:cs="Times New Roman"/>
                <w:color w:val="auto"/>
                <w:kern w:val="0"/>
                <w:sz w:val="24"/>
                <w:szCs w:val="24"/>
                <w:highlight w:val="none"/>
              </w:rPr>
              <w:t>陕西省生态环境厅</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关于陕西洋县经济技术开发区总体发展规划（2024</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2035年）环境影响报告书审查意见的函》（陕环环评函〔2025〕79号）</w:t>
            </w:r>
            <w:r>
              <w:rPr>
                <w:color w:val="auto"/>
                <w:kern w:val="0"/>
                <w:sz w:val="24"/>
                <w:szCs w:val="24"/>
                <w:highlight w:val="none"/>
              </w:rPr>
              <w:t>的相关内容：</w:t>
            </w:r>
          </w:p>
          <w:p w14:paraId="12C18790">
            <w:pPr>
              <w:autoSpaceDE w:val="0"/>
              <w:autoSpaceDN w:val="0"/>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一）坚持绿色发展和协同发展理念，强化《总体发展规划》引导。以生态环境质量改善为核心，做好与国土空间规划和生态环境分区管控方案的协调衔接，规划区涉及磨子桥镇饮用水水源地一级保护区、准保护区，园区应严格落实《陕西省饮用水水源保护条例》，拟入驻项目和现有项目必须符合相关要求。规划应结合《中华人民共和国长江保护法》《陕西省汉江丹江流域水污染防治条例》等相关要求，充分考虑规划区周边的自然保护区、重要湿地及规划区内居民、学校分布情况，结合规划区主导产业类型，进一步优化《总体发展规划》中的产业定位、功能布局、发展规模，改造提升传统产业，加快构建现代绿色产业体系。</w:t>
            </w:r>
          </w:p>
          <w:p w14:paraId="2D95D099">
            <w:pPr>
              <w:autoSpaceDE w:val="0"/>
              <w:autoSpaceDN w:val="0"/>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二）严把项目准入关，推进园区高质量发展。严格入区项目环境准入管理，结合《“十四五”陕南绿色循环发展规划》，突出主导优势产业、强化产业聚集效应，实现产业发展与生态环境保护相协调。严格落实《报告书》提出的生态环境准入要求，严格入园项目的环境准入管理。严控现有“两高”项目新增产能，临汉江工业企业应配备有效的水环境风险防范措施，不得引进涉及危险化学品重大危险源的项目，严格限制新建、改建、扩建农副食品加工、果汁等重点行业。</w:t>
            </w:r>
          </w:p>
          <w:p w14:paraId="465A9D83">
            <w:pPr>
              <w:autoSpaceDE w:val="0"/>
              <w:autoSpaceDN w:val="0"/>
              <w:adjustRightInd w:val="0"/>
              <w:snapToGrid w:val="0"/>
              <w:spacing w:line="360" w:lineRule="auto"/>
              <w:ind w:firstLine="482" w:firstLineChars="200"/>
              <w:rPr>
                <w:rFonts w:hint="eastAsia" w:ascii="宋体" w:hAnsi="宋体" w:eastAsia="宋体" w:cs="宋体"/>
                <w:color w:val="auto"/>
                <w:kern w:val="0"/>
                <w:szCs w:val="21"/>
                <w:highlight w:val="none"/>
                <w:lang w:eastAsia="zh-CN"/>
              </w:rPr>
            </w:pPr>
            <w:r>
              <w:rPr>
                <w:rFonts w:hint="eastAsia"/>
                <w:b/>
                <w:bCs/>
                <w:color w:val="auto"/>
                <w:sz w:val="24"/>
                <w:highlight w:val="none"/>
                <w:u w:val="single"/>
              </w:rPr>
              <w:t>本项目情况及符合性：</w:t>
            </w:r>
            <w:r>
              <w:rPr>
                <w:rFonts w:hint="eastAsia"/>
                <w:color w:val="auto"/>
                <w:sz w:val="24"/>
                <w:highlight w:val="none"/>
              </w:rPr>
              <w:t>本项目主要利用有机山茱萸原料加工山茱萸饮品、山茱萸酒、山茱萸醋等产品，因此项目符合园区规划定位要求；同时本项目属于园区产业规划近期重点项目之一</w:t>
            </w:r>
            <w:r>
              <w:rPr>
                <w:rFonts w:hint="eastAsia"/>
                <w:color w:val="auto"/>
                <w:sz w:val="24"/>
                <w:highlight w:val="none"/>
                <w:lang w:eastAsia="zh-CN"/>
              </w:rPr>
              <w:t>，项目不属于“两高”行业，不涉及重大危险源，</w:t>
            </w:r>
            <w:r>
              <w:rPr>
                <w:rFonts w:hint="eastAsia"/>
                <w:bCs/>
                <w:color w:val="auto"/>
                <w:sz w:val="24"/>
                <w:szCs w:val="24"/>
                <w:highlight w:val="none"/>
                <w:lang w:eastAsia="zh-CN"/>
              </w:rPr>
              <w:t>项目废水拟经自建污水处理设施处理后排入洋县污水处理厂进一步处理。因此项目实施符合</w:t>
            </w:r>
            <w:r>
              <w:rPr>
                <w:rFonts w:hint="default" w:ascii="Times New Roman" w:hAnsi="Times New Roman" w:cs="Times New Roman"/>
                <w:color w:val="auto"/>
                <w:kern w:val="0"/>
                <w:sz w:val="24"/>
                <w:szCs w:val="24"/>
                <w:highlight w:val="none"/>
              </w:rPr>
              <w:t>陕西洋县经济技术开发区总体发展规划（2024-2035年）环境影响报告书审查意见</w:t>
            </w:r>
            <w:r>
              <w:rPr>
                <w:rFonts w:hint="eastAsia" w:ascii="Times New Roman" w:hAnsi="Times New Roman" w:cs="Times New Roman"/>
                <w:color w:val="auto"/>
                <w:kern w:val="0"/>
                <w:sz w:val="24"/>
                <w:szCs w:val="24"/>
                <w:highlight w:val="none"/>
                <w:lang w:eastAsia="zh-CN"/>
              </w:rPr>
              <w:t>中的相关要求。</w:t>
            </w:r>
          </w:p>
        </w:tc>
      </w:tr>
      <w:tr w14:paraId="70C8D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1666" w:type="dxa"/>
            <w:noWrap w:val="0"/>
            <w:vAlign w:val="center"/>
          </w:tcPr>
          <w:p w14:paraId="2DE1C9CD">
            <w:pPr>
              <w:autoSpaceDE w:val="0"/>
              <w:autoSpaceDN w:val="0"/>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其他符合性分析</w:t>
            </w:r>
          </w:p>
        </w:tc>
        <w:tc>
          <w:tcPr>
            <w:tcW w:w="7204" w:type="dxa"/>
            <w:gridSpan w:val="3"/>
            <w:noWrap w:val="0"/>
            <w:vAlign w:val="center"/>
          </w:tcPr>
          <w:p w14:paraId="03FD5406">
            <w:pPr>
              <w:spacing w:line="360" w:lineRule="auto"/>
              <w:ind w:firstLine="480" w:firstLineChars="200"/>
              <w:jc w:val="left"/>
              <w:rPr>
                <w:color w:val="auto"/>
                <w:sz w:val="24"/>
                <w:highlight w:val="none"/>
              </w:rPr>
            </w:pPr>
            <w:r>
              <w:rPr>
                <w:rFonts w:hint="eastAsia"/>
                <w:color w:val="auto"/>
                <w:sz w:val="24"/>
                <w:highlight w:val="none"/>
              </w:rPr>
              <w:t>1、</w:t>
            </w:r>
            <w:r>
              <w:rPr>
                <w:color w:val="auto"/>
                <w:sz w:val="24"/>
                <w:highlight w:val="none"/>
              </w:rPr>
              <w:t>产业政策符合性</w:t>
            </w:r>
            <w:r>
              <w:rPr>
                <w:rFonts w:hint="eastAsia"/>
                <w:color w:val="auto"/>
                <w:sz w:val="24"/>
                <w:highlight w:val="none"/>
              </w:rPr>
              <w:t>分析</w:t>
            </w:r>
          </w:p>
          <w:p w14:paraId="4F607FD2">
            <w:pPr>
              <w:autoSpaceDE w:val="0"/>
              <w:autoSpaceDN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根据国家发展和改革委员会令第</w:t>
            </w:r>
            <w:r>
              <w:rPr>
                <w:rFonts w:hint="eastAsia"/>
                <w:color w:val="auto"/>
                <w:sz w:val="24"/>
                <w:highlight w:val="none"/>
                <w:lang w:val="en-US" w:eastAsia="zh-CN"/>
              </w:rPr>
              <w:t>7</w:t>
            </w:r>
            <w:r>
              <w:rPr>
                <w:rFonts w:hint="eastAsia"/>
                <w:color w:val="auto"/>
                <w:sz w:val="24"/>
                <w:highlight w:val="none"/>
              </w:rPr>
              <w:t>号《产业结构调整指导目录（20</w:t>
            </w:r>
            <w:r>
              <w:rPr>
                <w:rFonts w:hint="eastAsia"/>
                <w:color w:val="auto"/>
                <w:sz w:val="24"/>
                <w:highlight w:val="none"/>
                <w:lang w:val="en-US" w:eastAsia="zh-CN"/>
              </w:rPr>
              <w:t>24</w:t>
            </w:r>
            <w:r>
              <w:rPr>
                <w:rFonts w:hint="eastAsia"/>
                <w:color w:val="auto"/>
                <w:sz w:val="24"/>
                <w:highlight w:val="none"/>
              </w:rPr>
              <w:t>年本）》</w:t>
            </w:r>
            <w:r>
              <w:rPr>
                <w:rFonts w:hint="eastAsia"/>
                <w:color w:val="auto"/>
                <w:sz w:val="24"/>
                <w:highlight w:val="none"/>
                <w:lang w:eastAsia="zh-CN"/>
              </w:rPr>
              <w:t>：“生产能力150瓶/分钟以下（瓶容在250毫升及以下）的碳酸饮料生产线”为淘汰类，本项目主要利用山茱萸原料进行山茱萸饮料、山茱萸酒、山茱萸醋等有关产品，不涉及碳酸饮料加工，因此</w:t>
            </w:r>
            <w:r>
              <w:rPr>
                <w:rFonts w:hint="eastAsia"/>
                <w:color w:val="auto"/>
                <w:sz w:val="24"/>
                <w:highlight w:val="none"/>
              </w:rPr>
              <w:t>本项目不属于其中的鼓励类与限制类项目，为允许类，</w:t>
            </w:r>
            <w:r>
              <w:rPr>
                <w:rFonts w:hint="eastAsia"/>
                <w:bCs/>
                <w:color w:val="auto"/>
                <w:kern w:val="0"/>
                <w:sz w:val="24"/>
                <w:highlight w:val="none"/>
              </w:rPr>
              <w:t>同时项目已取得</w:t>
            </w:r>
            <w:r>
              <w:rPr>
                <w:color w:val="auto"/>
                <w:kern w:val="0"/>
                <w:sz w:val="24"/>
                <w:highlight w:val="none"/>
              </w:rPr>
              <w:t>了陕西省企业投资项目备案确认书（</w:t>
            </w:r>
            <w:r>
              <w:rPr>
                <w:rFonts w:hint="eastAsia"/>
                <w:color w:val="auto"/>
                <w:kern w:val="21"/>
                <w:sz w:val="24"/>
                <w:highlight w:val="none"/>
              </w:rPr>
              <w:t>2311-610723-04-01-311818</w:t>
            </w:r>
            <w:r>
              <w:rPr>
                <w:color w:val="auto"/>
                <w:kern w:val="0"/>
                <w:sz w:val="24"/>
                <w:highlight w:val="none"/>
              </w:rPr>
              <w:t>）</w:t>
            </w:r>
            <w:r>
              <w:rPr>
                <w:rFonts w:hint="eastAsia"/>
                <w:color w:val="auto"/>
                <w:sz w:val="24"/>
                <w:highlight w:val="none"/>
              </w:rPr>
              <w:t>，因此本项目的建设符合国家及地方现行的产业政策（备案见附件）。</w:t>
            </w:r>
          </w:p>
          <w:p w14:paraId="4759D7C9">
            <w:pPr>
              <w:adjustRightInd w:val="0"/>
              <w:snapToGrid w:val="0"/>
              <w:spacing w:line="324" w:lineRule="auto"/>
              <w:ind w:firstLine="480" w:firstLineChars="200"/>
              <w:rPr>
                <w:color w:val="auto"/>
                <w:sz w:val="24"/>
                <w:highlight w:val="none"/>
              </w:rPr>
            </w:pPr>
            <w:r>
              <w:rPr>
                <w:rFonts w:hint="eastAsia"/>
                <w:color w:val="auto"/>
                <w:sz w:val="24"/>
                <w:highlight w:val="none"/>
                <w:lang w:val="en-US" w:eastAsia="zh-CN"/>
              </w:rPr>
              <w:t>2</w:t>
            </w:r>
            <w:r>
              <w:rPr>
                <w:rFonts w:hint="eastAsia"/>
                <w:color w:val="auto"/>
                <w:sz w:val="24"/>
                <w:highlight w:val="none"/>
              </w:rPr>
              <w:t>、项目与汉中市生态环境分区管控调整方案符合性</w:t>
            </w:r>
          </w:p>
          <w:p w14:paraId="71AE7222">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2024年12月30日，汉中市人民政府办公室发布了《关于印发2023年汉中市生态环境分区管控调整方案的通知》（汉政办函〔2024〕23号），在《汉中市人民政府关于印发汉中市“三线一单”生态环境分区管控方案的通知》（汉政发〔2021〕11号）基础上对汉中市生态环境管控单元进行了调整，根据该《通知》中的附件1—汉中市生态环境管控单元分布示意图并结合“陕西省‘三线一单’数据应用管理平台（V1.0）”可知：本项目</w:t>
            </w:r>
            <w:r>
              <w:rPr>
                <w:rFonts w:hint="eastAsia" w:ascii="Times New Roman" w:hAnsi="Times New Roman" w:eastAsia="宋体" w:cs="Times New Roman"/>
                <w:color w:val="auto"/>
                <w:sz w:val="24"/>
                <w:highlight w:val="none"/>
                <w:lang w:eastAsia="zh-CN"/>
              </w:rPr>
              <w:t>区域</w:t>
            </w:r>
            <w:r>
              <w:rPr>
                <w:rFonts w:hint="eastAsia" w:ascii="Times New Roman" w:hAnsi="Times New Roman" w:eastAsia="宋体" w:cs="Times New Roman"/>
                <w:color w:val="auto"/>
                <w:sz w:val="24"/>
                <w:highlight w:val="none"/>
              </w:rPr>
              <w:t>位于</w:t>
            </w:r>
            <w:r>
              <w:rPr>
                <w:rFonts w:hint="eastAsia" w:ascii="Times New Roman" w:hAnsi="Times New Roman" w:eastAsia="宋体" w:cs="Times New Roman"/>
                <w:color w:val="auto"/>
                <w:sz w:val="24"/>
                <w:highlight w:val="none"/>
                <w:lang w:eastAsia="zh-CN"/>
              </w:rPr>
              <w:t>重点</w:t>
            </w:r>
            <w:r>
              <w:rPr>
                <w:rFonts w:hint="eastAsia" w:ascii="Times New Roman" w:hAnsi="Times New Roman" w:eastAsia="宋体" w:cs="Times New Roman"/>
                <w:color w:val="auto"/>
                <w:sz w:val="24"/>
                <w:highlight w:val="none"/>
              </w:rPr>
              <w:t>管控单元，管控单元名称为陕西省汉中市洋县重点管控单元2，与项目相关的汉中市生态环境准入清单管控要求对照分析内容如下：</w:t>
            </w:r>
          </w:p>
          <w:p w14:paraId="57780AA4">
            <w:pPr>
              <w:pStyle w:val="43"/>
              <w:keepNext w:val="0"/>
              <w:keepLines w:val="0"/>
              <w:pageBreakBefore w:val="0"/>
              <w:widowControl w:val="0"/>
              <w:numPr>
                <w:ilvl w:val="0"/>
                <w:numId w:val="5"/>
              </w:numPr>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color w:val="auto"/>
                <w:kern w:val="0"/>
                <w:szCs w:val="21"/>
                <w:highlight w:val="none"/>
                <w:lang w:eastAsia="zh-CN"/>
              </w:rPr>
            </w:pPr>
            <w:r>
              <w:rPr>
                <w:rFonts w:hint="default" w:ascii="Times New Roman" w:hAnsi="Times New Roman" w:cs="Times New Roman"/>
                <w:color w:val="auto"/>
                <w:highlight w:val="none"/>
                <w:lang w:eastAsia="zh-CN"/>
              </w:rPr>
              <w:t>一图</w:t>
            </w:r>
          </w:p>
        </w:tc>
      </w:tr>
    </w:tbl>
    <w:p w14:paraId="50476C73">
      <w:pPr>
        <w:spacing w:line="360" w:lineRule="auto"/>
        <w:outlineLvl w:val="0"/>
        <w:rPr>
          <w:rFonts w:eastAsia="黑体"/>
          <w:color w:val="auto"/>
          <w:sz w:val="30"/>
          <w:highlight w:val="none"/>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4"/>
      </w:tblGrid>
      <w:tr w14:paraId="03B1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4" w:type="dxa"/>
            <w:noWrap w:val="0"/>
            <w:vAlign w:val="top"/>
          </w:tcPr>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6"/>
            </w:tblGrid>
            <w:tr w14:paraId="0416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0" w:hRule="atLeast"/>
                <w:jc w:val="center"/>
              </w:trPr>
              <w:tc>
                <w:tcPr>
                  <w:tcW w:w="8851" w:type="dxa"/>
                  <w:noWrap w:val="0"/>
                  <w:vAlign w:val="top"/>
                </w:tcPr>
                <w:p w14:paraId="64D999B3">
                  <w:pPr>
                    <w:pStyle w:val="43"/>
                    <w:jc w:val="center"/>
                    <w:rPr>
                      <w:color w:val="auto"/>
                      <w:sz w:val="24"/>
                      <w:szCs w:val="24"/>
                      <w:highlight w:val="none"/>
                    </w:rPr>
                  </w:pPr>
                </w:p>
                <w:p w14:paraId="3ECF68CF">
                  <w:pPr>
                    <w:pStyle w:val="43"/>
                    <w:jc w:val="center"/>
                    <w:rPr>
                      <w:color w:val="auto"/>
                      <w:sz w:val="24"/>
                      <w:szCs w:val="24"/>
                      <w:highlight w:val="none"/>
                    </w:rPr>
                  </w:pPr>
                  <w:r>
                    <w:rPr>
                      <w:color w:val="auto"/>
                      <w:sz w:val="24"/>
                      <w:szCs w:val="24"/>
                      <w:highlight w:val="none"/>
                    </w:rPr>
                    <w:drawing>
                      <wp:anchor distT="0" distB="0" distL="114300" distR="114300" simplePos="0" relativeHeight="251659264" behindDoc="0" locked="0" layoutInCell="1" allowOverlap="1">
                        <wp:simplePos x="0" y="0"/>
                        <wp:positionH relativeFrom="column">
                          <wp:posOffset>13970</wp:posOffset>
                        </wp:positionH>
                        <wp:positionV relativeFrom="paragraph">
                          <wp:posOffset>3816350</wp:posOffset>
                        </wp:positionV>
                        <wp:extent cx="1204595" cy="892810"/>
                        <wp:effectExtent l="0" t="0" r="14605" b="2540"/>
                        <wp:wrapNone/>
                        <wp:docPr id="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4"/>
                                <pic:cNvPicPr>
                                  <a:picLocks noChangeAspect="1"/>
                                </pic:cNvPicPr>
                              </pic:nvPicPr>
                              <pic:blipFill>
                                <a:blip r:embed="rId9"/>
                                <a:stretch>
                                  <a:fillRect/>
                                </a:stretch>
                              </pic:blipFill>
                              <pic:spPr>
                                <a:xfrm>
                                  <a:off x="0" y="0"/>
                                  <a:ext cx="1204595" cy="892810"/>
                                </a:xfrm>
                                <a:prstGeom prst="rect">
                                  <a:avLst/>
                                </a:prstGeom>
                                <a:noFill/>
                                <a:ln>
                                  <a:noFill/>
                                </a:ln>
                              </pic:spPr>
                            </pic:pic>
                          </a:graphicData>
                        </a:graphic>
                      </wp:anchor>
                    </w:drawing>
                  </w:r>
                  <w:r>
                    <w:rPr>
                      <w:color w:val="auto"/>
                      <w:highlight w:val="none"/>
                    </w:rPr>
                    <w:drawing>
                      <wp:inline distT="0" distB="0" distL="114300" distR="114300">
                        <wp:extent cx="6513195" cy="4705985"/>
                        <wp:effectExtent l="0" t="0" r="1905" b="18415"/>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10"/>
                                <a:stretch>
                                  <a:fillRect/>
                                </a:stretch>
                              </pic:blipFill>
                              <pic:spPr>
                                <a:xfrm>
                                  <a:off x="0" y="0"/>
                                  <a:ext cx="6513195" cy="4705985"/>
                                </a:xfrm>
                                <a:prstGeom prst="rect">
                                  <a:avLst/>
                                </a:prstGeom>
                                <a:noFill/>
                                <a:ln>
                                  <a:noFill/>
                                </a:ln>
                              </pic:spPr>
                            </pic:pic>
                          </a:graphicData>
                        </a:graphic>
                      </wp:inline>
                    </w:drawing>
                  </w:r>
                </w:p>
                <w:p w14:paraId="67752A3A">
                  <w:pPr>
                    <w:pStyle w:val="46"/>
                    <w:spacing w:before="120" w:beforeLines="50"/>
                    <w:ind w:left="0" w:firstLine="422" w:firstLineChars="200"/>
                    <w:jc w:val="center"/>
                    <w:rPr>
                      <w:color w:val="auto"/>
                      <w:sz w:val="24"/>
                      <w:szCs w:val="24"/>
                      <w:highlight w:val="none"/>
                      <w:vertAlign w:val="baseline"/>
                    </w:rPr>
                  </w:pPr>
                  <w:r>
                    <w:rPr>
                      <w:rFonts w:hint="eastAsia" w:ascii="Times New Roman"/>
                      <w:color w:val="auto"/>
                      <w:sz w:val="21"/>
                      <w:szCs w:val="21"/>
                      <w:highlight w:val="none"/>
                    </w:rPr>
                    <w:t>图1-1  项目在陕西省“三线一单”数据应用系统对照结果图</w:t>
                  </w:r>
                </w:p>
              </w:tc>
            </w:tr>
          </w:tbl>
          <w:p w14:paraId="312D8478">
            <w:pPr>
              <w:pStyle w:val="43"/>
              <w:jc w:val="center"/>
              <w:rPr>
                <w:color w:val="auto"/>
                <w:highlight w:val="none"/>
              </w:rPr>
            </w:pPr>
          </w:p>
          <w:p w14:paraId="3B200D58">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ascii="Times New Roman" w:hAnsi="Times New Roman" w:cs="Times New Roman"/>
                <w:b/>
                <w:color w:val="auto"/>
                <w:szCs w:val="21"/>
                <w:highlight w:val="none"/>
              </w:rPr>
            </w:pP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2</w:t>
            </w:r>
            <w:r>
              <w:rPr>
                <w:rFonts w:hint="default" w:ascii="Times New Roman" w:hAnsi="Times New Roman" w:cs="Times New Roman"/>
                <w:color w:val="auto"/>
                <w:sz w:val="24"/>
                <w:szCs w:val="32"/>
                <w:highlight w:val="none"/>
                <w:lang w:eastAsia="zh-CN"/>
              </w:rPr>
              <w:t>）一表</w:t>
            </w:r>
          </w:p>
          <w:p w14:paraId="65C89163">
            <w:pPr>
              <w:ind w:firstLine="480"/>
              <w:jc w:val="center"/>
              <w:rPr>
                <w:b/>
                <w:color w:val="auto"/>
                <w:szCs w:val="21"/>
                <w:highlight w:val="none"/>
              </w:rPr>
            </w:pPr>
            <w:r>
              <w:rPr>
                <w:rFonts w:ascii="Times New Roman" w:hAnsi="Times New Roman" w:cs="Times New Roman"/>
                <w:b/>
                <w:color w:val="auto"/>
                <w:szCs w:val="21"/>
                <w:highlight w:val="none"/>
              </w:rPr>
              <w:t>表1-2  项目</w:t>
            </w:r>
            <w:r>
              <w:rPr>
                <w:rFonts w:hint="eastAsia"/>
                <w:b/>
                <w:color w:val="auto"/>
                <w:szCs w:val="21"/>
                <w:highlight w:val="none"/>
              </w:rPr>
              <w:t>与汉中市</w:t>
            </w:r>
            <w:r>
              <w:rPr>
                <w:b/>
                <w:color w:val="auto"/>
                <w:szCs w:val="21"/>
                <w:highlight w:val="none"/>
              </w:rPr>
              <w:t>“</w:t>
            </w:r>
            <w:r>
              <w:rPr>
                <w:rFonts w:hint="eastAsia"/>
                <w:b/>
                <w:color w:val="auto"/>
                <w:szCs w:val="21"/>
                <w:highlight w:val="none"/>
              </w:rPr>
              <w:t>三线一单</w:t>
            </w:r>
            <w:r>
              <w:rPr>
                <w:b/>
                <w:color w:val="auto"/>
                <w:szCs w:val="21"/>
                <w:highlight w:val="none"/>
              </w:rPr>
              <w:t>”</w:t>
            </w:r>
            <w:r>
              <w:rPr>
                <w:rFonts w:hint="eastAsia"/>
                <w:b/>
                <w:color w:val="auto"/>
                <w:szCs w:val="21"/>
                <w:highlight w:val="none"/>
              </w:rPr>
              <w:t>生态环境分区管控方案相符性分析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760"/>
              <w:gridCol w:w="854"/>
              <w:gridCol w:w="659"/>
              <w:gridCol w:w="1237"/>
              <w:gridCol w:w="703"/>
              <w:gridCol w:w="3772"/>
              <w:gridCol w:w="1374"/>
              <w:gridCol w:w="2314"/>
              <w:gridCol w:w="539"/>
            </w:tblGrid>
            <w:tr w14:paraId="137E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06" w:type="pct"/>
                  <w:noWrap w:val="0"/>
                  <w:vAlign w:val="center"/>
                </w:tcPr>
                <w:p w14:paraId="41A74D10">
                  <w:pPr>
                    <w:jc w:val="center"/>
                    <w:rPr>
                      <w:rFonts w:ascii="Times New Roman" w:hAnsi="Times New Roman" w:cs="Times New Roman"/>
                      <w:color w:val="auto"/>
                      <w:highlight w:val="none"/>
                    </w:rPr>
                  </w:pPr>
                  <w:r>
                    <w:rPr>
                      <w:rFonts w:ascii="Times New Roman" w:hAnsi="Times New Roman" w:cs="Times New Roman"/>
                      <w:color w:val="auto"/>
                      <w:highlight w:val="none"/>
                    </w:rPr>
                    <w:t>序号</w:t>
                  </w:r>
                </w:p>
                <w:p w14:paraId="1BA72B37">
                  <w:pPr>
                    <w:adjustRightInd w:val="0"/>
                    <w:snapToGrid w:val="0"/>
                    <w:jc w:val="center"/>
                    <w:rPr>
                      <w:rFonts w:hint="eastAsia" w:ascii="Times New Roman" w:hAnsi="Times New Roman" w:cs="Times New Roman"/>
                      <w:color w:val="auto"/>
                      <w:szCs w:val="21"/>
                      <w:highlight w:val="none"/>
                    </w:rPr>
                  </w:pPr>
                </w:p>
              </w:tc>
              <w:tc>
                <w:tcPr>
                  <w:tcW w:w="292" w:type="pct"/>
                  <w:noWrap w:val="0"/>
                  <w:vAlign w:val="center"/>
                </w:tcPr>
                <w:p w14:paraId="11C8025C">
                  <w:pPr>
                    <w:jc w:val="center"/>
                    <w:rPr>
                      <w:rFonts w:ascii="Times New Roman" w:hAnsi="Times New Roman" w:cs="Times New Roman"/>
                      <w:color w:val="auto"/>
                      <w:highlight w:val="none"/>
                    </w:rPr>
                  </w:pPr>
                  <w:r>
                    <w:rPr>
                      <w:rFonts w:ascii="Times New Roman" w:hAnsi="Times New Roman" w:cs="Times New Roman"/>
                      <w:color w:val="auto"/>
                      <w:highlight w:val="none"/>
                    </w:rPr>
                    <w:t>环境管控单元名称</w:t>
                  </w:r>
                </w:p>
              </w:tc>
              <w:tc>
                <w:tcPr>
                  <w:tcW w:w="328" w:type="pct"/>
                  <w:noWrap w:val="0"/>
                  <w:vAlign w:val="center"/>
                </w:tcPr>
                <w:p w14:paraId="179750BE">
                  <w:pPr>
                    <w:jc w:val="center"/>
                    <w:rPr>
                      <w:rFonts w:ascii="Times New Roman" w:hAnsi="Times New Roman" w:cs="Times New Roman"/>
                      <w:color w:val="auto"/>
                      <w:highlight w:val="none"/>
                    </w:rPr>
                  </w:pPr>
                  <w:r>
                    <w:rPr>
                      <w:rFonts w:ascii="Times New Roman" w:hAnsi="Times New Roman" w:cs="Times New Roman"/>
                      <w:color w:val="auto"/>
                      <w:highlight w:val="none"/>
                    </w:rPr>
                    <w:t>市（区）</w:t>
                  </w:r>
                </w:p>
              </w:tc>
              <w:tc>
                <w:tcPr>
                  <w:tcW w:w="253" w:type="pct"/>
                  <w:noWrap w:val="0"/>
                  <w:vAlign w:val="center"/>
                </w:tcPr>
                <w:p w14:paraId="60A9FEA0">
                  <w:pPr>
                    <w:jc w:val="center"/>
                    <w:rPr>
                      <w:rFonts w:ascii="Times New Roman" w:hAnsi="Times New Roman" w:cs="Times New Roman"/>
                      <w:color w:val="auto"/>
                      <w:highlight w:val="none"/>
                    </w:rPr>
                  </w:pPr>
                  <w:r>
                    <w:rPr>
                      <w:rFonts w:ascii="Times New Roman" w:hAnsi="Times New Roman" w:cs="Times New Roman"/>
                      <w:color w:val="auto"/>
                      <w:highlight w:val="none"/>
                    </w:rPr>
                    <w:t>区县</w:t>
                  </w:r>
                </w:p>
              </w:tc>
              <w:tc>
                <w:tcPr>
                  <w:tcW w:w="475" w:type="pct"/>
                  <w:noWrap w:val="0"/>
                  <w:vAlign w:val="center"/>
                </w:tcPr>
                <w:p w14:paraId="7B6FAA7D">
                  <w:pPr>
                    <w:jc w:val="center"/>
                    <w:rPr>
                      <w:rFonts w:ascii="Times New Roman" w:hAnsi="Times New Roman" w:cs="Times New Roman"/>
                      <w:color w:val="auto"/>
                      <w:highlight w:val="none"/>
                    </w:rPr>
                  </w:pPr>
                  <w:r>
                    <w:rPr>
                      <w:rFonts w:ascii="Times New Roman" w:hAnsi="Times New Roman" w:cs="Times New Roman"/>
                      <w:color w:val="auto"/>
                      <w:highlight w:val="none"/>
                    </w:rPr>
                    <w:t>单元要素属性</w:t>
                  </w:r>
                </w:p>
              </w:tc>
              <w:tc>
                <w:tcPr>
                  <w:tcW w:w="270" w:type="pct"/>
                  <w:noWrap w:val="0"/>
                  <w:vAlign w:val="center"/>
                </w:tcPr>
                <w:p w14:paraId="723E7012">
                  <w:pPr>
                    <w:jc w:val="center"/>
                    <w:rPr>
                      <w:rFonts w:ascii="Times New Roman" w:hAnsi="Times New Roman" w:cs="Times New Roman"/>
                      <w:color w:val="auto"/>
                      <w:highlight w:val="none"/>
                    </w:rPr>
                  </w:pPr>
                  <w:r>
                    <w:rPr>
                      <w:rFonts w:ascii="Times New Roman" w:hAnsi="Times New Roman" w:cs="Times New Roman"/>
                      <w:color w:val="auto"/>
                      <w:highlight w:val="none"/>
                    </w:rPr>
                    <w:t>管控要求分类</w:t>
                  </w:r>
                </w:p>
              </w:tc>
              <w:tc>
                <w:tcPr>
                  <w:tcW w:w="1449" w:type="pct"/>
                  <w:noWrap w:val="0"/>
                  <w:vAlign w:val="center"/>
                </w:tcPr>
                <w:p w14:paraId="5D97A792">
                  <w:pPr>
                    <w:jc w:val="center"/>
                    <w:rPr>
                      <w:rFonts w:ascii="Times New Roman" w:hAnsi="Times New Roman" w:cs="Times New Roman"/>
                      <w:color w:val="auto"/>
                      <w:highlight w:val="none"/>
                    </w:rPr>
                  </w:pPr>
                  <w:r>
                    <w:rPr>
                      <w:rFonts w:ascii="Times New Roman" w:hAnsi="Times New Roman" w:cs="Times New Roman"/>
                      <w:color w:val="auto"/>
                      <w:highlight w:val="none"/>
                    </w:rPr>
                    <w:t>管控要求</w:t>
                  </w:r>
                </w:p>
              </w:tc>
              <w:tc>
                <w:tcPr>
                  <w:tcW w:w="528" w:type="pct"/>
                  <w:noWrap w:val="0"/>
                  <w:vAlign w:val="center"/>
                </w:tcPr>
                <w:p w14:paraId="54195DF8">
                  <w:pPr>
                    <w:jc w:val="center"/>
                    <w:rPr>
                      <w:rFonts w:ascii="Times New Roman" w:hAnsi="Times New Roman" w:cs="Times New Roman"/>
                      <w:color w:val="auto"/>
                      <w:highlight w:val="none"/>
                    </w:rPr>
                  </w:pPr>
                  <w:r>
                    <w:rPr>
                      <w:rFonts w:ascii="Times New Roman" w:hAnsi="Times New Roman" w:cs="Times New Roman"/>
                      <w:color w:val="auto"/>
                      <w:highlight w:val="none"/>
                    </w:rPr>
                    <w:t>面积/长度(平方米/米)</w:t>
                  </w:r>
                </w:p>
              </w:tc>
              <w:tc>
                <w:tcPr>
                  <w:tcW w:w="889" w:type="pct"/>
                  <w:noWrap w:val="0"/>
                  <w:vAlign w:val="center"/>
                </w:tcPr>
                <w:p w14:paraId="72E7D6ED">
                  <w:pPr>
                    <w:jc w:val="center"/>
                    <w:rPr>
                      <w:rFonts w:ascii="Times New Roman" w:hAnsi="Times New Roman" w:cs="Times New Roman"/>
                      <w:color w:val="auto"/>
                      <w:highlight w:val="none"/>
                    </w:rPr>
                  </w:pPr>
                  <w:r>
                    <w:rPr>
                      <w:rFonts w:ascii="Times New Roman" w:hAnsi="Times New Roman" w:cs="Times New Roman"/>
                      <w:color w:val="auto"/>
                      <w:highlight w:val="none"/>
                    </w:rPr>
                    <w:t>本项目情况</w:t>
                  </w:r>
                </w:p>
              </w:tc>
              <w:tc>
                <w:tcPr>
                  <w:tcW w:w="207" w:type="pct"/>
                  <w:noWrap w:val="0"/>
                  <w:vAlign w:val="center"/>
                </w:tcPr>
                <w:p w14:paraId="43D64FFA">
                  <w:pPr>
                    <w:jc w:val="center"/>
                    <w:rPr>
                      <w:rFonts w:ascii="Times New Roman" w:hAnsi="Times New Roman" w:cs="Times New Roman"/>
                      <w:color w:val="auto"/>
                      <w:highlight w:val="none"/>
                    </w:rPr>
                  </w:pPr>
                  <w:r>
                    <w:rPr>
                      <w:rFonts w:ascii="Times New Roman" w:hAnsi="Times New Roman" w:cs="Times New Roman"/>
                      <w:color w:val="auto"/>
                      <w:highlight w:val="none"/>
                    </w:rPr>
                    <w:t>符合性</w:t>
                  </w:r>
                </w:p>
              </w:tc>
            </w:tr>
            <w:tr w14:paraId="5C8A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06" w:type="pct"/>
                  <w:vMerge w:val="restart"/>
                  <w:noWrap w:val="0"/>
                  <w:vAlign w:val="center"/>
                </w:tcPr>
                <w:p w14:paraId="0C78CACD">
                  <w:pPr>
                    <w:adjustRightInd w:val="0"/>
                    <w:snapToGrid w:val="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292" w:type="pct"/>
                  <w:vMerge w:val="restart"/>
                  <w:noWrap w:val="0"/>
                  <w:vAlign w:val="center"/>
                </w:tcPr>
                <w:p w14:paraId="3ABB0548">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rPr>
                    <w:t>陕西省汉中市洋县重点管控单元2</w:t>
                  </w:r>
                </w:p>
              </w:tc>
              <w:tc>
                <w:tcPr>
                  <w:tcW w:w="328" w:type="pct"/>
                  <w:vMerge w:val="restart"/>
                  <w:noWrap w:val="0"/>
                  <w:vAlign w:val="center"/>
                </w:tcPr>
                <w:p w14:paraId="154F6F63">
                  <w:pPr>
                    <w:adjustRightInd w:val="0"/>
                    <w:snapToGrid w:val="0"/>
                    <w:rPr>
                      <w:rFonts w:ascii="Times New Roman" w:hAnsi="Times New Roman" w:cs="Times New Roman"/>
                      <w:color w:val="auto"/>
                      <w:szCs w:val="21"/>
                      <w:highlight w:val="none"/>
                    </w:rPr>
                  </w:pPr>
                  <w:r>
                    <w:rPr>
                      <w:rFonts w:ascii="Times New Roman" w:hAnsi="Times New Roman" w:cs="Times New Roman"/>
                      <w:color w:val="auto"/>
                      <w:szCs w:val="21"/>
                      <w:highlight w:val="none"/>
                    </w:rPr>
                    <w:t>汉中市</w:t>
                  </w:r>
                </w:p>
              </w:tc>
              <w:tc>
                <w:tcPr>
                  <w:tcW w:w="253" w:type="pct"/>
                  <w:vMerge w:val="restart"/>
                  <w:noWrap w:val="0"/>
                  <w:vAlign w:val="center"/>
                </w:tcPr>
                <w:p w14:paraId="5F67D6F9">
                  <w:pPr>
                    <w:adjustRightInd w:val="0"/>
                    <w:snapToGrid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洋县</w:t>
                  </w:r>
                </w:p>
              </w:tc>
              <w:tc>
                <w:tcPr>
                  <w:tcW w:w="475" w:type="pct"/>
                  <w:vMerge w:val="restart"/>
                  <w:noWrap w:val="0"/>
                  <w:vAlign w:val="center"/>
                </w:tcPr>
                <w:p w14:paraId="6DF1A037">
                  <w:pPr>
                    <w:jc w:val="center"/>
                    <w:rPr>
                      <w:rFonts w:ascii="Times New Roman" w:hAnsi="Times New Roman" w:cs="Times New Roman"/>
                      <w:color w:val="auto"/>
                      <w:highlight w:val="none"/>
                    </w:rPr>
                  </w:pPr>
                  <w:r>
                    <w:rPr>
                      <w:rFonts w:hint="eastAsia" w:ascii="Times New Roman" w:hAnsi="Times New Roman" w:cs="Times New Roman"/>
                      <w:color w:val="auto"/>
                      <w:highlight w:val="none"/>
                    </w:rPr>
                    <w:t>大气环境受体敏感重点管控区、水环境城镇生活污染重点管控区、高污染燃料禁燃区、农用地优先保护区、江河湖库岸线优先保护区</w:t>
                  </w:r>
                </w:p>
              </w:tc>
              <w:tc>
                <w:tcPr>
                  <w:tcW w:w="270" w:type="pct"/>
                  <w:noWrap w:val="0"/>
                  <w:vAlign w:val="center"/>
                </w:tcPr>
                <w:p w14:paraId="643A5F96">
                  <w:pPr>
                    <w:jc w:val="center"/>
                    <w:rPr>
                      <w:rFonts w:ascii="Times New Roman" w:hAnsi="Times New Roman" w:cs="Times New Roman"/>
                      <w:color w:val="auto"/>
                      <w:highlight w:val="none"/>
                    </w:rPr>
                  </w:pPr>
                  <w:r>
                    <w:rPr>
                      <w:rFonts w:ascii="Times New Roman" w:hAnsi="Times New Roman" w:cs="Times New Roman"/>
                      <w:color w:val="auto"/>
                      <w:highlight w:val="none"/>
                    </w:rPr>
                    <w:t>空间布局</w:t>
                  </w:r>
                </w:p>
                <w:p w14:paraId="07CC4508">
                  <w:pPr>
                    <w:jc w:val="center"/>
                    <w:rPr>
                      <w:rFonts w:ascii="Times New Roman" w:hAnsi="Times New Roman" w:cs="Times New Roman"/>
                      <w:color w:val="auto"/>
                      <w:highlight w:val="none"/>
                    </w:rPr>
                  </w:pPr>
                  <w:r>
                    <w:rPr>
                      <w:rFonts w:ascii="Times New Roman" w:hAnsi="Times New Roman" w:cs="Times New Roman"/>
                      <w:color w:val="auto"/>
                      <w:highlight w:val="none"/>
                    </w:rPr>
                    <w:t>约束</w:t>
                  </w:r>
                </w:p>
              </w:tc>
              <w:tc>
                <w:tcPr>
                  <w:tcW w:w="1449" w:type="pct"/>
                  <w:noWrap w:val="0"/>
                  <w:vAlign w:val="center"/>
                </w:tcPr>
                <w:p w14:paraId="490FCF50">
                  <w:pPr>
                    <w:numPr>
                      <w:ilvl w:val="0"/>
                      <w:numId w:val="6"/>
                    </w:numPr>
                    <w:adjustRightInd w:val="0"/>
                    <w:snapToGrid w:val="0"/>
                    <w:ind w:leftChars="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执行汉中市生态环境要素分区总体准入清单要求中“5.2大气环境受体敏感重点管控区”准入要求。</w:t>
                  </w:r>
                </w:p>
                <w:p w14:paraId="6E6B5DAF">
                  <w:pPr>
                    <w:pStyle w:val="43"/>
                    <w:numPr>
                      <w:ilvl w:val="0"/>
                      <w:numId w:val="0"/>
                    </w:numPr>
                    <w:rPr>
                      <w:rFonts w:hint="default" w:eastAsia="宋体"/>
                      <w:color w:val="auto"/>
                      <w:sz w:val="21"/>
                      <w:szCs w:val="21"/>
                      <w:highlight w:val="none"/>
                      <w:lang w:val="en-US" w:eastAsia="zh-CN"/>
                    </w:rPr>
                  </w:pPr>
                  <w:r>
                    <w:rPr>
                      <w:rFonts w:hint="eastAsia" w:ascii="Times New Roman" w:hAnsi="Times New Roman" w:cs="Times New Roman"/>
                      <w:color w:val="auto"/>
                      <w:sz w:val="21"/>
                      <w:szCs w:val="21"/>
                      <w:highlight w:val="none"/>
                    </w:rPr>
                    <w:t>5.2大气环境受体敏感重点管控区</w:t>
                  </w:r>
                </w:p>
                <w:p w14:paraId="0A6E5F66">
                  <w:pPr>
                    <w:pStyle w:val="43"/>
                    <w:numPr>
                      <w:ilvl w:val="0"/>
                      <w:numId w:val="0"/>
                    </w:numPr>
                    <w:rPr>
                      <w:rFonts w:hint="eastAsia"/>
                      <w:color w:val="auto"/>
                      <w:sz w:val="21"/>
                      <w:szCs w:val="21"/>
                      <w:highlight w:val="none"/>
                    </w:rPr>
                  </w:pPr>
                  <w:r>
                    <w:rPr>
                      <w:rFonts w:hint="eastAsia" w:ascii="宋体" w:hAnsi="宋体" w:eastAsia="宋体" w:cs="宋体"/>
                      <w:color w:val="auto"/>
                      <w:sz w:val="21"/>
                      <w:szCs w:val="21"/>
                      <w:highlight w:val="none"/>
                    </w:rPr>
                    <w:t>①</w:t>
                  </w:r>
                  <w:r>
                    <w:rPr>
                      <w:rFonts w:hint="eastAsia"/>
                      <w:color w:val="auto"/>
                      <w:sz w:val="21"/>
                      <w:szCs w:val="21"/>
                      <w:highlight w:val="none"/>
                    </w:rPr>
                    <w:t>严格控制新增《陕西省“两高”项目管理暂行目录》行业项目（民生等项目除外，后续对“两高”范围国家如有新规定的，从其规定）。</w:t>
                  </w:r>
                </w:p>
                <w:p w14:paraId="116C1269">
                  <w:pPr>
                    <w:pStyle w:val="43"/>
                    <w:numPr>
                      <w:ilvl w:val="0"/>
                      <w:numId w:val="0"/>
                    </w:numPr>
                    <w:rPr>
                      <w:rFonts w:hint="eastAsia"/>
                      <w:color w:val="auto"/>
                      <w:sz w:val="21"/>
                      <w:szCs w:val="21"/>
                      <w:highlight w:val="none"/>
                    </w:rPr>
                  </w:pPr>
                  <w:r>
                    <w:rPr>
                      <w:rFonts w:hint="eastAsia" w:ascii="宋体" w:hAnsi="宋体" w:eastAsia="宋体" w:cs="宋体"/>
                      <w:color w:val="auto"/>
                      <w:sz w:val="21"/>
                      <w:szCs w:val="21"/>
                      <w:highlight w:val="none"/>
                    </w:rPr>
                    <w:t>②</w:t>
                  </w:r>
                  <w:r>
                    <w:rPr>
                      <w:rFonts w:hint="eastAsia"/>
                      <w:color w:val="auto"/>
                      <w:sz w:val="21"/>
                      <w:szCs w:val="21"/>
                      <w:highlight w:val="none"/>
                    </w:rPr>
                    <w:t>推动重污染企业搬迁入园或依法关闭。</w:t>
                  </w:r>
                </w:p>
                <w:p w14:paraId="7D9CFBE4">
                  <w:pPr>
                    <w:numPr>
                      <w:ilvl w:val="0"/>
                      <w:numId w:val="6"/>
                    </w:numPr>
                    <w:adjustRightInd w:val="0"/>
                    <w:snapToGrid w:val="0"/>
                    <w:ind w:left="0" w:leftChars="0" w:firstLine="0" w:firstLineChars="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执行汉中市生态环境要素分区总体准入清单要求中“5.5水环境城镇生活污染重点管控区”准入要求。</w:t>
                  </w:r>
                </w:p>
                <w:p w14:paraId="4DE75568">
                  <w:pPr>
                    <w:pStyle w:val="43"/>
                    <w:widowControl w:val="0"/>
                    <w:numPr>
                      <w:ilvl w:val="0"/>
                      <w:numId w:val="0"/>
                    </w:numPr>
                    <w:autoSpaceDE w:val="0"/>
                    <w:autoSpaceDN w:val="0"/>
                    <w:adjustRightInd w:val="0"/>
                    <w:rPr>
                      <w:rFonts w:hint="eastAsia"/>
                      <w:color w:val="auto"/>
                      <w:sz w:val="21"/>
                      <w:szCs w:val="21"/>
                      <w:highlight w:val="none"/>
                    </w:rPr>
                  </w:pPr>
                  <w:r>
                    <w:rPr>
                      <w:rFonts w:hint="eastAsia" w:ascii="Times New Roman" w:hAnsi="Times New Roman" w:cs="Times New Roman"/>
                      <w:color w:val="auto"/>
                      <w:sz w:val="21"/>
                      <w:szCs w:val="21"/>
                      <w:highlight w:val="none"/>
                    </w:rPr>
                    <w:t>5</w:t>
                  </w:r>
                  <w:r>
                    <w:rPr>
                      <w:rFonts w:hint="eastAsia" w:ascii="Times New Roman" w:hAnsi="Times New Roman" w:cs="Times New Roman"/>
                      <w:color w:val="auto"/>
                      <w:sz w:val="21"/>
                      <w:szCs w:val="21"/>
                      <w:highlight w:val="none"/>
                      <w:lang w:val="en-US" w:eastAsia="zh-CN"/>
                    </w:rPr>
                    <w:t>.5</w:t>
                  </w:r>
                  <w:r>
                    <w:rPr>
                      <w:rFonts w:hint="eastAsia" w:ascii="Times New Roman" w:hAnsi="Times New Roman" w:cs="Times New Roman"/>
                      <w:color w:val="auto"/>
                      <w:sz w:val="21"/>
                      <w:szCs w:val="21"/>
                      <w:highlight w:val="none"/>
                    </w:rPr>
                    <w:t>水环境城镇生活污染重点管控区</w:t>
                  </w:r>
                </w:p>
                <w:p w14:paraId="09B41389">
                  <w:pPr>
                    <w:pStyle w:val="43"/>
                    <w:widowControl w:val="0"/>
                    <w:numPr>
                      <w:ilvl w:val="0"/>
                      <w:numId w:val="0"/>
                    </w:numPr>
                    <w:autoSpaceDE w:val="0"/>
                    <w:autoSpaceDN w:val="0"/>
                    <w:adjustRightInd w:val="0"/>
                    <w:rPr>
                      <w:rFonts w:hint="eastAsia"/>
                      <w:color w:val="auto"/>
                      <w:sz w:val="21"/>
                      <w:szCs w:val="21"/>
                      <w:highlight w:val="none"/>
                    </w:rPr>
                  </w:pPr>
                  <w:r>
                    <w:rPr>
                      <w:rFonts w:hint="eastAsia"/>
                      <w:color w:val="auto"/>
                      <w:sz w:val="21"/>
                      <w:szCs w:val="21"/>
                      <w:highlight w:val="none"/>
                    </w:rPr>
                    <w:t>加快建设城中村、老旧城区、建制镇、城乡结合部等生活污水收集管网，填补污水收集管网空白区。新建居住社区应同步规划、建设污水收集管网，推动支线管网和出户管的连接建设。</w:t>
                  </w:r>
                </w:p>
                <w:p w14:paraId="7009DD1D">
                  <w:pPr>
                    <w:numPr>
                      <w:ilvl w:val="0"/>
                      <w:numId w:val="6"/>
                    </w:numPr>
                    <w:adjustRightInd w:val="0"/>
                    <w:snapToGrid w:val="0"/>
                    <w:ind w:left="0" w:leftChars="0" w:firstLine="0" w:firstLineChars="0"/>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农用地优先保护区执行汉中市生态环境要素分区总体准入清单中“4.2农用地优先保护区”准入要求。</w:t>
                  </w:r>
                </w:p>
                <w:p w14:paraId="6E1A681A">
                  <w:pPr>
                    <w:numPr>
                      <w:ilvl w:val="0"/>
                      <w:numId w:val="0"/>
                    </w:numPr>
                    <w:adjustRightInd w:val="0"/>
                    <w:snapToGrid w:val="0"/>
                    <w:ind w:leftChars="0"/>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 w:val="21"/>
                      <w:szCs w:val="21"/>
                      <w:highlight w:val="none"/>
                    </w:rPr>
                    <w:t>4.江河湖库岸线优先保护区执行汉中市生态环境要素分区总体准入清单中“4.3江河湖库岸线优先保护区”准入要求。</w:t>
                  </w:r>
                </w:p>
              </w:tc>
              <w:tc>
                <w:tcPr>
                  <w:tcW w:w="528" w:type="pct"/>
                  <w:vMerge w:val="restart"/>
                  <w:noWrap w:val="0"/>
                  <w:vAlign w:val="center"/>
                </w:tcPr>
                <w:p w14:paraId="2C0FE5E0">
                  <w:pPr>
                    <w:adjustRightInd w:val="0"/>
                    <w:snapToGrid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eastAsia="zh-CN"/>
                    </w:rPr>
                    <w:t>厂区占地</w:t>
                  </w:r>
                  <w:r>
                    <w:rPr>
                      <w:rFonts w:hint="eastAsia" w:ascii="Times New Roman" w:hAnsi="Times New Roman" w:cs="Times New Roman"/>
                      <w:color w:val="auto"/>
                      <w:szCs w:val="21"/>
                      <w:highlight w:val="none"/>
                    </w:rPr>
                    <w:t>面积</w:t>
                  </w:r>
                  <w:r>
                    <w:rPr>
                      <w:rFonts w:hint="eastAsia" w:ascii="Times New Roman" w:hAnsi="Times New Roman" w:cs="Times New Roman"/>
                      <w:color w:val="auto"/>
                      <w:szCs w:val="21"/>
                      <w:highlight w:val="none"/>
                      <w:lang w:val="en-US" w:eastAsia="zh-CN"/>
                    </w:rPr>
                    <w:t>13494.07</w:t>
                  </w:r>
                  <w:r>
                    <w:rPr>
                      <w:rFonts w:hint="eastAsia" w:ascii="Times New Roman" w:hAnsi="Times New Roman" w:cs="Times New Roman"/>
                      <w:color w:val="auto"/>
                      <w:szCs w:val="21"/>
                      <w:highlight w:val="none"/>
                    </w:rPr>
                    <w:t>m</w:t>
                  </w:r>
                  <w:r>
                    <w:rPr>
                      <w:rFonts w:hint="eastAsia" w:ascii="Times New Roman" w:hAnsi="Times New Roman" w:cs="Times New Roman"/>
                      <w:color w:val="auto"/>
                      <w:szCs w:val="21"/>
                      <w:highlight w:val="none"/>
                      <w:vertAlign w:val="superscript"/>
                    </w:rPr>
                    <w:t>2</w:t>
                  </w:r>
                </w:p>
              </w:tc>
              <w:tc>
                <w:tcPr>
                  <w:tcW w:w="889" w:type="pct"/>
                  <w:noWrap w:val="0"/>
                  <w:vAlign w:val="center"/>
                </w:tcPr>
                <w:p w14:paraId="2A4194D6">
                  <w:pPr>
                    <w:pStyle w:val="44"/>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经对照《陕西省“两高”项目管理暂行目录（2022年版）》（陕发改环资</w:t>
                  </w:r>
                  <w:r>
                    <w:rPr>
                      <w:rFonts w:hint="eastAsia" w:ascii="Times New Roman" w:hAnsi="Times New Roman" w:eastAsia="宋体" w:cs="Times New Roman"/>
                      <w:color w:val="auto"/>
                      <w:sz w:val="21"/>
                      <w:szCs w:val="21"/>
                      <w:highlight w:val="none"/>
                      <w:lang w:val="en-US" w:eastAsia="zh-CN"/>
                    </w:rPr>
                    <w:t>〔2022〕110号</w:t>
                  </w:r>
                  <w:r>
                    <w:rPr>
                      <w:rFonts w:hint="default" w:ascii="Times New Roman" w:hAnsi="Times New Roman" w:eastAsia="宋体" w:cs="Times New Roman"/>
                      <w:color w:val="auto"/>
                      <w:sz w:val="21"/>
                      <w:szCs w:val="21"/>
                      <w:highlight w:val="none"/>
                      <w:lang w:val="en-US" w:eastAsia="zh-CN"/>
                    </w:rPr>
                    <w:t>）可知：本项目</w:t>
                  </w:r>
                  <w:r>
                    <w:rPr>
                      <w:rFonts w:hint="default" w:ascii="Times New Roman" w:hAnsi="Times New Roman" w:eastAsia="宋体" w:cs="Times New Roman"/>
                      <w:color w:val="auto"/>
                      <w:sz w:val="21"/>
                      <w:szCs w:val="21"/>
                      <w:highlight w:val="none"/>
                      <w:lang w:eastAsia="zh-CN"/>
                    </w:rPr>
                    <w:t>不属于“两高”行业。</w:t>
                  </w:r>
                </w:p>
                <w:p w14:paraId="01ECAB16">
                  <w:pPr>
                    <w:pStyle w:val="44"/>
                    <w:rPr>
                      <w:rFonts w:hint="eastAsia" w:ascii="Times New Roman" w:hAnsi="Times New Roman"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本项目不属于重污染项目。</w:t>
                  </w:r>
                </w:p>
                <w:p w14:paraId="74154145">
                  <w:pPr>
                    <w:pStyle w:val="44"/>
                    <w:rPr>
                      <w:rFonts w:hint="eastAsia" w:ascii="Times New Roman" w:hAnsi="Times New Roman" w:cs="Times New Roman"/>
                      <w:color w:val="auto"/>
                      <w:sz w:val="21"/>
                      <w:szCs w:val="21"/>
                      <w:highlight w:val="none"/>
                      <w:lang w:eastAsia="zh-CN" w:bidi="ar"/>
                    </w:rPr>
                  </w:pPr>
                  <w:r>
                    <w:rPr>
                      <w:rFonts w:hint="eastAsia" w:ascii="Times New Roman" w:hAnsi="Times New Roman" w:cs="Times New Roman"/>
                      <w:color w:val="auto"/>
                      <w:sz w:val="21"/>
                      <w:szCs w:val="21"/>
                      <w:highlight w:val="none"/>
                      <w:lang w:eastAsia="zh-CN" w:bidi="ar"/>
                    </w:rPr>
                    <w:t>本项目生活污水由化粪池处理后经园区管网排入洋县污水处理厂处理；项目生产废水经自建污水处理设施处理满足污水接管标准后经园区规划污水管网排入洋县污水处理厂处理。</w:t>
                  </w:r>
                </w:p>
                <w:p w14:paraId="350A16A6">
                  <w:pPr>
                    <w:pStyle w:val="44"/>
                    <w:rPr>
                      <w:rFonts w:hint="eastAsia" w:ascii="Times New Roman" w:hAnsi="Times New Roman" w:cs="Times New Roman"/>
                      <w:color w:val="auto"/>
                      <w:sz w:val="21"/>
                      <w:szCs w:val="21"/>
                      <w:highlight w:val="none"/>
                      <w:lang w:eastAsia="zh-CN" w:bidi="ar"/>
                    </w:rPr>
                  </w:pPr>
                  <w:r>
                    <w:rPr>
                      <w:rFonts w:hint="eastAsia" w:ascii="Times New Roman" w:hAnsi="Times New Roman" w:cs="Times New Roman"/>
                      <w:color w:val="auto"/>
                      <w:sz w:val="21"/>
                      <w:szCs w:val="21"/>
                      <w:highlight w:val="none"/>
                      <w:lang w:eastAsia="zh-CN" w:bidi="ar"/>
                    </w:rPr>
                    <w:t>本项目不涉及农用地，根据洋县自然资源局出具的项目建设用地规划许可证可知，项目用地为工业用地。</w:t>
                  </w:r>
                </w:p>
                <w:p w14:paraId="65461D6E">
                  <w:pPr>
                    <w:pStyle w:val="44"/>
                    <w:rPr>
                      <w:rFonts w:hint="eastAsia" w:eastAsia="宋体"/>
                      <w:color w:val="auto"/>
                      <w:highlight w:val="none"/>
                      <w:lang w:eastAsia="zh-CN"/>
                    </w:rPr>
                  </w:pPr>
                  <w:r>
                    <w:rPr>
                      <w:rFonts w:hint="eastAsia" w:ascii="Times New Roman" w:hAnsi="Times New Roman" w:cs="Times New Roman"/>
                      <w:color w:val="auto"/>
                      <w:sz w:val="21"/>
                      <w:szCs w:val="21"/>
                      <w:highlight w:val="none"/>
                      <w:lang w:eastAsia="zh-CN" w:bidi="ar"/>
                    </w:rPr>
                    <w:t>项目位于洋县有机产业园区内，与东侧最近地表水溪龙河最近距离约</w:t>
                  </w:r>
                  <w:r>
                    <w:rPr>
                      <w:rFonts w:hint="eastAsia" w:ascii="Times New Roman" w:hAnsi="Times New Roman" w:cs="Times New Roman"/>
                      <w:color w:val="auto"/>
                      <w:sz w:val="21"/>
                      <w:szCs w:val="21"/>
                      <w:highlight w:val="none"/>
                      <w:lang w:val="en-US" w:eastAsia="zh-CN" w:bidi="ar"/>
                    </w:rPr>
                    <w:t>40m，中间有公路相隔，不涉及河湖岸线保护区。</w:t>
                  </w:r>
                </w:p>
              </w:tc>
              <w:tc>
                <w:tcPr>
                  <w:tcW w:w="207" w:type="pct"/>
                  <w:noWrap w:val="0"/>
                  <w:vAlign w:val="center"/>
                </w:tcPr>
                <w:p w14:paraId="644F312F">
                  <w:pPr>
                    <w:rPr>
                      <w:rFonts w:ascii="Times New Roman" w:hAnsi="Times New Roman" w:cs="Times New Roman"/>
                      <w:color w:val="auto"/>
                      <w:highlight w:val="none"/>
                    </w:rPr>
                  </w:pPr>
                  <w:r>
                    <w:rPr>
                      <w:rFonts w:ascii="Times New Roman" w:hAnsi="Times New Roman" w:cs="Times New Roman"/>
                      <w:color w:val="auto"/>
                      <w:highlight w:val="none"/>
                    </w:rPr>
                    <w:t>符合</w:t>
                  </w:r>
                </w:p>
              </w:tc>
            </w:tr>
            <w:tr w14:paraId="1BA8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306" w:type="pct"/>
                  <w:vMerge w:val="continue"/>
                  <w:noWrap w:val="0"/>
                  <w:vAlign w:val="center"/>
                </w:tcPr>
                <w:p w14:paraId="1DBF01FA">
                  <w:pPr>
                    <w:adjustRightInd w:val="0"/>
                    <w:snapToGrid w:val="0"/>
                    <w:ind w:firstLine="482"/>
                    <w:jc w:val="center"/>
                    <w:rPr>
                      <w:rFonts w:ascii="Times New Roman" w:hAnsi="Times New Roman" w:cs="Times New Roman"/>
                      <w:color w:val="auto"/>
                      <w:szCs w:val="21"/>
                      <w:highlight w:val="none"/>
                    </w:rPr>
                  </w:pPr>
                </w:p>
              </w:tc>
              <w:tc>
                <w:tcPr>
                  <w:tcW w:w="292" w:type="pct"/>
                  <w:vMerge w:val="continue"/>
                  <w:noWrap w:val="0"/>
                  <w:vAlign w:val="center"/>
                </w:tcPr>
                <w:p w14:paraId="53953C63">
                  <w:pPr>
                    <w:adjustRightInd w:val="0"/>
                    <w:snapToGrid w:val="0"/>
                    <w:ind w:firstLine="482"/>
                    <w:jc w:val="center"/>
                    <w:rPr>
                      <w:rFonts w:ascii="Times New Roman" w:hAnsi="Times New Roman" w:cs="Times New Roman"/>
                      <w:color w:val="auto"/>
                      <w:szCs w:val="21"/>
                      <w:highlight w:val="none"/>
                    </w:rPr>
                  </w:pPr>
                </w:p>
              </w:tc>
              <w:tc>
                <w:tcPr>
                  <w:tcW w:w="328" w:type="pct"/>
                  <w:vMerge w:val="continue"/>
                  <w:noWrap w:val="0"/>
                  <w:vAlign w:val="center"/>
                </w:tcPr>
                <w:p w14:paraId="6E9B5F5D">
                  <w:pPr>
                    <w:adjustRightInd w:val="0"/>
                    <w:snapToGrid w:val="0"/>
                    <w:ind w:firstLine="482"/>
                    <w:jc w:val="center"/>
                    <w:rPr>
                      <w:rFonts w:ascii="Times New Roman" w:hAnsi="Times New Roman" w:cs="Times New Roman"/>
                      <w:color w:val="auto"/>
                      <w:szCs w:val="21"/>
                      <w:highlight w:val="none"/>
                    </w:rPr>
                  </w:pPr>
                </w:p>
              </w:tc>
              <w:tc>
                <w:tcPr>
                  <w:tcW w:w="253" w:type="pct"/>
                  <w:vMerge w:val="continue"/>
                  <w:noWrap w:val="0"/>
                  <w:vAlign w:val="center"/>
                </w:tcPr>
                <w:p w14:paraId="130EEFDC">
                  <w:pPr>
                    <w:adjustRightInd w:val="0"/>
                    <w:snapToGrid w:val="0"/>
                    <w:ind w:firstLine="482"/>
                    <w:jc w:val="center"/>
                    <w:rPr>
                      <w:rFonts w:ascii="Times New Roman" w:hAnsi="Times New Roman" w:cs="Times New Roman"/>
                      <w:color w:val="auto"/>
                      <w:szCs w:val="21"/>
                      <w:highlight w:val="none"/>
                    </w:rPr>
                  </w:pPr>
                </w:p>
              </w:tc>
              <w:tc>
                <w:tcPr>
                  <w:tcW w:w="475" w:type="pct"/>
                  <w:vMerge w:val="continue"/>
                  <w:noWrap w:val="0"/>
                  <w:vAlign w:val="center"/>
                </w:tcPr>
                <w:p w14:paraId="7FAB8663">
                  <w:pPr>
                    <w:jc w:val="center"/>
                    <w:rPr>
                      <w:rFonts w:ascii="Times New Roman" w:hAnsi="Times New Roman" w:cs="Times New Roman"/>
                      <w:color w:val="auto"/>
                      <w:highlight w:val="none"/>
                    </w:rPr>
                  </w:pPr>
                </w:p>
              </w:tc>
              <w:tc>
                <w:tcPr>
                  <w:tcW w:w="270" w:type="pct"/>
                  <w:noWrap w:val="0"/>
                  <w:vAlign w:val="center"/>
                </w:tcPr>
                <w:p w14:paraId="1E4CDCF2">
                  <w:pPr>
                    <w:jc w:val="center"/>
                    <w:rPr>
                      <w:rFonts w:ascii="Times New Roman" w:hAnsi="Times New Roman" w:cs="Times New Roman"/>
                      <w:color w:val="auto"/>
                      <w:highlight w:val="none"/>
                    </w:rPr>
                  </w:pPr>
                  <w:r>
                    <w:rPr>
                      <w:rFonts w:ascii="Times New Roman" w:hAnsi="Times New Roman" w:cs="Times New Roman"/>
                      <w:color w:val="auto"/>
                      <w:highlight w:val="none"/>
                    </w:rPr>
                    <w:t>污染物排</w:t>
                  </w:r>
                </w:p>
                <w:p w14:paraId="7BAAF014">
                  <w:pPr>
                    <w:jc w:val="center"/>
                    <w:rPr>
                      <w:rFonts w:ascii="Times New Roman" w:hAnsi="Times New Roman" w:cs="Times New Roman"/>
                      <w:color w:val="auto"/>
                      <w:highlight w:val="none"/>
                    </w:rPr>
                  </w:pPr>
                  <w:r>
                    <w:rPr>
                      <w:rFonts w:ascii="Times New Roman" w:hAnsi="Times New Roman" w:cs="Times New Roman"/>
                      <w:color w:val="auto"/>
                      <w:highlight w:val="none"/>
                    </w:rPr>
                    <w:t>放管</w:t>
                  </w:r>
                </w:p>
                <w:p w14:paraId="3886B797">
                  <w:pPr>
                    <w:jc w:val="center"/>
                    <w:rPr>
                      <w:rFonts w:ascii="Times New Roman" w:hAnsi="Times New Roman" w:cs="Times New Roman"/>
                      <w:color w:val="auto"/>
                      <w:highlight w:val="none"/>
                    </w:rPr>
                  </w:pPr>
                  <w:r>
                    <w:rPr>
                      <w:rFonts w:ascii="Times New Roman" w:hAnsi="Times New Roman" w:cs="Times New Roman"/>
                      <w:color w:val="auto"/>
                      <w:highlight w:val="none"/>
                    </w:rPr>
                    <w:t>控</w:t>
                  </w:r>
                </w:p>
              </w:tc>
              <w:tc>
                <w:tcPr>
                  <w:tcW w:w="1449" w:type="pct"/>
                  <w:noWrap w:val="0"/>
                  <w:vAlign w:val="center"/>
                </w:tcPr>
                <w:p w14:paraId="76772087">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执行汉中市生态环境要素分区总体准入清单要求中“5.2大气环境受体敏感重点管控区”准入要求。</w:t>
                  </w:r>
                </w:p>
                <w:p w14:paraId="319181F3">
                  <w:pPr>
                    <w:pStyle w:val="43"/>
                    <w:numPr>
                      <w:ilvl w:val="0"/>
                      <w:numId w:val="0"/>
                    </w:num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5.2大气环境受体敏感重点管控区</w:t>
                  </w:r>
                </w:p>
                <w:p w14:paraId="0076F6FC">
                  <w:pPr>
                    <w:pStyle w:val="4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①城市建成区产生油烟的餐饮服务单位全部安装油烟净化装置并保持正常运行和定期维护。</w:t>
                  </w:r>
                </w:p>
                <w:p w14:paraId="3321CA50">
                  <w:pPr>
                    <w:pStyle w:val="43"/>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②持续因地制宜实施“煤改气”、“油改气”、电能、地热、生物质等清洁能源取暖措施。</w:t>
                  </w:r>
                </w:p>
                <w:p w14:paraId="657A07E7">
                  <w:pPr>
                    <w:pStyle w:val="43"/>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③鼓励将老旧车辆和非道路移动机械替换为清洁能源车辆。推进新能源或清洁能源汽车使用。</w:t>
                  </w:r>
                </w:p>
                <w:p w14:paraId="768CD853">
                  <w:pPr>
                    <w:numPr>
                      <w:ilvl w:val="0"/>
                      <w:numId w:val="7"/>
                    </w:num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执行汉中市生态环境要素分区总体准入清单要求中“5.5水环境城镇生活污染重点管控区”准入要求。</w:t>
                  </w:r>
                </w:p>
                <w:p w14:paraId="6C45B3BB">
                  <w:pPr>
                    <w:pStyle w:val="43"/>
                    <w:widowControl w:val="0"/>
                    <w:numPr>
                      <w:ilvl w:val="0"/>
                      <w:numId w:val="0"/>
                    </w:numPr>
                    <w:autoSpaceDE w:val="0"/>
                    <w:autoSpaceDN w:val="0"/>
                    <w:adjustRightInd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5.5水环境城镇生活污染重点管控区</w:t>
                  </w:r>
                </w:p>
                <w:p w14:paraId="41F6E79E">
                  <w:pPr>
                    <w:pStyle w:val="43"/>
                    <w:widowControl w:val="0"/>
                    <w:numPr>
                      <w:ilvl w:val="0"/>
                      <w:numId w:val="0"/>
                    </w:numPr>
                    <w:autoSpaceDE w:val="0"/>
                    <w:autoSpaceDN w:val="0"/>
                    <w:adjustRightInd w:val="0"/>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w:t>
                  </w:r>
                  <w:r>
                    <w:rPr>
                      <w:rFonts w:hint="default" w:ascii="Times New Roman" w:hAnsi="Times New Roman" w:cs="Times New Roman"/>
                      <w:color w:val="auto"/>
                      <w:sz w:val="21"/>
                      <w:szCs w:val="21"/>
                      <w:highlight w:val="none"/>
                      <w:lang w:eastAsia="zh-CN"/>
                    </w:rPr>
                    <w:t>加强城镇污水收集处理设施建设与提标改造。</w:t>
                  </w:r>
                </w:p>
                <w:p w14:paraId="6E4AEC14">
                  <w:pPr>
                    <w:pStyle w:val="43"/>
                    <w:widowControl w:val="0"/>
                    <w:numPr>
                      <w:ilvl w:val="0"/>
                      <w:numId w:val="0"/>
                    </w:numPr>
                    <w:autoSpaceDE w:val="0"/>
                    <w:autoSpaceDN w:val="0"/>
                    <w:adjustRightInd w:val="0"/>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②</w:t>
                  </w:r>
                  <w:r>
                    <w:rPr>
                      <w:rFonts w:hint="default" w:ascii="Times New Roman" w:hAnsi="Times New Roman" w:cs="Times New Roman"/>
                      <w:color w:val="auto"/>
                      <w:sz w:val="21"/>
                      <w:szCs w:val="21"/>
                      <w:highlight w:val="none"/>
                      <w:lang w:eastAsia="zh-CN"/>
                    </w:rPr>
                    <w:t>城镇新区管网建设及老旧城区管网升级改造中实行雨污分流，鼓励推进初期雨水收集、处理和资源化利用，建设人工湿地水质净化工程，对处理达标后的尾水进一步净化。</w:t>
                  </w:r>
                </w:p>
                <w:p w14:paraId="4B5A2A91">
                  <w:pPr>
                    <w:pStyle w:val="43"/>
                    <w:widowControl w:val="0"/>
                    <w:numPr>
                      <w:ilvl w:val="0"/>
                      <w:numId w:val="0"/>
                    </w:numPr>
                    <w:autoSpaceDE w:val="0"/>
                    <w:autoSpaceDN w:val="0"/>
                    <w:adjustRightInd w:val="0"/>
                    <w:rPr>
                      <w:rFonts w:hint="eastAsia"/>
                      <w:color w:val="auto"/>
                      <w:highlight w:val="none"/>
                      <w:lang w:eastAsia="zh-CN"/>
                    </w:rPr>
                  </w:pPr>
                  <w:r>
                    <w:rPr>
                      <w:rFonts w:hint="default" w:ascii="Times New Roman" w:hAnsi="Times New Roman" w:eastAsia="宋体" w:cs="Times New Roman"/>
                      <w:color w:val="auto"/>
                      <w:sz w:val="21"/>
                      <w:szCs w:val="21"/>
                      <w:highlight w:val="none"/>
                      <w:lang w:eastAsia="zh-CN"/>
                    </w:rPr>
                    <w:t>③</w:t>
                  </w:r>
                  <w:r>
                    <w:rPr>
                      <w:rFonts w:hint="default" w:ascii="Times New Roman" w:hAnsi="Times New Roman" w:cs="Times New Roman"/>
                      <w:color w:val="auto"/>
                      <w:sz w:val="21"/>
                      <w:szCs w:val="21"/>
                      <w:highlight w:val="none"/>
                      <w:lang w:eastAsia="zh-CN"/>
                    </w:rPr>
                    <w:t>污水处理厂出水用于绿化、农灌等用途的，合理确定管控要求，确保达到相应污水再生利用标准</w:t>
                  </w:r>
                  <w:r>
                    <w:rPr>
                      <w:rFonts w:hint="eastAsia"/>
                      <w:color w:val="auto"/>
                      <w:highlight w:val="none"/>
                      <w:lang w:eastAsia="zh-CN"/>
                    </w:rPr>
                    <w:t>。</w:t>
                  </w:r>
                </w:p>
              </w:tc>
              <w:tc>
                <w:tcPr>
                  <w:tcW w:w="528" w:type="pct"/>
                  <w:vMerge w:val="continue"/>
                  <w:noWrap w:val="0"/>
                  <w:vAlign w:val="center"/>
                </w:tcPr>
                <w:p w14:paraId="17ECB289">
                  <w:pPr>
                    <w:adjustRightInd w:val="0"/>
                    <w:snapToGrid w:val="0"/>
                    <w:ind w:firstLine="482"/>
                    <w:rPr>
                      <w:rFonts w:ascii="Times New Roman" w:hAnsi="Times New Roman" w:cs="Times New Roman"/>
                      <w:color w:val="auto"/>
                      <w:szCs w:val="21"/>
                      <w:highlight w:val="none"/>
                    </w:rPr>
                  </w:pPr>
                </w:p>
              </w:tc>
              <w:tc>
                <w:tcPr>
                  <w:tcW w:w="889" w:type="pct"/>
                  <w:noWrap w:val="0"/>
                  <w:vAlign w:val="center"/>
                </w:tcPr>
                <w:p w14:paraId="187E7C9A">
                  <w:pPr>
                    <w:adjustRightInd w:val="0"/>
                    <w:snapToGrid w:val="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Cs w:val="21"/>
                      <w:highlight w:val="none"/>
                    </w:rPr>
                    <w:t>本项目</w:t>
                  </w:r>
                  <w:r>
                    <w:rPr>
                      <w:rFonts w:hint="eastAsia" w:ascii="Times New Roman" w:hAnsi="Times New Roman" w:cs="Times New Roman"/>
                      <w:color w:val="auto"/>
                      <w:szCs w:val="21"/>
                      <w:highlight w:val="none"/>
                      <w:lang w:eastAsia="zh-CN" w:bidi="ar"/>
                    </w:rPr>
                    <w:t>运营期员工食堂油烟经油烟净化器处理后达标排放</w:t>
                  </w:r>
                  <w:r>
                    <w:rPr>
                      <w:rFonts w:hint="default" w:ascii="Times New Roman" w:hAnsi="Times New Roman" w:eastAsia="宋体" w:cs="Times New Roman"/>
                      <w:color w:val="auto"/>
                      <w:sz w:val="21"/>
                      <w:szCs w:val="21"/>
                      <w:highlight w:val="none"/>
                    </w:rPr>
                    <w:t>并保持正常运行和定期维护</w:t>
                  </w:r>
                  <w:r>
                    <w:rPr>
                      <w:rFonts w:hint="eastAsia" w:ascii="Times New Roman" w:hAnsi="Times New Roman" w:eastAsia="宋体" w:cs="Times New Roman"/>
                      <w:color w:val="auto"/>
                      <w:sz w:val="21"/>
                      <w:szCs w:val="21"/>
                      <w:highlight w:val="none"/>
                      <w:lang w:eastAsia="zh-CN"/>
                    </w:rPr>
                    <w:t>；项目运营期使用电能等清洁能源及符合国家标准的车辆。</w:t>
                  </w:r>
                </w:p>
                <w:p w14:paraId="275A11B3">
                  <w:pPr>
                    <w:pStyle w:val="44"/>
                    <w:rPr>
                      <w:rFonts w:hint="eastAsia"/>
                      <w:color w:val="auto"/>
                      <w:highlight w:val="none"/>
                      <w:lang w:eastAsia="zh-CN"/>
                    </w:rPr>
                  </w:pPr>
                  <w:r>
                    <w:rPr>
                      <w:rFonts w:hint="eastAsia" w:ascii="Times New Roman" w:hAnsi="Times New Roman" w:cs="Times New Roman"/>
                      <w:color w:val="auto"/>
                      <w:sz w:val="21"/>
                      <w:szCs w:val="21"/>
                      <w:highlight w:val="none"/>
                      <w:lang w:eastAsia="zh-CN" w:bidi="ar"/>
                    </w:rPr>
                    <w:t>本项目生活污水经化粪池处理后经园区管网排入洋县污水处理厂处理；项目生产废水经自建预处理设施处理满足污水接管标准后经园区规划污水管网排入洋县污水处理厂处理。</w:t>
                  </w:r>
                </w:p>
              </w:tc>
              <w:tc>
                <w:tcPr>
                  <w:tcW w:w="207" w:type="pct"/>
                  <w:noWrap w:val="0"/>
                  <w:vAlign w:val="center"/>
                </w:tcPr>
                <w:p w14:paraId="60183DFB">
                  <w:pPr>
                    <w:rPr>
                      <w:rFonts w:hint="eastAsia" w:ascii="Times New Roman" w:hAnsi="Times New Roman" w:cs="Times New Roman"/>
                      <w:color w:val="auto"/>
                      <w:highlight w:val="none"/>
                    </w:rPr>
                  </w:pPr>
                  <w:r>
                    <w:rPr>
                      <w:rFonts w:hint="eastAsia" w:ascii="Times New Roman" w:hAnsi="Times New Roman" w:cs="Times New Roman"/>
                      <w:color w:val="auto"/>
                      <w:highlight w:val="none"/>
                    </w:rPr>
                    <w:t>符合</w:t>
                  </w:r>
                </w:p>
              </w:tc>
            </w:tr>
            <w:tr w14:paraId="6CA6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306" w:type="pct"/>
                  <w:vMerge w:val="continue"/>
                  <w:noWrap w:val="0"/>
                  <w:vAlign w:val="center"/>
                </w:tcPr>
                <w:p w14:paraId="6404F6AC">
                  <w:pPr>
                    <w:adjustRightInd w:val="0"/>
                    <w:snapToGrid w:val="0"/>
                    <w:ind w:firstLine="482"/>
                    <w:jc w:val="center"/>
                    <w:rPr>
                      <w:rFonts w:ascii="Times New Roman" w:hAnsi="Times New Roman" w:cs="Times New Roman"/>
                      <w:color w:val="auto"/>
                      <w:szCs w:val="21"/>
                      <w:highlight w:val="none"/>
                    </w:rPr>
                  </w:pPr>
                </w:p>
              </w:tc>
              <w:tc>
                <w:tcPr>
                  <w:tcW w:w="292" w:type="pct"/>
                  <w:vMerge w:val="continue"/>
                  <w:noWrap w:val="0"/>
                  <w:vAlign w:val="center"/>
                </w:tcPr>
                <w:p w14:paraId="7B2E84DF">
                  <w:pPr>
                    <w:adjustRightInd w:val="0"/>
                    <w:snapToGrid w:val="0"/>
                    <w:ind w:firstLine="482"/>
                    <w:jc w:val="center"/>
                    <w:rPr>
                      <w:rFonts w:ascii="Times New Roman" w:hAnsi="Times New Roman" w:cs="Times New Roman"/>
                      <w:color w:val="auto"/>
                      <w:szCs w:val="21"/>
                      <w:highlight w:val="none"/>
                    </w:rPr>
                  </w:pPr>
                </w:p>
              </w:tc>
              <w:tc>
                <w:tcPr>
                  <w:tcW w:w="328" w:type="pct"/>
                  <w:vMerge w:val="continue"/>
                  <w:noWrap w:val="0"/>
                  <w:vAlign w:val="center"/>
                </w:tcPr>
                <w:p w14:paraId="45612D00">
                  <w:pPr>
                    <w:adjustRightInd w:val="0"/>
                    <w:snapToGrid w:val="0"/>
                    <w:ind w:firstLine="482"/>
                    <w:jc w:val="center"/>
                    <w:rPr>
                      <w:rFonts w:ascii="Times New Roman" w:hAnsi="Times New Roman" w:cs="Times New Roman"/>
                      <w:color w:val="auto"/>
                      <w:szCs w:val="21"/>
                      <w:highlight w:val="none"/>
                    </w:rPr>
                  </w:pPr>
                </w:p>
              </w:tc>
              <w:tc>
                <w:tcPr>
                  <w:tcW w:w="253" w:type="pct"/>
                  <w:vMerge w:val="continue"/>
                  <w:noWrap w:val="0"/>
                  <w:vAlign w:val="center"/>
                </w:tcPr>
                <w:p w14:paraId="252AD54C">
                  <w:pPr>
                    <w:adjustRightInd w:val="0"/>
                    <w:snapToGrid w:val="0"/>
                    <w:ind w:firstLine="482"/>
                    <w:jc w:val="center"/>
                    <w:rPr>
                      <w:rFonts w:ascii="Times New Roman" w:hAnsi="Times New Roman" w:cs="Times New Roman"/>
                      <w:color w:val="auto"/>
                      <w:szCs w:val="21"/>
                      <w:highlight w:val="none"/>
                    </w:rPr>
                  </w:pPr>
                </w:p>
              </w:tc>
              <w:tc>
                <w:tcPr>
                  <w:tcW w:w="475" w:type="pct"/>
                  <w:vMerge w:val="continue"/>
                  <w:noWrap w:val="0"/>
                  <w:vAlign w:val="center"/>
                </w:tcPr>
                <w:p w14:paraId="56829216">
                  <w:pPr>
                    <w:jc w:val="center"/>
                    <w:rPr>
                      <w:rFonts w:ascii="Times New Roman" w:hAnsi="Times New Roman" w:cs="Times New Roman"/>
                      <w:color w:val="auto"/>
                      <w:highlight w:val="none"/>
                    </w:rPr>
                  </w:pPr>
                </w:p>
              </w:tc>
              <w:tc>
                <w:tcPr>
                  <w:tcW w:w="270" w:type="pct"/>
                  <w:noWrap w:val="0"/>
                  <w:vAlign w:val="center"/>
                </w:tcPr>
                <w:p w14:paraId="5C5BA8CB">
                  <w:pPr>
                    <w:jc w:val="center"/>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资源利用效率要求</w:t>
                  </w:r>
                </w:p>
              </w:tc>
              <w:tc>
                <w:tcPr>
                  <w:tcW w:w="1449" w:type="pct"/>
                  <w:noWrap w:val="0"/>
                  <w:vAlign w:val="center"/>
                </w:tcPr>
                <w:p w14:paraId="63F29D80">
                  <w:pPr>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1.执行汉中市生态环境要素分区总体准入清单要求中“5.10高污染燃料禁燃区”准入要求。</w:t>
                  </w:r>
                </w:p>
              </w:tc>
              <w:tc>
                <w:tcPr>
                  <w:tcW w:w="528" w:type="pct"/>
                  <w:vMerge w:val="continue"/>
                  <w:noWrap w:val="0"/>
                  <w:vAlign w:val="center"/>
                </w:tcPr>
                <w:p w14:paraId="53DD88F9">
                  <w:pPr>
                    <w:adjustRightInd w:val="0"/>
                    <w:snapToGrid w:val="0"/>
                    <w:ind w:firstLine="482"/>
                    <w:rPr>
                      <w:rFonts w:ascii="Times New Roman" w:hAnsi="Times New Roman" w:cs="Times New Roman"/>
                      <w:color w:val="auto"/>
                      <w:szCs w:val="21"/>
                      <w:highlight w:val="none"/>
                    </w:rPr>
                  </w:pPr>
                </w:p>
              </w:tc>
              <w:tc>
                <w:tcPr>
                  <w:tcW w:w="889" w:type="pct"/>
                  <w:noWrap w:val="0"/>
                  <w:vAlign w:val="center"/>
                </w:tcPr>
                <w:p w14:paraId="74BF247C">
                  <w:pPr>
                    <w:adjustRightInd w:val="0"/>
                    <w:snapToGrid w:val="0"/>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项目施工期机械设备使用柴油与汽油，运营期使用能源为电能，项目不涉及高污染燃料</w:t>
                  </w:r>
                </w:p>
              </w:tc>
              <w:tc>
                <w:tcPr>
                  <w:tcW w:w="207" w:type="pct"/>
                  <w:noWrap w:val="0"/>
                  <w:vAlign w:val="center"/>
                </w:tcPr>
                <w:p w14:paraId="3F93B3A7">
                  <w:pP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符合</w:t>
                  </w:r>
                </w:p>
              </w:tc>
            </w:tr>
          </w:tbl>
          <w:p w14:paraId="2C00EB36">
            <w:pPr>
              <w:spacing w:line="360" w:lineRule="auto"/>
              <w:ind w:firstLine="480" w:firstLineChars="200"/>
              <w:jc w:val="left"/>
              <w:rPr>
                <w:color w:val="auto"/>
                <w:sz w:val="24"/>
                <w:highlight w:val="none"/>
              </w:rPr>
            </w:pPr>
            <w:r>
              <w:rPr>
                <w:rFonts w:ascii="Times New Roman" w:hAnsi="Times New Roman" w:cs="Times New Roman"/>
                <w:color w:val="auto"/>
                <w:sz w:val="24"/>
                <w:highlight w:val="none"/>
                <w:lang w:bidi="ar"/>
              </w:rPr>
              <w:t>（</w:t>
            </w:r>
            <w:r>
              <w:rPr>
                <w:rFonts w:hint="eastAsia" w:ascii="Times New Roman" w:hAnsi="Times New Roman" w:cs="Times New Roman"/>
                <w:color w:val="auto"/>
                <w:sz w:val="24"/>
                <w:highlight w:val="none"/>
                <w:lang w:bidi="ar"/>
              </w:rPr>
              <w:t>3</w:t>
            </w:r>
            <w:r>
              <w:rPr>
                <w:rFonts w:ascii="Times New Roman" w:hAnsi="Times New Roman" w:cs="Times New Roman"/>
                <w:color w:val="auto"/>
                <w:sz w:val="24"/>
                <w:highlight w:val="none"/>
                <w:lang w:bidi="ar"/>
              </w:rPr>
              <w:t>）</w:t>
            </w:r>
            <w:r>
              <w:rPr>
                <w:rFonts w:hint="eastAsia"/>
                <w:color w:val="auto"/>
                <w:sz w:val="24"/>
                <w:highlight w:val="none"/>
              </w:rPr>
              <w:t>一说明：</w:t>
            </w:r>
          </w:p>
          <w:p w14:paraId="4BB425F6">
            <w:pPr>
              <w:spacing w:line="360" w:lineRule="auto"/>
              <w:ind w:firstLine="480" w:firstLineChars="200"/>
              <w:jc w:val="left"/>
              <w:rPr>
                <w:color w:val="auto"/>
                <w:highlight w:val="none"/>
                <w:vertAlign w:val="baseline"/>
              </w:rPr>
            </w:pPr>
            <w:r>
              <w:rPr>
                <w:rFonts w:ascii="Times New Roman" w:hAnsi="Times New Roman" w:cs="Times New Roman"/>
                <w:color w:val="auto"/>
                <w:sz w:val="24"/>
                <w:highlight w:val="none"/>
              </w:rPr>
              <w:t>根据图1-1和表1-2中对比结果可知，</w:t>
            </w:r>
            <w:bookmarkStart w:id="1" w:name="OLE_LINK34"/>
            <w:bookmarkStart w:id="2" w:name="OLE_LINK33"/>
            <w:r>
              <w:rPr>
                <w:rFonts w:ascii="Times New Roman" w:hAnsi="Times New Roman" w:cs="Times New Roman"/>
                <w:color w:val="auto"/>
                <w:sz w:val="24"/>
                <w:highlight w:val="none"/>
              </w:rPr>
              <w:t>本项目符合</w:t>
            </w:r>
            <w:r>
              <w:rPr>
                <w:rFonts w:hint="eastAsia"/>
                <w:color w:val="auto"/>
                <w:sz w:val="24"/>
                <w:highlight w:val="none"/>
              </w:rPr>
              <w:t>汉中市生态环境分区管控方案</w:t>
            </w:r>
            <w:r>
              <w:rPr>
                <w:rFonts w:hint="eastAsia"/>
                <w:color w:val="auto"/>
                <w:sz w:val="24"/>
                <w:highlight w:val="none"/>
                <w:lang w:eastAsia="zh-CN"/>
              </w:rPr>
              <w:t>中</w:t>
            </w:r>
            <w:r>
              <w:rPr>
                <w:rFonts w:hint="eastAsia"/>
                <w:color w:val="auto"/>
                <w:sz w:val="24"/>
                <w:highlight w:val="none"/>
              </w:rPr>
              <w:t>相关要求</w:t>
            </w:r>
            <w:bookmarkEnd w:id="1"/>
            <w:bookmarkEnd w:id="2"/>
            <w:r>
              <w:rPr>
                <w:rFonts w:hint="eastAsia"/>
                <w:color w:val="auto"/>
                <w:sz w:val="24"/>
                <w:highlight w:val="none"/>
              </w:rPr>
              <w:t>。</w:t>
            </w:r>
          </w:p>
        </w:tc>
      </w:tr>
    </w:tbl>
    <w:p w14:paraId="4263A48F">
      <w:pPr>
        <w:pStyle w:val="43"/>
        <w:rPr>
          <w:color w:val="auto"/>
          <w:highlight w:val="none"/>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9"/>
      </w:tblGrid>
      <w:tr w14:paraId="1102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99" w:type="dxa"/>
            <w:noWrap w:val="0"/>
            <w:vAlign w:val="top"/>
          </w:tcPr>
          <w:p w14:paraId="601D38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eastAsia"/>
                <w:color w:val="auto"/>
                <w:sz w:val="24"/>
                <w:highlight w:val="none"/>
                <w:lang w:val="en-US" w:eastAsia="zh-CN"/>
              </w:rPr>
              <w:t>3.</w:t>
            </w:r>
            <w:r>
              <w:rPr>
                <w:rFonts w:hint="eastAsia"/>
                <w:color w:val="auto"/>
                <w:sz w:val="24"/>
                <w:highlight w:val="none"/>
              </w:rPr>
              <w:t>与相关政策与规划符合性分析</w:t>
            </w:r>
          </w:p>
          <w:p w14:paraId="5A8E08B4">
            <w:pPr>
              <w:keepNext w:val="0"/>
              <w:keepLines w:val="0"/>
              <w:pageBreakBefore w:val="0"/>
              <w:widowControl w:val="0"/>
              <w:kinsoku/>
              <w:wordWrap/>
              <w:overflowPunct/>
              <w:topLinePunct w:val="0"/>
              <w:autoSpaceDE/>
              <w:autoSpaceDN/>
              <w:bidi w:val="0"/>
              <w:adjustRightInd w:val="0"/>
              <w:snapToGrid w:val="0"/>
              <w:jc w:val="center"/>
              <w:textAlignment w:val="auto"/>
              <w:rPr>
                <w:color w:val="auto"/>
                <w:highlight w:val="none"/>
              </w:rPr>
            </w:pPr>
            <w:r>
              <w:rPr>
                <w:rFonts w:hint="eastAsia"/>
                <w:b/>
                <w:bCs/>
                <w:color w:val="auto"/>
                <w:szCs w:val="21"/>
                <w:highlight w:val="none"/>
              </w:rPr>
              <w:t>表1-4   与相关环保政策的符合性分析</w:t>
            </w:r>
            <w:r>
              <w:rPr>
                <w:b/>
                <w:bCs/>
                <w:color w:val="auto"/>
                <w:szCs w:val="21"/>
                <w:highlight w:val="none"/>
              </w:rPr>
              <w:t>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4447"/>
              <w:gridCol w:w="2042"/>
              <w:gridCol w:w="425"/>
            </w:tblGrid>
            <w:tr w14:paraId="68CD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26" w:type="pct"/>
                  <w:gridSpan w:val="2"/>
                  <w:noWrap w:val="0"/>
                  <w:vAlign w:val="center"/>
                </w:tcPr>
                <w:p w14:paraId="149D82EA">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相关环保政策</w:t>
                  </w:r>
                </w:p>
              </w:tc>
              <w:tc>
                <w:tcPr>
                  <w:tcW w:w="1219" w:type="pct"/>
                  <w:noWrap w:val="0"/>
                  <w:vAlign w:val="center"/>
                </w:tcPr>
                <w:p w14:paraId="1C6153FC">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253" w:type="pct"/>
                  <w:noWrap w:val="0"/>
                  <w:vAlign w:val="center"/>
                </w:tcPr>
                <w:p w14:paraId="3EDB684E">
                  <w:pPr>
                    <w:adjustRightInd w:val="0"/>
                    <w:snapToGrid w:val="0"/>
                    <w:ind w:left="-105" w:leftChars="-50" w:right="-105" w:rightChars="-5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4145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noWrap w:val="0"/>
                  <w:vAlign w:val="center"/>
                </w:tcPr>
                <w:p w14:paraId="74601D4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《汉中市大气污染防治条例》</w:t>
                  </w:r>
                </w:p>
              </w:tc>
              <w:tc>
                <w:tcPr>
                  <w:tcW w:w="2655" w:type="pct"/>
                  <w:noWrap w:val="0"/>
                  <w:vAlign w:val="center"/>
                </w:tcPr>
                <w:p w14:paraId="56E6B941">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第二章 监督管理</w:t>
                  </w:r>
                </w:p>
                <w:p w14:paraId="1AFB3987">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一条：向大气排放污染物的企业事业单位和其他生产经营者应当按照规定设置大气污染物排放口，安装大气污染防治设施，并确保正常使用，不得超过大气污染物排放标准和重点大气污染物排放总量控制指标排放。</w:t>
                  </w:r>
                </w:p>
                <w:p w14:paraId="3846DF4E">
                  <w:pPr>
                    <w:pStyle w:val="44"/>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十三条：向大气排放污染物的企业事业单位和其他生产经营者应当按照有关规定设置监测点位和采样监测平台，对其所排放的大气污染物进行自行监测或者委托有环境监测资质的单位监测。监测结果由单位主管环境工作的负责人审核签字，原始监测记录至少保存三年。</w:t>
                  </w:r>
                </w:p>
              </w:tc>
              <w:tc>
                <w:tcPr>
                  <w:tcW w:w="1219" w:type="pct"/>
                  <w:noWrap w:val="0"/>
                  <w:vAlign w:val="center"/>
                </w:tcPr>
                <w:p w14:paraId="01BA703C">
                  <w:pPr>
                    <w:pStyle w:val="44"/>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本项目运营期各项废气污染物均要求采取对应防治措施后达标排放</w:t>
                  </w:r>
                </w:p>
              </w:tc>
              <w:tc>
                <w:tcPr>
                  <w:tcW w:w="253" w:type="pct"/>
                  <w:noWrap w:val="0"/>
                  <w:vAlign w:val="center"/>
                </w:tcPr>
                <w:p w14:paraId="2D537B2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5A3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noWrap w:val="0"/>
                  <w:vAlign w:val="center"/>
                </w:tcPr>
                <w:p w14:paraId="5C0256F3">
                  <w:pPr>
                    <w:autoSpaceDE w:val="0"/>
                    <w:autoSpaceDN w:val="0"/>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zh-CN"/>
                    </w:rPr>
                    <w:t>《</w:t>
                  </w:r>
                  <w:r>
                    <w:rPr>
                      <w:rFonts w:hint="default" w:ascii="Times New Roman" w:hAnsi="Times New Roman" w:cs="Times New Roman"/>
                      <w:color w:val="auto"/>
                      <w:sz w:val="21"/>
                      <w:szCs w:val="21"/>
                      <w:highlight w:val="none"/>
                      <w:lang w:val="zh-CN"/>
                    </w:rPr>
                    <w:t>汉中市大气污染治理专项行动方案（2023—2027年）</w:t>
                  </w:r>
                  <w:r>
                    <w:rPr>
                      <w:rFonts w:hint="default" w:ascii="Times New Roman" w:hAnsi="Times New Roman" w:cs="Times New Roman"/>
                      <w:color w:val="auto"/>
                      <w:kern w:val="0"/>
                      <w:sz w:val="21"/>
                      <w:szCs w:val="21"/>
                      <w:highlight w:val="none"/>
                      <w:lang w:val="zh-CN"/>
                    </w:rPr>
                    <w:t>》</w:t>
                  </w:r>
                </w:p>
              </w:tc>
              <w:tc>
                <w:tcPr>
                  <w:tcW w:w="2655" w:type="pct"/>
                  <w:noWrap w:val="0"/>
                  <w:vAlign w:val="center"/>
                </w:tcPr>
                <w:p w14:paraId="7083937B">
                  <w:pPr>
                    <w:widowControl/>
                    <w:tabs>
                      <w:tab w:val="left" w:pos="312"/>
                    </w:tabs>
                    <w:adjustRightInd w:val="0"/>
                    <w:snapToGrid w:val="0"/>
                    <w:spacing w:line="264" w:lineRule="auto"/>
                    <w:jc w:val="left"/>
                    <w:rPr>
                      <w:rFonts w:hint="default" w:ascii="Times New Roman" w:hAnsi="Times New Roman" w:cs="Times New Roman"/>
                      <w:b/>
                      <w:bCs/>
                      <w:color w:val="auto"/>
                      <w:spacing w:val="-8"/>
                      <w:sz w:val="21"/>
                      <w:szCs w:val="21"/>
                      <w:highlight w:val="none"/>
                    </w:rPr>
                  </w:pPr>
                  <w:r>
                    <w:rPr>
                      <w:rFonts w:hint="default" w:ascii="Times New Roman" w:hAnsi="Times New Roman" w:cs="Times New Roman"/>
                      <w:color w:val="auto"/>
                      <w:kern w:val="0"/>
                      <w:sz w:val="21"/>
                      <w:szCs w:val="21"/>
                      <w:highlight w:val="none"/>
                    </w:rPr>
                    <w:t>产业发展结构调整。结合重点区域涉气污染源排查整治工作，因地制宜，推动中心城区和县（区）建成区内高污染、高耗能大气污染物排放企业搬迁退出。</w:t>
                  </w:r>
                </w:p>
              </w:tc>
              <w:tc>
                <w:tcPr>
                  <w:tcW w:w="1219" w:type="pct"/>
                  <w:noWrap w:val="0"/>
                  <w:vAlign w:val="center"/>
                </w:tcPr>
                <w:p w14:paraId="5532CFF8">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w:t>
                  </w:r>
                  <w:r>
                    <w:rPr>
                      <w:rFonts w:hint="default" w:ascii="Times New Roman" w:hAnsi="Times New Roman" w:cs="Times New Roman"/>
                      <w:color w:val="auto"/>
                      <w:sz w:val="21"/>
                      <w:szCs w:val="21"/>
                      <w:highlight w:val="none"/>
                      <w:lang w:eastAsia="zh-CN"/>
                    </w:rPr>
                    <w:t>保健食品加工、酒的制造、饮料加工等行业</w:t>
                  </w:r>
                  <w:r>
                    <w:rPr>
                      <w:rFonts w:hint="default" w:ascii="Times New Roman" w:hAnsi="Times New Roman" w:cs="Times New Roman"/>
                      <w:color w:val="auto"/>
                      <w:sz w:val="21"/>
                      <w:szCs w:val="21"/>
                      <w:highlight w:val="none"/>
                    </w:rPr>
                    <w:t>，不属于</w:t>
                  </w:r>
                  <w:r>
                    <w:rPr>
                      <w:rFonts w:hint="default" w:ascii="Times New Roman" w:hAnsi="Times New Roman" w:cs="Times New Roman"/>
                      <w:color w:val="auto"/>
                      <w:kern w:val="0"/>
                      <w:sz w:val="21"/>
                      <w:szCs w:val="21"/>
                      <w:highlight w:val="none"/>
                    </w:rPr>
                    <w:t>高污染、高耗能大气污染物排放企业</w:t>
                  </w:r>
                </w:p>
              </w:tc>
              <w:tc>
                <w:tcPr>
                  <w:tcW w:w="253" w:type="pct"/>
                  <w:noWrap w:val="0"/>
                  <w:vAlign w:val="center"/>
                </w:tcPr>
                <w:p w14:paraId="0E420EF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3A3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noWrap w:val="0"/>
                  <w:vAlign w:val="center"/>
                </w:tcPr>
                <w:p w14:paraId="44412BB4">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《陕西省“十四五”生态环境保护规划》</w:t>
                  </w:r>
                </w:p>
              </w:tc>
              <w:tc>
                <w:tcPr>
                  <w:tcW w:w="2655" w:type="pct"/>
                  <w:noWrap w:val="0"/>
                  <w:vAlign w:val="center"/>
                </w:tcPr>
                <w:p w14:paraId="7BD2C952">
                  <w:pPr>
                    <w:pStyle w:val="3"/>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持续推进工业污水治理。引导工业企业污水近零排放，降低污染负荷。强化工业集聚区污染治理，推进工业园区污水处理设施分类管理、分期升级改造和污水管网排查整治，省级以上工业集聚区污水集中处理设施实现规范运行。根据流域水质目标和主体功能区规划要求，实施差别化环境准入政策，严格限制增加氮磷污染物排放的工业项目。关中地区严格控制新建、扩建化学制浆造纸、化工、印染、果汁和淀粉加工等高耗水、高污染项目；陕南地区严格控制新建、扩建黄姜皂素生产、化学制浆造纸、果汁加工、有色金属、电镀、印染等涉水重点行业；陕北地区合理控制火电、兰炭、煤化工等行业规模。</w:t>
                  </w:r>
                </w:p>
              </w:tc>
              <w:tc>
                <w:tcPr>
                  <w:tcW w:w="1219" w:type="pct"/>
                  <w:vMerge w:val="restart"/>
                  <w:noWrap w:val="0"/>
                  <w:vAlign w:val="center"/>
                </w:tcPr>
                <w:p w14:paraId="63411AC0">
                  <w:pPr>
                    <w:pStyle w:val="44"/>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w:t>
                  </w:r>
                  <w:r>
                    <w:rPr>
                      <w:rFonts w:hint="default" w:ascii="Times New Roman" w:hAnsi="Times New Roman" w:cs="Times New Roman"/>
                      <w:color w:val="auto"/>
                      <w:sz w:val="21"/>
                      <w:szCs w:val="21"/>
                      <w:highlight w:val="none"/>
                      <w:lang w:eastAsia="zh-CN"/>
                    </w:rPr>
                    <w:t>保健食品加工、酒的制造、饮料加工等行业，</w:t>
                  </w:r>
                  <w:r>
                    <w:rPr>
                      <w:rFonts w:hint="default" w:ascii="Times New Roman" w:hAnsi="Times New Roman" w:cs="Times New Roman"/>
                      <w:color w:val="auto"/>
                      <w:sz w:val="21"/>
                      <w:szCs w:val="21"/>
                      <w:highlight w:val="none"/>
                    </w:rPr>
                    <w:t>位于</w:t>
                  </w:r>
                  <w:r>
                    <w:rPr>
                      <w:rFonts w:hint="default" w:ascii="Times New Roman" w:hAnsi="Times New Roman" w:cs="Times New Roman"/>
                      <w:color w:val="auto"/>
                      <w:sz w:val="21"/>
                      <w:szCs w:val="21"/>
                      <w:highlight w:val="none"/>
                      <w:lang w:eastAsia="zh-CN"/>
                    </w:rPr>
                    <w:t>洋县经济技术开发区内的有机产业园</w:t>
                  </w:r>
                  <w:r>
                    <w:rPr>
                      <w:rFonts w:hint="default" w:ascii="Times New Roman" w:hAnsi="Times New Roman" w:cs="Times New Roman"/>
                      <w:color w:val="auto"/>
                      <w:sz w:val="21"/>
                      <w:szCs w:val="21"/>
                      <w:highlight w:val="none"/>
                    </w:rPr>
                    <w:t>，主要利用</w:t>
                  </w:r>
                  <w:r>
                    <w:rPr>
                      <w:rFonts w:hint="default" w:ascii="Times New Roman" w:hAnsi="Times New Roman" w:cs="Times New Roman"/>
                      <w:color w:val="auto"/>
                      <w:sz w:val="21"/>
                      <w:szCs w:val="21"/>
                      <w:highlight w:val="none"/>
                      <w:lang w:eastAsia="zh-CN"/>
                    </w:rPr>
                    <w:t>山茱萸原料进行山茱萸饮料、山茱萸酒、山茱萸醋等有机农产品；</w:t>
                  </w:r>
                  <w:r>
                    <w:rPr>
                      <w:rFonts w:hint="default" w:ascii="Times New Roman" w:hAnsi="Times New Roman" w:eastAsia="宋体" w:cs="Times New Roman"/>
                      <w:color w:val="auto"/>
                      <w:kern w:val="2"/>
                      <w:sz w:val="21"/>
                      <w:szCs w:val="21"/>
                      <w:highlight w:val="none"/>
                      <w:lang w:val="en-US" w:eastAsia="zh-CN" w:bidi="ar-SA"/>
                    </w:rPr>
                    <w:t>项目不属于黄姜皂素生产、化学制浆造纸、有色金属、电镀等涉水重点行业；项目</w:t>
                  </w:r>
                  <w:r>
                    <w:rPr>
                      <w:rFonts w:hint="default" w:ascii="Times New Roman" w:hAnsi="Times New Roman" w:cs="Times New Roman"/>
                      <w:color w:val="auto"/>
                      <w:sz w:val="21"/>
                      <w:szCs w:val="21"/>
                      <w:highlight w:val="none"/>
                      <w:lang w:eastAsia="zh-CN" w:bidi="ar"/>
                    </w:rPr>
                    <w:t>生活污水经化粪池处理后</w:t>
                  </w:r>
                  <w:r>
                    <w:rPr>
                      <w:rFonts w:hint="eastAsia" w:ascii="Times New Roman" w:hAnsi="Times New Roman" w:cs="Times New Roman"/>
                      <w:color w:val="auto"/>
                      <w:sz w:val="21"/>
                      <w:szCs w:val="21"/>
                      <w:highlight w:val="none"/>
                      <w:lang w:eastAsia="zh-CN" w:bidi="ar"/>
                    </w:rPr>
                    <w:t>与部分生产废水（锅炉废水、纯水设备浓水的反冲洗废水）</w:t>
                  </w:r>
                  <w:r>
                    <w:rPr>
                      <w:rFonts w:hint="default" w:ascii="Times New Roman" w:hAnsi="Times New Roman" w:cs="Times New Roman"/>
                      <w:color w:val="auto"/>
                      <w:sz w:val="21"/>
                      <w:szCs w:val="21"/>
                      <w:highlight w:val="none"/>
                      <w:lang w:eastAsia="zh-CN" w:bidi="ar"/>
                    </w:rPr>
                    <w:t>经园区管网</w:t>
                  </w:r>
                  <w:r>
                    <w:rPr>
                      <w:rFonts w:hint="eastAsia" w:ascii="Times New Roman" w:hAnsi="Times New Roman" w:cs="Times New Roman"/>
                      <w:color w:val="auto"/>
                      <w:sz w:val="21"/>
                      <w:szCs w:val="21"/>
                      <w:highlight w:val="none"/>
                      <w:lang w:eastAsia="zh-CN" w:bidi="ar"/>
                    </w:rPr>
                    <w:t>均</w:t>
                  </w:r>
                  <w:r>
                    <w:rPr>
                      <w:rFonts w:hint="default" w:ascii="Times New Roman" w:hAnsi="Times New Roman" w:cs="Times New Roman"/>
                      <w:color w:val="auto"/>
                      <w:sz w:val="21"/>
                      <w:szCs w:val="21"/>
                      <w:highlight w:val="none"/>
                      <w:lang w:eastAsia="zh-CN" w:bidi="ar"/>
                    </w:rPr>
                    <w:t>排入洋县污水处理厂处理；项目</w:t>
                  </w:r>
                  <w:r>
                    <w:rPr>
                      <w:rFonts w:hint="eastAsia" w:ascii="Times New Roman" w:hAnsi="Times New Roman" w:cs="Times New Roman"/>
                      <w:color w:val="auto"/>
                      <w:sz w:val="21"/>
                      <w:szCs w:val="21"/>
                      <w:highlight w:val="none"/>
                      <w:lang w:eastAsia="zh-CN" w:bidi="ar"/>
                    </w:rPr>
                    <w:t>原料及设备清洗产生的</w:t>
                  </w:r>
                  <w:r>
                    <w:rPr>
                      <w:rFonts w:hint="default" w:ascii="Times New Roman" w:hAnsi="Times New Roman" w:cs="Times New Roman"/>
                      <w:color w:val="auto"/>
                      <w:sz w:val="21"/>
                      <w:szCs w:val="21"/>
                      <w:highlight w:val="none"/>
                      <w:lang w:eastAsia="zh-CN" w:bidi="ar"/>
                    </w:rPr>
                    <w:t>生产废水</w:t>
                  </w:r>
                  <w:r>
                    <w:rPr>
                      <w:rFonts w:hint="eastAsia" w:ascii="Times New Roman" w:hAnsi="Times New Roman" w:cs="Times New Roman"/>
                      <w:color w:val="auto"/>
                      <w:sz w:val="21"/>
                      <w:szCs w:val="21"/>
                      <w:highlight w:val="none"/>
                      <w:lang w:eastAsia="zh-CN" w:bidi="ar"/>
                    </w:rPr>
                    <w:t>依托园区现有企业污水处理站及洋县污水处理厂处置，属于间接排放；同时项目废水处置量未超过依托污水处理站设计规模，项目符合园区产业规划且已取得园区的入园协议（详见附件），因此项目废水可做到有效处理。</w:t>
                  </w:r>
                </w:p>
              </w:tc>
              <w:tc>
                <w:tcPr>
                  <w:tcW w:w="253" w:type="pct"/>
                  <w:noWrap w:val="0"/>
                  <w:vAlign w:val="center"/>
                </w:tcPr>
                <w:p w14:paraId="3AB0ACA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3B3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noWrap w:val="0"/>
                  <w:vAlign w:val="center"/>
                </w:tcPr>
                <w:p w14:paraId="2B879A86">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《汉中市“十四五”生态环境保护规划》</w:t>
                  </w:r>
                </w:p>
              </w:tc>
              <w:tc>
                <w:tcPr>
                  <w:tcW w:w="2655" w:type="pct"/>
                  <w:noWrap w:val="0"/>
                  <w:vAlign w:val="center"/>
                </w:tcPr>
                <w:p w14:paraId="6274FA31">
                  <w:pPr>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持续推进工业污水治理，引导工业企业污水近零排放，降低污染负荷。强化工业集聚区污染治理，推进工业园区污水处理设施分类管理、分期升级改造和污水管网排查整治。根据流域水质目标和主体功能区规划要求，实施差别化环境准入政策，严格限制增加氨磷污染物排放的工业项目。严格控制新建、扩建黄姜皂素生产、化学制浆造纸、电镀、印染等涉水重点行业。</w:t>
                  </w:r>
                </w:p>
              </w:tc>
              <w:tc>
                <w:tcPr>
                  <w:tcW w:w="1219" w:type="pct"/>
                  <w:vMerge w:val="continue"/>
                  <w:noWrap w:val="0"/>
                  <w:vAlign w:val="center"/>
                </w:tcPr>
                <w:p w14:paraId="3CAE50D8">
                  <w:pPr>
                    <w:pStyle w:val="44"/>
                    <w:rPr>
                      <w:rFonts w:hint="default" w:ascii="Times New Roman" w:hAnsi="Times New Roman" w:cs="Times New Roman"/>
                      <w:color w:val="auto"/>
                      <w:sz w:val="21"/>
                      <w:szCs w:val="21"/>
                      <w:highlight w:val="none"/>
                    </w:rPr>
                  </w:pPr>
                </w:p>
              </w:tc>
              <w:tc>
                <w:tcPr>
                  <w:tcW w:w="253" w:type="pct"/>
                  <w:noWrap w:val="0"/>
                  <w:vAlign w:val="center"/>
                </w:tcPr>
                <w:p w14:paraId="37F8BD9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308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noWrap w:val="0"/>
                  <w:vAlign w:val="center"/>
                </w:tcPr>
                <w:p w14:paraId="5F0BF30B">
                  <w:pPr>
                    <w:adjustRightInd w:val="0"/>
                    <w:snapToGrid w:val="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洋县</w:t>
                  </w:r>
                  <w:r>
                    <w:rPr>
                      <w:rFonts w:hint="default" w:ascii="Times New Roman" w:hAnsi="Times New Roman" w:cs="Times New Roman"/>
                      <w:color w:val="auto"/>
                      <w:kern w:val="0"/>
                      <w:sz w:val="21"/>
                      <w:szCs w:val="21"/>
                      <w:highlight w:val="none"/>
                    </w:rPr>
                    <w:t>“十四五”生态环境保护规划》</w:t>
                  </w:r>
                </w:p>
              </w:tc>
              <w:tc>
                <w:tcPr>
                  <w:tcW w:w="2655" w:type="pct"/>
                  <w:noWrap w:val="0"/>
                  <w:vAlign w:val="center"/>
                </w:tcPr>
                <w:p w14:paraId="1BC1E2BC">
                  <w:pPr>
                    <w:pStyle w:val="3"/>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持续推进工业污染治理。引导食品、化工等涉水重点工业企业污水近零排放，降低污染负荷。强化工业聚集区污染治理，以洋县现代材料产业园区、洋县生态有机食品工业园区和洋县桑溪工业园区为重点，推进工业园区污水处理设施分类管理和污水管网排查整治，确保自动在线监控装置运维与联网。根据“三线一单”生态环境分区管控要求，严格限制增加氮磷污染物排放的工业项目，严格控制新建、扩建黄姜皂素生产、化学制浆造纸、果汁加工、有色金属、电镀等涉水重点行业。</w:t>
                  </w:r>
                </w:p>
              </w:tc>
              <w:tc>
                <w:tcPr>
                  <w:tcW w:w="1219" w:type="pct"/>
                  <w:vMerge w:val="continue"/>
                  <w:noWrap w:val="0"/>
                  <w:vAlign w:val="center"/>
                </w:tcPr>
                <w:p w14:paraId="21004719">
                  <w:pPr>
                    <w:pStyle w:val="44"/>
                    <w:rPr>
                      <w:rFonts w:hint="default" w:ascii="Times New Roman" w:hAnsi="Times New Roman" w:cs="Times New Roman"/>
                      <w:color w:val="auto"/>
                      <w:sz w:val="21"/>
                      <w:szCs w:val="21"/>
                      <w:highlight w:val="none"/>
                    </w:rPr>
                  </w:pPr>
                </w:p>
              </w:tc>
              <w:tc>
                <w:tcPr>
                  <w:tcW w:w="253" w:type="pct"/>
                  <w:noWrap w:val="0"/>
                  <w:vAlign w:val="center"/>
                </w:tcPr>
                <w:p w14:paraId="0B97518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072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noWrap w:val="0"/>
                  <w:vAlign w:val="center"/>
                </w:tcPr>
                <w:p w14:paraId="42A352B4">
                  <w:pPr>
                    <w:adjustRightInd w:val="0"/>
                    <w:snapToGrid w:val="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《饮料酒制造业污染防治技术政策》</w:t>
                  </w:r>
                </w:p>
              </w:tc>
              <w:tc>
                <w:tcPr>
                  <w:tcW w:w="2655" w:type="pct"/>
                  <w:noWrap w:val="0"/>
                  <w:vAlign w:val="center"/>
                </w:tcPr>
                <w:p w14:paraId="22BECC36">
                  <w:pPr>
                    <w:pStyle w:val="3"/>
                    <w:numPr>
                      <w:ilvl w:val="0"/>
                      <w:numId w:val="8"/>
                    </w:numP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污染治理及综合利用</w:t>
                  </w:r>
                </w:p>
                <w:p w14:paraId="6E1D0F5B">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（一）大气污染治理</w:t>
                  </w:r>
                </w:p>
                <w:p w14:paraId="7245631A">
                  <w:pPr>
                    <w:keepNext w:val="0"/>
                    <w:keepLines w:val="0"/>
                    <w:pageBreakBefore w:val="0"/>
                    <w:widowControl w:val="0"/>
                    <w:numPr>
                      <w:ilvl w:val="0"/>
                      <w:numId w:val="0"/>
                    </w:numPr>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1.原料输送、粉碎工序产生的粉尘应采用封闭粉碎、袋式除尘或喷水降尘等方法与技术进行收集与处理。</w:t>
                  </w:r>
                </w:p>
                <w:p w14:paraId="0CAA9657">
                  <w:pPr>
                    <w:pStyle w:val="8"/>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（二）水污染治理</w:t>
                  </w:r>
                </w:p>
                <w:p w14:paraId="73323AD1">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3.综合废水宜采取“预处理+（厌氧）好氧”的废水处理工艺技术路线。对于排放标准要求高的区域或需废水回用的企业，废水应进行深度处理，宜在生物处理后再增加混凝沉淀、过滤或膜分离等处理单元。</w:t>
                  </w:r>
                </w:p>
                <w:p w14:paraId="268BEA9B">
                  <w:pPr>
                    <w:pStyle w:val="8"/>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（三）固体废物处理处置及综合利用</w:t>
                  </w:r>
                </w:p>
                <w:p w14:paraId="2D2D9957">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4.鼓励对废酒瓶、废包装材料等进行收集、利用。</w:t>
                  </w:r>
                </w:p>
              </w:tc>
              <w:tc>
                <w:tcPr>
                  <w:tcW w:w="1219" w:type="pct"/>
                  <w:noWrap w:val="0"/>
                  <w:vAlign w:val="center"/>
                </w:tcPr>
                <w:p w14:paraId="1BD019B8">
                  <w:pPr>
                    <w:pStyle w:val="44"/>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本项目主要利用有机山茱萸原料加工山茱萸饮品、山茱萸酒、山茱萸醋等产品，生产过程无粉尘产生，废水经沉淀混合预处理后依托陕西朱鹮酒业有限公司污水处理站处理后排入洋县污水处理厂进行处置，废酒瓶、废包装材料集中收集后外售综合利用。</w:t>
                  </w:r>
                </w:p>
              </w:tc>
              <w:tc>
                <w:tcPr>
                  <w:tcW w:w="253" w:type="pct"/>
                  <w:noWrap w:val="0"/>
                  <w:vAlign w:val="center"/>
                </w:tcPr>
                <w:p w14:paraId="1825D861">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符合</w:t>
                  </w:r>
                </w:p>
              </w:tc>
            </w:tr>
            <w:tr w14:paraId="11ED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pct"/>
                  <w:noWrap w:val="0"/>
                  <w:vAlign w:val="center"/>
                </w:tcPr>
                <w:p w14:paraId="5DBB1282">
                  <w:pPr>
                    <w:adjustRightInd w:val="0"/>
                    <w:snapToGrid w:val="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《食品企业通用卫生规范》（GB14881-2013）</w:t>
                  </w:r>
                </w:p>
              </w:tc>
              <w:tc>
                <w:tcPr>
                  <w:tcW w:w="2655" w:type="pct"/>
                  <w:noWrap w:val="0"/>
                  <w:vAlign w:val="center"/>
                </w:tcPr>
                <w:p w14:paraId="4DDC197B">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4.1 设计和布局 </w:t>
                  </w:r>
                </w:p>
                <w:p w14:paraId="3B36543E">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4.1.1 厂房和车间的内部设计和布局应满足食品卫生操作要求，避免食品生产中发生交叉污染。 </w:t>
                  </w:r>
                </w:p>
                <w:p w14:paraId="13D065D8">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4.1.2 厂房和车间的设计应根据生产工艺合理布局，预防和降低产品受污染的风险。 </w:t>
                  </w:r>
                </w:p>
                <w:p w14:paraId="289352E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4.1.3 厂房和车间应根据产品特点、生产工艺、生产特性以及生产过程对清洁程度的要求合理划分作业区，并采取有效分离或分隔。如：通常可划分为清洁作业区、准清洁作业区和一般作业区；或清洁作业区和一般作业区等。一般作业区应与其他作业区域分隔。</w:t>
                  </w:r>
                </w:p>
                <w:p w14:paraId="2A5D626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4.1.4 厂房内设置的检验室应与生产区域分隔。</w:t>
                  </w:r>
                </w:p>
                <w:p w14:paraId="266C715A">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4.1.5 厂房的面积和空间应与生产能力相适应，便于设备安置、清洁消毒、物料存储及人员操作。</w:t>
                  </w:r>
                </w:p>
                <w:p w14:paraId="6FC9F74A">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5.1.2 排水设施 </w:t>
                  </w:r>
                </w:p>
                <w:p w14:paraId="55C9A0FA">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5.1.2.1 排水系统的设计和建造应保证排水畅通、便于清洁维护；应适应食品生产的需要，保证食品及 生产、清洁用水不受污染。</w:t>
                  </w:r>
                </w:p>
                <w:p w14:paraId="4D95A83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5.1.4 废弃物存放设施 应配备设计合理、防止渗漏、易于清洁的存放废弃物的专用设施；车间内存放废弃物的设施和容器 应标识清晰。必要时应在适当地点设置废弃物临时存放设施，并依废弃物特性分类存放</w:t>
                  </w:r>
                </w:p>
                <w:p w14:paraId="0D507372">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5.1.8 仓储设施 </w:t>
                  </w:r>
                </w:p>
                <w:p w14:paraId="17E585D0">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5.1.8.1 应具有与所生产产品的数量、贮存要求相适应的仓储设施。 </w:t>
                  </w:r>
                </w:p>
                <w:p w14:paraId="677BAEEE">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5.1.8.2 仓库应以无毒、坚固的材料建成；仓库地面应平整，便于通风换气。仓库的设计应能易于维护 和清洁，防止虫害藏匿，并应有防止虫害侵入的装置。 </w:t>
                  </w:r>
                </w:p>
                <w:p w14:paraId="1E1F844D">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5.1.8.3 原料、半成品、成品、包装材料等应依据性质的不同分设贮存场所、或分区域码放，并有明确 标识，防止交叉污染。必要时仓库应设有温、湿度控制设施。</w:t>
                  </w:r>
                </w:p>
                <w:p w14:paraId="67776E5B">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6.5 废弃物处理 </w:t>
                  </w:r>
                </w:p>
                <w:p w14:paraId="7668FD5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6.5.1 应制定废弃物存放和清除制度，有特殊要求的废弃物其处理方式应符合有关规定。废弃物应定期 清除；易腐败的废弃物应尽快清除；必要时应及时清除废弃物。</w:t>
                  </w:r>
                </w:p>
                <w:p w14:paraId="36C2B1B1">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6.5.2 车间外废弃物放置场所应与食品加工场所隔离防止污染；应防止不良气味或有害有毒气体溢出；应防止虫害孳生</w:t>
                  </w:r>
                  <w:r>
                    <w:rPr>
                      <w:rFonts w:hint="eastAsia" w:ascii="Times New Roman" w:hAnsi="Times New Roman" w:eastAsia="宋体" w:cs="Times New Roman"/>
                      <w:color w:val="auto"/>
                      <w:sz w:val="21"/>
                      <w:szCs w:val="21"/>
                      <w:highlight w:val="none"/>
                      <w:lang w:val="en-US" w:eastAsia="zh-CN"/>
                    </w:rPr>
                    <w:t>。</w:t>
                  </w:r>
                </w:p>
              </w:tc>
              <w:tc>
                <w:tcPr>
                  <w:tcW w:w="1219" w:type="pct"/>
                  <w:noWrap w:val="0"/>
                  <w:vAlign w:val="center"/>
                </w:tcPr>
                <w:p w14:paraId="6F0EF02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项目车间内部</w:t>
                  </w:r>
                  <w:r>
                    <w:rPr>
                      <w:rFonts w:hint="default" w:ascii="Times New Roman" w:hAnsi="Times New Roman" w:cs="Times New Roman"/>
                      <w:color w:val="auto"/>
                      <w:sz w:val="21"/>
                      <w:szCs w:val="21"/>
                      <w:highlight w:val="none"/>
                      <w:lang w:val="en-US" w:eastAsia="zh-CN"/>
                    </w:rPr>
                    <w:t>设计和布局能满足食品卫生操作要求，采用洁净车间，可避免食品生产中发生交叉污染；项目厂房的设计根据生产工艺合理布局，可预防和降低产品受污染的风险。车间根据产品特点、生产工艺、生产特性以及生产过程对清洁程度的要求已合理划为清洁作业区和一般作业区等。一般作业区应与其他作业区域分隔。</w:t>
                  </w:r>
                </w:p>
                <w:p w14:paraId="796D4AD3">
                  <w:pPr>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项目厂房内设置的检验室应与生产区域分隔。</w:t>
                  </w:r>
                </w:p>
                <w:p w14:paraId="6AA31031">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本项目实施雨污分流，</w:t>
                  </w:r>
                  <w:r>
                    <w:rPr>
                      <w:rFonts w:hint="default" w:ascii="Times New Roman" w:hAnsi="Times New Roman" w:cs="Times New Roman"/>
                      <w:color w:val="auto"/>
                      <w:sz w:val="21"/>
                      <w:szCs w:val="21"/>
                      <w:highlight w:val="none"/>
                    </w:rPr>
                    <w:t>生活污水经化粪池收集</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rPr>
                    <w:t>后</w:t>
                  </w:r>
                  <w:r>
                    <w:rPr>
                      <w:rFonts w:hint="default" w:ascii="Times New Roman" w:hAnsi="Times New Roman" w:cs="Times New Roman"/>
                      <w:color w:val="auto"/>
                      <w:sz w:val="21"/>
                      <w:szCs w:val="21"/>
                      <w:highlight w:val="none"/>
                      <w:lang w:val="en-US" w:eastAsia="zh-CN"/>
                    </w:rPr>
                    <w:t>进入洋县污水处理厂处理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生产废水经地下式沉淀池收集后经陕西朱鹮酒业有限公司污水处理站处理后排入洋县污水处理厂处理，可保证</w:t>
                  </w:r>
                  <w:r>
                    <w:rPr>
                      <w:rFonts w:hint="default" w:ascii="Times New Roman" w:hAnsi="Times New Roman" w:eastAsia="宋体" w:cs="Times New Roman"/>
                      <w:color w:val="auto"/>
                      <w:sz w:val="21"/>
                      <w:szCs w:val="21"/>
                      <w:highlight w:val="none"/>
                      <w:lang w:val="en-US" w:eastAsia="zh-CN"/>
                    </w:rPr>
                    <w:t>食品及生产、清洁用水不受污染；</w:t>
                  </w:r>
                </w:p>
                <w:p w14:paraId="3287CE94">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本项目配备了废弃物专用储存设施，储存设施选择防止渗漏、易于清洁的设施；生产车间不设置废弃物存放设施，一般固废暂存间单独设置，各类固废分类存放。</w:t>
                  </w:r>
                </w:p>
                <w:p w14:paraId="6A5D858F">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项目库房规模能够满足原料及产品储存的数量等要求；仓库采用无毒、坚固的材料建成；仓库地面平整、仓库的设计便于维护和清洁，采用混凝土地面，可防止虫害藏匿。</w:t>
                  </w:r>
                </w:p>
                <w:p w14:paraId="123D9C63">
                  <w:pPr>
                    <w:pStyle w:val="44"/>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项目原料、半成品、成品、包装材料等分区域码放，并有明确标识。后期可根据实际需要设温、湿度控制设施。</w:t>
                  </w:r>
                </w:p>
                <w:p w14:paraId="707DB9C3">
                  <w:pPr>
                    <w:pStyle w:val="44"/>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项目运营期拟设置废弃物存放和清除制度，确保废弃物定期清除；必要时应及时清除废弃物。</w:t>
                  </w:r>
                </w:p>
                <w:p w14:paraId="683C6943">
                  <w:pPr>
                    <w:pStyle w:val="44"/>
                    <w:jc w:val="left"/>
                    <w:rPr>
                      <w:rFonts w:hint="default"/>
                      <w:color w:val="auto"/>
                      <w:highlight w:val="none"/>
                      <w:lang w:eastAsia="zh-CN"/>
                    </w:rPr>
                  </w:pPr>
                  <w:r>
                    <w:rPr>
                      <w:rFonts w:hint="default" w:ascii="Times New Roman" w:hAnsi="Times New Roman" w:eastAsia="宋体" w:cs="Times New Roman"/>
                      <w:color w:val="auto"/>
                      <w:sz w:val="21"/>
                      <w:szCs w:val="21"/>
                      <w:highlight w:val="none"/>
                      <w:lang w:val="en-US" w:eastAsia="zh-CN"/>
                    </w:rPr>
                    <w:t>车间外废弃物采用带盖垃圾桶，且与加工厂房保持距离，隔离污染，可防止不良气味或有害有毒气体溢出；可防止虫害孳生</w:t>
                  </w:r>
                  <w:r>
                    <w:rPr>
                      <w:rFonts w:hint="eastAsia" w:ascii="Times New Roman" w:hAnsi="Times New Roman" w:eastAsia="宋体" w:cs="Times New Roman"/>
                      <w:color w:val="auto"/>
                      <w:sz w:val="21"/>
                      <w:szCs w:val="21"/>
                      <w:highlight w:val="none"/>
                      <w:lang w:val="en-US" w:eastAsia="zh-CN"/>
                    </w:rPr>
                    <w:t>。</w:t>
                  </w:r>
                </w:p>
              </w:tc>
              <w:tc>
                <w:tcPr>
                  <w:tcW w:w="253" w:type="pct"/>
                  <w:noWrap w:val="0"/>
                  <w:vAlign w:val="center"/>
                </w:tcPr>
                <w:p w14:paraId="32C807ED">
                  <w:pPr>
                    <w:adjustRightInd w:val="0"/>
                    <w:snapToGrid w:val="0"/>
                    <w:jc w:val="center"/>
                    <w:rPr>
                      <w:rFonts w:hint="default" w:ascii="Times New Roman" w:hAnsi="Times New Roman" w:cs="Times New Roman"/>
                      <w:color w:val="auto"/>
                      <w:sz w:val="21"/>
                      <w:szCs w:val="21"/>
                      <w:highlight w:val="none"/>
                      <w:lang w:eastAsia="zh-CN"/>
                    </w:rPr>
                  </w:pPr>
                </w:p>
              </w:tc>
            </w:tr>
          </w:tbl>
          <w:p w14:paraId="519F155A">
            <w:pPr>
              <w:adjustRightInd w:val="0"/>
              <w:snapToGrid w:val="0"/>
              <w:spacing w:line="324" w:lineRule="auto"/>
              <w:ind w:firstLine="480" w:firstLineChars="200"/>
              <w:rPr>
                <w:color w:val="auto"/>
                <w:sz w:val="24"/>
                <w:highlight w:val="none"/>
              </w:rPr>
            </w:pPr>
            <w:r>
              <w:rPr>
                <w:rFonts w:hint="eastAsia"/>
                <w:color w:val="auto"/>
                <w:sz w:val="24"/>
                <w:highlight w:val="none"/>
                <w:lang w:val="en-US" w:eastAsia="zh-CN"/>
              </w:rPr>
              <w:t>4.</w:t>
            </w:r>
            <w:r>
              <w:rPr>
                <w:rFonts w:hint="eastAsia"/>
                <w:color w:val="auto"/>
                <w:sz w:val="24"/>
                <w:highlight w:val="none"/>
              </w:rPr>
              <w:t>选址及用地规划符合性分析</w:t>
            </w:r>
          </w:p>
          <w:p w14:paraId="1C02D121">
            <w:pPr>
              <w:pStyle w:val="72"/>
              <w:adjustRightInd w:val="0"/>
              <w:snapToGrid w:val="0"/>
              <w:spacing w:before="0" w:beforeAutospacing="0" w:after="0" w:afterAutospacing="0" w:line="360" w:lineRule="auto"/>
              <w:ind w:firstLine="480" w:firstLineChars="200"/>
              <w:jc w:val="both"/>
              <w:rPr>
                <w:rFonts w:ascii="Times New Roman" w:hAnsi="Times New Roman" w:cs="Times New Roman"/>
                <w:color w:val="auto"/>
                <w:highlight w:val="none"/>
              </w:rPr>
            </w:pP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1</w:t>
            </w:r>
            <w:r>
              <w:rPr>
                <w:rFonts w:hint="eastAsia" w:ascii="Times New Roman" w:cs="Times New Roman"/>
                <w:color w:val="auto"/>
                <w:highlight w:val="none"/>
                <w:lang w:eastAsia="zh-CN"/>
              </w:rPr>
              <w:t>）</w:t>
            </w:r>
            <w:r>
              <w:rPr>
                <w:rFonts w:ascii="Times New Roman" w:hAnsi="Times New Roman" w:cs="Times New Roman"/>
                <w:color w:val="auto"/>
                <w:highlight w:val="none"/>
              </w:rPr>
              <w:t>项目与《食品企业通用卫生规范》（GB14881-2013）相符性分析</w:t>
            </w:r>
          </w:p>
          <w:p w14:paraId="65FAE799">
            <w:pPr>
              <w:pStyle w:val="72"/>
              <w:adjustRightInd w:val="0"/>
              <w:snapToGrid w:val="0"/>
              <w:spacing w:before="0" w:beforeAutospacing="0" w:after="0" w:afterAutospacing="0"/>
              <w:jc w:val="center"/>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表1-5  项目与《食品企业通用卫生规范》（GB1 4881 -2013）相符性分析</w:t>
            </w:r>
          </w:p>
          <w:tbl>
            <w:tblPr>
              <w:tblStyle w:val="28"/>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3300"/>
              <w:gridCol w:w="2700"/>
              <w:gridCol w:w="952"/>
            </w:tblGrid>
            <w:tr w14:paraId="626F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33" w:type="dxa"/>
                  <w:noWrap w:val="0"/>
                  <w:vAlign w:val="center"/>
                </w:tcPr>
                <w:p w14:paraId="25309656">
                  <w:pPr>
                    <w:jc w:val="center"/>
                    <w:rPr>
                      <w:rFonts w:hint="eastAsia" w:eastAsia="宋体"/>
                      <w:color w:val="auto"/>
                      <w:sz w:val="21"/>
                      <w:szCs w:val="21"/>
                      <w:highlight w:val="none"/>
                      <w:lang w:eastAsia="zh-CN"/>
                    </w:rPr>
                  </w:pPr>
                  <w:r>
                    <w:rPr>
                      <w:rFonts w:hint="eastAsia"/>
                      <w:color w:val="auto"/>
                      <w:sz w:val="21"/>
                      <w:szCs w:val="21"/>
                      <w:highlight w:val="none"/>
                      <w:lang w:eastAsia="zh-CN"/>
                    </w:rPr>
                    <w:t>相关要求</w:t>
                  </w:r>
                </w:p>
              </w:tc>
              <w:tc>
                <w:tcPr>
                  <w:tcW w:w="3300" w:type="dxa"/>
                  <w:noWrap w:val="0"/>
                  <w:vAlign w:val="center"/>
                </w:tcPr>
                <w:p w14:paraId="251018D6">
                  <w:pPr>
                    <w:jc w:val="center"/>
                    <w:rPr>
                      <w:color w:val="auto"/>
                      <w:sz w:val="21"/>
                      <w:szCs w:val="21"/>
                      <w:highlight w:val="none"/>
                    </w:rPr>
                  </w:pPr>
                  <w:r>
                    <w:rPr>
                      <w:color w:val="auto"/>
                      <w:sz w:val="21"/>
                      <w:szCs w:val="21"/>
                      <w:highlight w:val="none"/>
                    </w:rPr>
                    <w:t>规范要求</w:t>
                  </w:r>
                </w:p>
              </w:tc>
              <w:tc>
                <w:tcPr>
                  <w:tcW w:w="2700" w:type="dxa"/>
                  <w:noWrap w:val="0"/>
                  <w:vAlign w:val="center"/>
                </w:tcPr>
                <w:p w14:paraId="1606C5A2">
                  <w:pPr>
                    <w:jc w:val="center"/>
                    <w:rPr>
                      <w:color w:val="auto"/>
                      <w:sz w:val="21"/>
                      <w:szCs w:val="21"/>
                      <w:highlight w:val="none"/>
                    </w:rPr>
                  </w:pPr>
                  <w:r>
                    <w:rPr>
                      <w:color w:val="auto"/>
                      <w:sz w:val="21"/>
                      <w:szCs w:val="21"/>
                      <w:highlight w:val="none"/>
                    </w:rPr>
                    <w:t>项目选址情况</w:t>
                  </w:r>
                </w:p>
              </w:tc>
              <w:tc>
                <w:tcPr>
                  <w:tcW w:w="952" w:type="dxa"/>
                  <w:noWrap w:val="0"/>
                  <w:vAlign w:val="center"/>
                </w:tcPr>
                <w:p w14:paraId="08F6EC49">
                  <w:pPr>
                    <w:jc w:val="center"/>
                    <w:rPr>
                      <w:color w:val="auto"/>
                      <w:sz w:val="21"/>
                      <w:szCs w:val="21"/>
                      <w:highlight w:val="none"/>
                    </w:rPr>
                  </w:pPr>
                  <w:r>
                    <w:rPr>
                      <w:rFonts w:hint="eastAsia"/>
                      <w:color w:val="auto"/>
                      <w:sz w:val="21"/>
                      <w:szCs w:val="21"/>
                      <w:highlight w:val="none"/>
                    </w:rPr>
                    <w:t>符合</w:t>
                  </w:r>
                  <w:r>
                    <w:rPr>
                      <w:color w:val="auto"/>
                      <w:sz w:val="21"/>
                      <w:szCs w:val="21"/>
                      <w:highlight w:val="none"/>
                    </w:rPr>
                    <w:t>性</w:t>
                  </w:r>
                </w:p>
              </w:tc>
            </w:tr>
            <w:tr w14:paraId="04D7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jc w:val="center"/>
              </w:trPr>
              <w:tc>
                <w:tcPr>
                  <w:tcW w:w="1433" w:type="dxa"/>
                  <w:vMerge w:val="restart"/>
                  <w:noWrap w:val="0"/>
                  <w:vAlign w:val="center"/>
                </w:tcPr>
                <w:p w14:paraId="5B42944A">
                  <w:pPr>
                    <w:jc w:val="center"/>
                    <w:rPr>
                      <w:color w:val="auto"/>
                      <w:sz w:val="21"/>
                      <w:szCs w:val="21"/>
                      <w:highlight w:val="none"/>
                    </w:rPr>
                  </w:pPr>
                  <w:r>
                    <w:rPr>
                      <w:rFonts w:hint="eastAsia"/>
                      <w:color w:val="auto"/>
                      <w:sz w:val="21"/>
                      <w:szCs w:val="21"/>
                      <w:highlight w:val="none"/>
                    </w:rPr>
                    <w:t>选址符合性分析</w:t>
                  </w:r>
                </w:p>
              </w:tc>
              <w:tc>
                <w:tcPr>
                  <w:tcW w:w="3300" w:type="dxa"/>
                  <w:noWrap w:val="0"/>
                  <w:vAlign w:val="center"/>
                </w:tcPr>
                <w:p w14:paraId="4A20DDD2">
                  <w:pPr>
                    <w:jc w:val="left"/>
                    <w:rPr>
                      <w:color w:val="auto"/>
                      <w:sz w:val="21"/>
                      <w:szCs w:val="21"/>
                      <w:highlight w:val="none"/>
                    </w:rPr>
                  </w:pPr>
                  <w:r>
                    <w:rPr>
                      <w:color w:val="auto"/>
                      <w:sz w:val="21"/>
                      <w:szCs w:val="21"/>
                      <w:highlight w:val="none"/>
                    </w:rPr>
                    <w:t>厂区不应选择对食品有显著污染的区域。如某地对食品安全和食品宜食用性存在明显的不利影响，且无法通过采取措施加以改善，应避免在该地址建</w:t>
                  </w:r>
                </w:p>
              </w:tc>
              <w:tc>
                <w:tcPr>
                  <w:tcW w:w="2700" w:type="dxa"/>
                  <w:noWrap w:val="0"/>
                  <w:vAlign w:val="center"/>
                </w:tcPr>
                <w:p w14:paraId="2888FCC8">
                  <w:pPr>
                    <w:jc w:val="left"/>
                    <w:rPr>
                      <w:rFonts w:hint="eastAsia"/>
                      <w:color w:val="auto"/>
                      <w:sz w:val="21"/>
                      <w:szCs w:val="21"/>
                      <w:highlight w:val="none"/>
                    </w:rPr>
                  </w:pPr>
                  <w:r>
                    <w:rPr>
                      <w:color w:val="auto"/>
                      <w:sz w:val="21"/>
                      <w:szCs w:val="21"/>
                      <w:highlight w:val="none"/>
                    </w:rPr>
                    <w:t>本项目</w:t>
                  </w:r>
                  <w:r>
                    <w:rPr>
                      <w:rFonts w:hint="eastAsia"/>
                      <w:color w:val="auto"/>
                      <w:sz w:val="21"/>
                      <w:szCs w:val="21"/>
                      <w:highlight w:val="none"/>
                    </w:rPr>
                    <w:t>位于陕西洋县经济技术开发区中的区块一中的绿色有机产业园，不属于对</w:t>
                  </w:r>
                  <w:r>
                    <w:rPr>
                      <w:color w:val="auto"/>
                      <w:sz w:val="21"/>
                      <w:szCs w:val="21"/>
                      <w:highlight w:val="none"/>
                    </w:rPr>
                    <w:t>食品有显著污染的区域</w:t>
                  </w:r>
                </w:p>
                <w:p w14:paraId="7475BFE3">
                  <w:pPr>
                    <w:jc w:val="left"/>
                    <w:rPr>
                      <w:color w:val="auto"/>
                      <w:sz w:val="21"/>
                      <w:szCs w:val="21"/>
                      <w:highlight w:val="none"/>
                    </w:rPr>
                  </w:pPr>
                </w:p>
              </w:tc>
              <w:tc>
                <w:tcPr>
                  <w:tcW w:w="952" w:type="dxa"/>
                  <w:noWrap w:val="0"/>
                  <w:vAlign w:val="center"/>
                </w:tcPr>
                <w:p w14:paraId="57F5DF92">
                  <w:pPr>
                    <w:jc w:val="center"/>
                    <w:rPr>
                      <w:color w:val="auto"/>
                      <w:sz w:val="21"/>
                      <w:szCs w:val="21"/>
                      <w:highlight w:val="none"/>
                    </w:rPr>
                  </w:pPr>
                  <w:r>
                    <w:rPr>
                      <w:color w:val="auto"/>
                      <w:sz w:val="21"/>
                      <w:szCs w:val="21"/>
                      <w:highlight w:val="none"/>
                    </w:rPr>
                    <w:t>相符合</w:t>
                  </w:r>
                </w:p>
              </w:tc>
            </w:tr>
            <w:tr w14:paraId="6A56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433" w:type="dxa"/>
                  <w:vMerge w:val="continue"/>
                  <w:noWrap w:val="0"/>
                  <w:vAlign w:val="center"/>
                </w:tcPr>
                <w:p w14:paraId="0B9A70A3">
                  <w:pPr>
                    <w:jc w:val="center"/>
                    <w:rPr>
                      <w:color w:val="auto"/>
                      <w:sz w:val="21"/>
                      <w:szCs w:val="21"/>
                      <w:highlight w:val="none"/>
                    </w:rPr>
                  </w:pPr>
                </w:p>
              </w:tc>
              <w:tc>
                <w:tcPr>
                  <w:tcW w:w="3300" w:type="dxa"/>
                  <w:noWrap w:val="0"/>
                  <w:vAlign w:val="center"/>
                </w:tcPr>
                <w:p w14:paraId="3ACF8DD4">
                  <w:pPr>
                    <w:jc w:val="left"/>
                    <w:rPr>
                      <w:color w:val="auto"/>
                      <w:sz w:val="21"/>
                      <w:szCs w:val="21"/>
                      <w:highlight w:val="none"/>
                    </w:rPr>
                  </w:pPr>
                  <w:r>
                    <w:rPr>
                      <w:color w:val="auto"/>
                      <w:sz w:val="21"/>
                      <w:szCs w:val="21"/>
                      <w:highlight w:val="none"/>
                    </w:rPr>
                    <w:t>厂区不应选择有害废弃物以及粉尘、有害气体、放射性物质和其他扩散性污染源不能有效清除的地址</w:t>
                  </w:r>
                </w:p>
              </w:tc>
              <w:tc>
                <w:tcPr>
                  <w:tcW w:w="2700" w:type="dxa"/>
                  <w:noWrap w:val="0"/>
                  <w:vAlign w:val="center"/>
                </w:tcPr>
                <w:p w14:paraId="3F94FA95">
                  <w:pPr>
                    <w:adjustRightInd w:val="0"/>
                    <w:snapToGrid w:val="0"/>
                    <w:jc w:val="left"/>
                    <w:rPr>
                      <w:color w:val="auto"/>
                      <w:sz w:val="21"/>
                      <w:szCs w:val="21"/>
                      <w:highlight w:val="none"/>
                    </w:rPr>
                  </w:pPr>
                  <w:r>
                    <w:rPr>
                      <w:rFonts w:hint="eastAsia"/>
                      <w:color w:val="auto"/>
                      <w:sz w:val="21"/>
                      <w:szCs w:val="21"/>
                      <w:highlight w:val="none"/>
                    </w:rPr>
                    <w:t>本项目位于陕西洋县经济技术开发区中的区块一中的绿色有机产业园，不属于有害废弃物以及粉尘、有害气体、放射性物质和其他扩散性污染源不能有效清除的区域</w:t>
                  </w:r>
                </w:p>
              </w:tc>
              <w:tc>
                <w:tcPr>
                  <w:tcW w:w="952" w:type="dxa"/>
                  <w:noWrap w:val="0"/>
                  <w:vAlign w:val="center"/>
                </w:tcPr>
                <w:p w14:paraId="1C3910FB">
                  <w:pPr>
                    <w:jc w:val="center"/>
                    <w:rPr>
                      <w:color w:val="auto"/>
                      <w:sz w:val="21"/>
                      <w:szCs w:val="21"/>
                      <w:highlight w:val="none"/>
                    </w:rPr>
                  </w:pPr>
                  <w:r>
                    <w:rPr>
                      <w:rFonts w:hint="eastAsia"/>
                      <w:color w:val="auto"/>
                      <w:sz w:val="21"/>
                      <w:szCs w:val="21"/>
                      <w:highlight w:val="none"/>
                    </w:rPr>
                    <w:t>不冲突</w:t>
                  </w:r>
                </w:p>
              </w:tc>
            </w:tr>
            <w:tr w14:paraId="32FB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433" w:type="dxa"/>
                  <w:vMerge w:val="continue"/>
                  <w:noWrap w:val="0"/>
                  <w:vAlign w:val="center"/>
                </w:tcPr>
                <w:p w14:paraId="32AC0CF0">
                  <w:pPr>
                    <w:jc w:val="center"/>
                    <w:rPr>
                      <w:color w:val="auto"/>
                      <w:sz w:val="21"/>
                      <w:szCs w:val="21"/>
                      <w:highlight w:val="none"/>
                    </w:rPr>
                  </w:pPr>
                </w:p>
              </w:tc>
              <w:tc>
                <w:tcPr>
                  <w:tcW w:w="3300" w:type="dxa"/>
                  <w:noWrap w:val="0"/>
                  <w:vAlign w:val="center"/>
                </w:tcPr>
                <w:p w14:paraId="65751247">
                  <w:pPr>
                    <w:jc w:val="left"/>
                    <w:rPr>
                      <w:color w:val="auto"/>
                      <w:sz w:val="21"/>
                      <w:szCs w:val="21"/>
                      <w:highlight w:val="none"/>
                    </w:rPr>
                  </w:pPr>
                  <w:r>
                    <w:rPr>
                      <w:color w:val="auto"/>
                      <w:sz w:val="21"/>
                      <w:szCs w:val="21"/>
                      <w:highlight w:val="none"/>
                    </w:rPr>
                    <w:t>厂区不宜选择易发生洪涝灾害的地区，难以避开时应设计必要的防范措施</w:t>
                  </w:r>
                </w:p>
              </w:tc>
              <w:tc>
                <w:tcPr>
                  <w:tcW w:w="2700" w:type="dxa"/>
                  <w:noWrap w:val="0"/>
                  <w:vAlign w:val="center"/>
                </w:tcPr>
                <w:p w14:paraId="556C0F49">
                  <w:pPr>
                    <w:jc w:val="left"/>
                    <w:rPr>
                      <w:color w:val="auto"/>
                      <w:sz w:val="21"/>
                      <w:szCs w:val="21"/>
                      <w:highlight w:val="none"/>
                    </w:rPr>
                  </w:pPr>
                  <w:r>
                    <w:rPr>
                      <w:color w:val="auto"/>
                      <w:sz w:val="21"/>
                      <w:szCs w:val="21"/>
                      <w:highlight w:val="none"/>
                    </w:rPr>
                    <w:t>本</w:t>
                  </w:r>
                  <w:r>
                    <w:rPr>
                      <w:rFonts w:hint="eastAsia"/>
                      <w:color w:val="auto"/>
                      <w:sz w:val="21"/>
                      <w:szCs w:val="21"/>
                      <w:highlight w:val="none"/>
                    </w:rPr>
                    <w:t>项目位于陕西洋县经济技术开发区中的区块一中的绿色有机产业园，</w:t>
                  </w:r>
                  <w:r>
                    <w:rPr>
                      <w:color w:val="auto"/>
                      <w:sz w:val="21"/>
                      <w:szCs w:val="21"/>
                      <w:highlight w:val="none"/>
                    </w:rPr>
                    <w:t>不</w:t>
                  </w:r>
                  <w:r>
                    <w:rPr>
                      <w:rFonts w:hint="eastAsia"/>
                      <w:color w:val="auto"/>
                      <w:sz w:val="21"/>
                      <w:szCs w:val="21"/>
                      <w:highlight w:val="none"/>
                    </w:rPr>
                    <w:t>属于</w:t>
                  </w:r>
                  <w:r>
                    <w:rPr>
                      <w:color w:val="auto"/>
                      <w:sz w:val="21"/>
                      <w:szCs w:val="21"/>
                      <w:highlight w:val="none"/>
                    </w:rPr>
                    <w:t>易发生洪涝灾害的地区</w:t>
                  </w:r>
                </w:p>
              </w:tc>
              <w:tc>
                <w:tcPr>
                  <w:tcW w:w="952" w:type="dxa"/>
                  <w:noWrap w:val="0"/>
                  <w:vAlign w:val="center"/>
                </w:tcPr>
                <w:p w14:paraId="55234E46">
                  <w:pPr>
                    <w:jc w:val="center"/>
                    <w:rPr>
                      <w:color w:val="auto"/>
                      <w:sz w:val="21"/>
                      <w:szCs w:val="21"/>
                      <w:highlight w:val="none"/>
                    </w:rPr>
                  </w:pPr>
                  <w:r>
                    <w:rPr>
                      <w:color w:val="auto"/>
                      <w:sz w:val="21"/>
                      <w:szCs w:val="21"/>
                      <w:highlight w:val="none"/>
                    </w:rPr>
                    <w:t>相符合</w:t>
                  </w:r>
                </w:p>
              </w:tc>
            </w:tr>
            <w:tr w14:paraId="5F9A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433" w:type="dxa"/>
                  <w:vMerge w:val="continue"/>
                  <w:noWrap w:val="0"/>
                  <w:vAlign w:val="center"/>
                </w:tcPr>
                <w:p w14:paraId="41082467">
                  <w:pPr>
                    <w:jc w:val="center"/>
                    <w:rPr>
                      <w:color w:val="auto"/>
                      <w:sz w:val="21"/>
                      <w:szCs w:val="21"/>
                      <w:highlight w:val="none"/>
                    </w:rPr>
                  </w:pPr>
                </w:p>
              </w:tc>
              <w:tc>
                <w:tcPr>
                  <w:tcW w:w="3300" w:type="dxa"/>
                  <w:noWrap w:val="0"/>
                  <w:vAlign w:val="center"/>
                </w:tcPr>
                <w:p w14:paraId="665B1004">
                  <w:pPr>
                    <w:jc w:val="left"/>
                    <w:rPr>
                      <w:color w:val="auto"/>
                      <w:sz w:val="21"/>
                      <w:szCs w:val="21"/>
                      <w:highlight w:val="none"/>
                    </w:rPr>
                  </w:pPr>
                  <w:r>
                    <w:rPr>
                      <w:color w:val="auto"/>
                      <w:sz w:val="21"/>
                      <w:szCs w:val="21"/>
                      <w:highlight w:val="none"/>
                    </w:rPr>
                    <w:t>厂区周围不宜有虫害大量孳生的潜在场所，难以避开时应设计必要的防范措施</w:t>
                  </w:r>
                </w:p>
              </w:tc>
              <w:tc>
                <w:tcPr>
                  <w:tcW w:w="2700" w:type="dxa"/>
                  <w:noWrap w:val="0"/>
                  <w:vAlign w:val="center"/>
                </w:tcPr>
                <w:p w14:paraId="07DB8DB5">
                  <w:pPr>
                    <w:jc w:val="left"/>
                    <w:rPr>
                      <w:color w:val="auto"/>
                      <w:sz w:val="21"/>
                      <w:szCs w:val="21"/>
                      <w:highlight w:val="none"/>
                    </w:rPr>
                  </w:pPr>
                  <w:r>
                    <w:rPr>
                      <w:rFonts w:hint="eastAsia"/>
                      <w:color w:val="auto"/>
                      <w:sz w:val="21"/>
                      <w:szCs w:val="21"/>
                      <w:highlight w:val="none"/>
                      <w:lang w:eastAsia="zh-CN"/>
                    </w:rPr>
                    <w:t>项目</w:t>
                  </w:r>
                  <w:r>
                    <w:rPr>
                      <w:color w:val="auto"/>
                      <w:sz w:val="21"/>
                      <w:szCs w:val="21"/>
                      <w:highlight w:val="none"/>
                    </w:rPr>
                    <w:t>厂区周围</w:t>
                  </w:r>
                  <w:r>
                    <w:rPr>
                      <w:rFonts w:hint="eastAsia"/>
                      <w:color w:val="auto"/>
                      <w:sz w:val="21"/>
                      <w:szCs w:val="21"/>
                      <w:highlight w:val="none"/>
                    </w:rPr>
                    <w:t>不涉及</w:t>
                  </w:r>
                  <w:r>
                    <w:rPr>
                      <w:color w:val="auto"/>
                      <w:sz w:val="21"/>
                      <w:szCs w:val="21"/>
                      <w:highlight w:val="none"/>
                    </w:rPr>
                    <w:t>虫害大量孳生的潜在场所</w:t>
                  </w:r>
                  <w:r>
                    <w:rPr>
                      <w:rFonts w:hint="eastAsia"/>
                      <w:color w:val="auto"/>
                      <w:sz w:val="21"/>
                      <w:szCs w:val="21"/>
                      <w:highlight w:val="none"/>
                    </w:rPr>
                    <w:t>，</w:t>
                  </w:r>
                  <w:r>
                    <w:rPr>
                      <w:color w:val="auto"/>
                      <w:sz w:val="21"/>
                      <w:szCs w:val="21"/>
                      <w:highlight w:val="none"/>
                    </w:rPr>
                    <w:t>不会大量滋生虫害</w:t>
                  </w:r>
                </w:p>
              </w:tc>
              <w:tc>
                <w:tcPr>
                  <w:tcW w:w="952" w:type="dxa"/>
                  <w:noWrap w:val="0"/>
                  <w:vAlign w:val="center"/>
                </w:tcPr>
                <w:p w14:paraId="738BAAFD">
                  <w:pPr>
                    <w:jc w:val="center"/>
                    <w:rPr>
                      <w:color w:val="auto"/>
                      <w:sz w:val="21"/>
                      <w:szCs w:val="21"/>
                      <w:highlight w:val="none"/>
                    </w:rPr>
                  </w:pPr>
                  <w:r>
                    <w:rPr>
                      <w:color w:val="auto"/>
                      <w:sz w:val="21"/>
                      <w:szCs w:val="21"/>
                      <w:highlight w:val="none"/>
                    </w:rPr>
                    <w:t>相符合</w:t>
                  </w:r>
                </w:p>
              </w:tc>
            </w:tr>
            <w:tr w14:paraId="0B2B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433" w:type="dxa"/>
                  <w:vMerge w:val="restart"/>
                  <w:noWrap w:val="0"/>
                  <w:vAlign w:val="center"/>
                </w:tcPr>
                <w:p w14:paraId="79B41F35">
                  <w:pPr>
                    <w:jc w:val="center"/>
                    <w:rPr>
                      <w:color w:val="auto"/>
                      <w:sz w:val="21"/>
                      <w:szCs w:val="21"/>
                      <w:highlight w:val="none"/>
                    </w:rPr>
                  </w:pPr>
                  <w:r>
                    <w:rPr>
                      <w:rFonts w:hint="eastAsia"/>
                      <w:color w:val="auto"/>
                      <w:sz w:val="21"/>
                      <w:szCs w:val="21"/>
                      <w:highlight w:val="none"/>
                      <w:lang w:eastAsia="zh-CN"/>
                    </w:rPr>
                    <w:t>厂区环境</w:t>
                  </w:r>
                  <w:r>
                    <w:rPr>
                      <w:rFonts w:hint="eastAsia"/>
                      <w:color w:val="auto"/>
                      <w:sz w:val="21"/>
                      <w:szCs w:val="21"/>
                      <w:highlight w:val="none"/>
                    </w:rPr>
                    <w:t>符合性分析</w:t>
                  </w:r>
                </w:p>
              </w:tc>
              <w:tc>
                <w:tcPr>
                  <w:tcW w:w="3300" w:type="dxa"/>
                  <w:noWrap w:val="0"/>
                  <w:vAlign w:val="center"/>
                </w:tcPr>
                <w:p w14:paraId="7F9C04C0">
                  <w:pPr>
                    <w:jc w:val="left"/>
                    <w:rPr>
                      <w:color w:val="auto"/>
                      <w:sz w:val="21"/>
                      <w:szCs w:val="21"/>
                      <w:highlight w:val="none"/>
                    </w:rPr>
                  </w:pPr>
                  <w:r>
                    <w:rPr>
                      <w:rFonts w:hint="eastAsia"/>
                      <w:color w:val="auto"/>
                      <w:sz w:val="21"/>
                      <w:szCs w:val="21"/>
                      <w:highlight w:val="none"/>
                    </w:rPr>
                    <w:t>应考虑环境给食品生产带来的污染风险，并采取适当的措施将其降至最低水平</w:t>
                  </w:r>
                </w:p>
              </w:tc>
              <w:tc>
                <w:tcPr>
                  <w:tcW w:w="2700" w:type="dxa"/>
                  <w:noWrap w:val="0"/>
                  <w:vAlign w:val="center"/>
                </w:tcPr>
                <w:p w14:paraId="2F3A4FAA">
                  <w:pPr>
                    <w:jc w:val="left"/>
                    <w:rPr>
                      <w:color w:val="auto"/>
                      <w:sz w:val="21"/>
                      <w:szCs w:val="21"/>
                      <w:highlight w:val="none"/>
                    </w:rPr>
                  </w:pPr>
                  <w:r>
                    <w:rPr>
                      <w:rFonts w:hint="eastAsia"/>
                      <w:color w:val="auto"/>
                      <w:sz w:val="21"/>
                      <w:szCs w:val="21"/>
                      <w:highlight w:val="none"/>
                    </w:rPr>
                    <w:t>项目生产车间采用封闭处理，最大程度上降低环境给食品生产带来的污染风险</w:t>
                  </w:r>
                </w:p>
              </w:tc>
              <w:tc>
                <w:tcPr>
                  <w:tcW w:w="952" w:type="dxa"/>
                  <w:noWrap w:val="0"/>
                  <w:vAlign w:val="center"/>
                </w:tcPr>
                <w:p w14:paraId="61203645">
                  <w:pPr>
                    <w:jc w:val="center"/>
                    <w:rPr>
                      <w:color w:val="auto"/>
                      <w:sz w:val="21"/>
                      <w:szCs w:val="21"/>
                      <w:highlight w:val="none"/>
                    </w:rPr>
                  </w:pPr>
                  <w:r>
                    <w:rPr>
                      <w:rFonts w:hint="eastAsia"/>
                      <w:color w:val="auto"/>
                      <w:sz w:val="21"/>
                      <w:szCs w:val="21"/>
                      <w:highlight w:val="none"/>
                    </w:rPr>
                    <w:t>相符合</w:t>
                  </w:r>
                </w:p>
              </w:tc>
            </w:tr>
            <w:tr w14:paraId="3EAC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433" w:type="dxa"/>
                  <w:vMerge w:val="continue"/>
                  <w:noWrap w:val="0"/>
                  <w:vAlign w:val="center"/>
                </w:tcPr>
                <w:p w14:paraId="690E2E7C">
                  <w:pPr>
                    <w:jc w:val="center"/>
                    <w:rPr>
                      <w:color w:val="auto"/>
                      <w:sz w:val="21"/>
                      <w:szCs w:val="21"/>
                      <w:highlight w:val="none"/>
                    </w:rPr>
                  </w:pPr>
                </w:p>
              </w:tc>
              <w:tc>
                <w:tcPr>
                  <w:tcW w:w="3300" w:type="dxa"/>
                  <w:noWrap w:val="0"/>
                  <w:vAlign w:val="center"/>
                </w:tcPr>
                <w:p w14:paraId="1C958D10">
                  <w:pPr>
                    <w:jc w:val="left"/>
                    <w:rPr>
                      <w:color w:val="auto"/>
                      <w:sz w:val="21"/>
                      <w:szCs w:val="21"/>
                      <w:highlight w:val="none"/>
                    </w:rPr>
                  </w:pPr>
                  <w:r>
                    <w:rPr>
                      <w:rFonts w:hint="eastAsia"/>
                      <w:color w:val="auto"/>
                      <w:sz w:val="21"/>
                      <w:szCs w:val="21"/>
                      <w:highlight w:val="none"/>
                    </w:rPr>
                    <w:t>厂区应合理布局，各功能区域划分明显，并有适当的分离或分隔措施，防止交叉污染</w:t>
                  </w:r>
                </w:p>
              </w:tc>
              <w:tc>
                <w:tcPr>
                  <w:tcW w:w="2700" w:type="dxa"/>
                  <w:noWrap w:val="0"/>
                  <w:vAlign w:val="center"/>
                </w:tcPr>
                <w:p w14:paraId="745FA895">
                  <w:pPr>
                    <w:jc w:val="left"/>
                    <w:rPr>
                      <w:color w:val="auto"/>
                      <w:sz w:val="21"/>
                      <w:szCs w:val="21"/>
                      <w:highlight w:val="none"/>
                    </w:rPr>
                  </w:pPr>
                  <w:r>
                    <w:rPr>
                      <w:rFonts w:hint="eastAsia"/>
                      <w:color w:val="auto"/>
                      <w:sz w:val="21"/>
                      <w:szCs w:val="21"/>
                      <w:highlight w:val="none"/>
                    </w:rPr>
                    <w:t>厂区划分为生产区、办公生活区，布局合理，不会产生交叉污染</w:t>
                  </w:r>
                </w:p>
              </w:tc>
              <w:tc>
                <w:tcPr>
                  <w:tcW w:w="952" w:type="dxa"/>
                  <w:noWrap w:val="0"/>
                  <w:vAlign w:val="center"/>
                </w:tcPr>
                <w:p w14:paraId="4A6EAD12">
                  <w:pPr>
                    <w:jc w:val="center"/>
                    <w:rPr>
                      <w:color w:val="auto"/>
                      <w:sz w:val="21"/>
                      <w:szCs w:val="21"/>
                      <w:highlight w:val="none"/>
                    </w:rPr>
                  </w:pPr>
                  <w:r>
                    <w:rPr>
                      <w:rFonts w:hint="eastAsia"/>
                      <w:color w:val="auto"/>
                      <w:sz w:val="21"/>
                      <w:szCs w:val="21"/>
                      <w:highlight w:val="none"/>
                    </w:rPr>
                    <w:t>相符合</w:t>
                  </w:r>
                </w:p>
              </w:tc>
            </w:tr>
            <w:tr w14:paraId="3ADE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433" w:type="dxa"/>
                  <w:vMerge w:val="continue"/>
                  <w:noWrap w:val="0"/>
                  <w:vAlign w:val="center"/>
                </w:tcPr>
                <w:p w14:paraId="2F3D3415">
                  <w:pPr>
                    <w:jc w:val="center"/>
                    <w:rPr>
                      <w:color w:val="auto"/>
                      <w:sz w:val="21"/>
                      <w:szCs w:val="21"/>
                      <w:highlight w:val="none"/>
                    </w:rPr>
                  </w:pPr>
                </w:p>
              </w:tc>
              <w:tc>
                <w:tcPr>
                  <w:tcW w:w="3300" w:type="dxa"/>
                  <w:noWrap w:val="0"/>
                  <w:vAlign w:val="center"/>
                </w:tcPr>
                <w:p w14:paraId="70CFB76C">
                  <w:pPr>
                    <w:jc w:val="left"/>
                    <w:rPr>
                      <w:color w:val="auto"/>
                      <w:sz w:val="21"/>
                      <w:szCs w:val="21"/>
                      <w:highlight w:val="none"/>
                    </w:rPr>
                  </w:pPr>
                  <w:r>
                    <w:rPr>
                      <w:rFonts w:hint="eastAsia"/>
                      <w:color w:val="auto"/>
                      <w:sz w:val="21"/>
                      <w:szCs w:val="21"/>
                      <w:highlight w:val="none"/>
                    </w:rPr>
                    <w:t>厂区内的道路应铺设混凝土、沥青</w:t>
                  </w:r>
                  <w:r>
                    <w:rPr>
                      <w:rFonts w:hint="eastAsia"/>
                      <w:color w:val="auto"/>
                      <w:sz w:val="21"/>
                      <w:szCs w:val="21"/>
                      <w:highlight w:val="none"/>
                      <w:lang w:eastAsia="zh-CN"/>
                    </w:rPr>
                    <w:t>，或者</w:t>
                  </w:r>
                  <w:r>
                    <w:rPr>
                      <w:rFonts w:hint="eastAsia"/>
                      <w:color w:val="auto"/>
                      <w:sz w:val="21"/>
                      <w:szCs w:val="21"/>
                      <w:highlight w:val="none"/>
                    </w:rPr>
                    <w:t>其他硬质材料；空地应采取必要措施，</w:t>
                  </w:r>
                  <w:r>
                    <w:rPr>
                      <w:rFonts w:hint="eastAsia"/>
                      <w:color w:val="auto"/>
                      <w:sz w:val="21"/>
                      <w:szCs w:val="21"/>
                      <w:highlight w:val="none"/>
                      <w:lang w:eastAsia="zh-CN"/>
                    </w:rPr>
                    <w:t>如</w:t>
                  </w:r>
                  <w:r>
                    <w:rPr>
                      <w:rFonts w:hint="eastAsia"/>
                      <w:color w:val="auto"/>
                      <w:sz w:val="21"/>
                      <w:szCs w:val="21"/>
                      <w:highlight w:val="none"/>
                    </w:rPr>
                    <w:t>铺设水泥、地砖或铺设草坪</w:t>
                  </w:r>
                  <w:r>
                    <w:rPr>
                      <w:rFonts w:hint="eastAsia"/>
                      <w:color w:val="auto"/>
                      <w:sz w:val="21"/>
                      <w:szCs w:val="21"/>
                      <w:highlight w:val="none"/>
                      <w:lang w:eastAsia="zh-CN"/>
                    </w:rPr>
                    <w:t>等</w:t>
                  </w:r>
                  <w:r>
                    <w:rPr>
                      <w:rFonts w:hint="eastAsia"/>
                      <w:color w:val="auto"/>
                      <w:sz w:val="21"/>
                      <w:szCs w:val="21"/>
                      <w:highlight w:val="none"/>
                    </w:rPr>
                    <w:t>方式，保持环境清洁，防止正常天气下扬尘和积水等现象的发生</w:t>
                  </w:r>
                </w:p>
              </w:tc>
              <w:tc>
                <w:tcPr>
                  <w:tcW w:w="2700" w:type="dxa"/>
                  <w:noWrap w:val="0"/>
                  <w:vAlign w:val="center"/>
                </w:tcPr>
                <w:p w14:paraId="0C456AF1">
                  <w:pPr>
                    <w:jc w:val="left"/>
                    <w:rPr>
                      <w:color w:val="auto"/>
                      <w:sz w:val="21"/>
                      <w:szCs w:val="21"/>
                      <w:highlight w:val="none"/>
                    </w:rPr>
                  </w:pPr>
                  <w:r>
                    <w:rPr>
                      <w:rFonts w:hint="eastAsia"/>
                      <w:color w:val="auto"/>
                      <w:sz w:val="21"/>
                      <w:szCs w:val="21"/>
                      <w:highlight w:val="none"/>
                    </w:rPr>
                    <w:t>本项目厂区道路</w:t>
                  </w:r>
                  <w:r>
                    <w:rPr>
                      <w:rFonts w:hint="eastAsia"/>
                      <w:color w:val="auto"/>
                      <w:sz w:val="21"/>
                      <w:szCs w:val="21"/>
                      <w:highlight w:val="none"/>
                      <w:lang w:eastAsia="zh-CN"/>
                    </w:rPr>
                    <w:t>后期拟</w:t>
                  </w:r>
                  <w:r>
                    <w:rPr>
                      <w:rFonts w:hint="eastAsia"/>
                      <w:color w:val="auto"/>
                      <w:sz w:val="21"/>
                      <w:szCs w:val="21"/>
                      <w:highlight w:val="none"/>
                    </w:rPr>
                    <w:t>进行硬化处理，运营过程中能保持环境清洁，防止正常天气下扬尘和积水等现象的发生</w:t>
                  </w:r>
                </w:p>
              </w:tc>
              <w:tc>
                <w:tcPr>
                  <w:tcW w:w="952" w:type="dxa"/>
                  <w:noWrap w:val="0"/>
                  <w:vAlign w:val="center"/>
                </w:tcPr>
                <w:p w14:paraId="75D76A88">
                  <w:pPr>
                    <w:jc w:val="center"/>
                    <w:rPr>
                      <w:color w:val="auto"/>
                      <w:sz w:val="21"/>
                      <w:szCs w:val="21"/>
                      <w:highlight w:val="none"/>
                    </w:rPr>
                  </w:pPr>
                  <w:r>
                    <w:rPr>
                      <w:rFonts w:hint="eastAsia"/>
                      <w:color w:val="auto"/>
                      <w:sz w:val="21"/>
                      <w:szCs w:val="21"/>
                      <w:highlight w:val="none"/>
                    </w:rPr>
                    <w:t>相符合</w:t>
                  </w:r>
                </w:p>
              </w:tc>
            </w:tr>
            <w:tr w14:paraId="550F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433" w:type="dxa"/>
                  <w:vMerge w:val="continue"/>
                  <w:noWrap w:val="0"/>
                  <w:vAlign w:val="center"/>
                </w:tcPr>
                <w:p w14:paraId="15CAC3F4">
                  <w:pPr>
                    <w:jc w:val="center"/>
                    <w:rPr>
                      <w:color w:val="auto"/>
                      <w:sz w:val="21"/>
                      <w:szCs w:val="21"/>
                      <w:highlight w:val="none"/>
                    </w:rPr>
                  </w:pPr>
                </w:p>
              </w:tc>
              <w:tc>
                <w:tcPr>
                  <w:tcW w:w="3300" w:type="dxa"/>
                  <w:noWrap w:val="0"/>
                  <w:vAlign w:val="center"/>
                </w:tcPr>
                <w:p w14:paraId="05EFF93A">
                  <w:pPr>
                    <w:jc w:val="left"/>
                    <w:rPr>
                      <w:color w:val="auto"/>
                      <w:sz w:val="21"/>
                      <w:szCs w:val="21"/>
                      <w:highlight w:val="none"/>
                    </w:rPr>
                  </w:pPr>
                  <w:r>
                    <w:rPr>
                      <w:rFonts w:hint="eastAsia"/>
                      <w:color w:val="auto"/>
                      <w:sz w:val="21"/>
                      <w:szCs w:val="21"/>
                      <w:highlight w:val="none"/>
                    </w:rPr>
                    <w:t>厂区绿化应与生产车间保持适当距离，植被应定期维护，以防止虫害的滋生</w:t>
                  </w:r>
                </w:p>
              </w:tc>
              <w:tc>
                <w:tcPr>
                  <w:tcW w:w="2700" w:type="dxa"/>
                  <w:noWrap w:val="0"/>
                  <w:vAlign w:val="center"/>
                </w:tcPr>
                <w:p w14:paraId="56D30372">
                  <w:pPr>
                    <w:jc w:val="left"/>
                    <w:rPr>
                      <w:color w:val="auto"/>
                      <w:sz w:val="21"/>
                      <w:szCs w:val="21"/>
                      <w:highlight w:val="none"/>
                    </w:rPr>
                  </w:pPr>
                  <w:r>
                    <w:rPr>
                      <w:rFonts w:hint="eastAsia"/>
                      <w:color w:val="auto"/>
                      <w:sz w:val="21"/>
                      <w:szCs w:val="21"/>
                      <w:highlight w:val="none"/>
                      <w:lang w:eastAsia="zh-CN"/>
                    </w:rPr>
                    <w:t>本项目车间外设置绿化区，同时其他区域也设置绿化区，</w:t>
                  </w:r>
                  <w:r>
                    <w:rPr>
                      <w:rFonts w:hint="eastAsia"/>
                      <w:color w:val="auto"/>
                      <w:sz w:val="21"/>
                      <w:szCs w:val="21"/>
                      <w:highlight w:val="none"/>
                    </w:rPr>
                    <w:t>与生产车间相距4m</w:t>
                  </w:r>
                  <w:r>
                    <w:rPr>
                      <w:rFonts w:hint="eastAsia"/>
                      <w:color w:val="auto"/>
                      <w:sz w:val="21"/>
                      <w:szCs w:val="21"/>
                      <w:highlight w:val="none"/>
                      <w:lang w:eastAsia="zh-CN"/>
                    </w:rPr>
                    <w:t>以上</w:t>
                  </w:r>
                  <w:r>
                    <w:rPr>
                      <w:rFonts w:hint="eastAsia"/>
                      <w:color w:val="auto"/>
                      <w:sz w:val="21"/>
                      <w:szCs w:val="21"/>
                      <w:highlight w:val="none"/>
                    </w:rPr>
                    <w:t>，</w:t>
                  </w:r>
                  <w:r>
                    <w:rPr>
                      <w:rFonts w:hint="eastAsia"/>
                      <w:color w:val="auto"/>
                      <w:sz w:val="21"/>
                      <w:szCs w:val="21"/>
                      <w:highlight w:val="none"/>
                      <w:lang w:eastAsia="zh-CN"/>
                    </w:rPr>
                    <w:t>后期</w:t>
                  </w:r>
                  <w:r>
                    <w:rPr>
                      <w:rFonts w:hint="eastAsia"/>
                      <w:color w:val="auto"/>
                      <w:sz w:val="21"/>
                      <w:szCs w:val="21"/>
                      <w:highlight w:val="none"/>
                    </w:rPr>
                    <w:t>有员工专门进行维护</w:t>
                  </w:r>
                </w:p>
              </w:tc>
              <w:tc>
                <w:tcPr>
                  <w:tcW w:w="952" w:type="dxa"/>
                  <w:noWrap w:val="0"/>
                  <w:vAlign w:val="center"/>
                </w:tcPr>
                <w:p w14:paraId="6D39EDCE">
                  <w:pPr>
                    <w:jc w:val="center"/>
                    <w:rPr>
                      <w:color w:val="auto"/>
                      <w:sz w:val="21"/>
                      <w:szCs w:val="21"/>
                      <w:highlight w:val="none"/>
                    </w:rPr>
                  </w:pPr>
                  <w:r>
                    <w:rPr>
                      <w:rFonts w:hint="eastAsia"/>
                      <w:color w:val="auto"/>
                      <w:sz w:val="21"/>
                      <w:szCs w:val="21"/>
                      <w:highlight w:val="none"/>
                    </w:rPr>
                    <w:t>相符合</w:t>
                  </w:r>
                </w:p>
              </w:tc>
            </w:tr>
            <w:tr w14:paraId="47A3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33" w:type="dxa"/>
                  <w:vMerge w:val="continue"/>
                  <w:noWrap w:val="0"/>
                  <w:vAlign w:val="center"/>
                </w:tcPr>
                <w:p w14:paraId="52433049">
                  <w:pPr>
                    <w:jc w:val="center"/>
                    <w:rPr>
                      <w:color w:val="auto"/>
                      <w:sz w:val="21"/>
                      <w:szCs w:val="21"/>
                      <w:highlight w:val="none"/>
                    </w:rPr>
                  </w:pPr>
                </w:p>
              </w:tc>
              <w:tc>
                <w:tcPr>
                  <w:tcW w:w="3300" w:type="dxa"/>
                  <w:noWrap w:val="0"/>
                  <w:vAlign w:val="center"/>
                </w:tcPr>
                <w:p w14:paraId="4B8E32B6">
                  <w:pPr>
                    <w:jc w:val="left"/>
                    <w:rPr>
                      <w:color w:val="auto"/>
                      <w:sz w:val="21"/>
                      <w:szCs w:val="21"/>
                      <w:highlight w:val="none"/>
                    </w:rPr>
                  </w:pPr>
                  <w:r>
                    <w:rPr>
                      <w:rFonts w:hint="eastAsia"/>
                      <w:color w:val="auto"/>
                      <w:sz w:val="21"/>
                      <w:szCs w:val="21"/>
                      <w:highlight w:val="none"/>
                    </w:rPr>
                    <w:t>厂区应有适当的排水系统</w:t>
                  </w:r>
                </w:p>
              </w:tc>
              <w:tc>
                <w:tcPr>
                  <w:tcW w:w="2700" w:type="dxa"/>
                  <w:noWrap w:val="0"/>
                  <w:vAlign w:val="center"/>
                </w:tcPr>
                <w:p w14:paraId="06534B23">
                  <w:pPr>
                    <w:jc w:val="left"/>
                    <w:rPr>
                      <w:color w:val="auto"/>
                      <w:sz w:val="21"/>
                      <w:szCs w:val="21"/>
                      <w:highlight w:val="none"/>
                    </w:rPr>
                  </w:pPr>
                  <w:r>
                    <w:rPr>
                      <w:rFonts w:hint="eastAsia"/>
                      <w:color w:val="auto"/>
                      <w:sz w:val="21"/>
                      <w:szCs w:val="21"/>
                      <w:highlight w:val="none"/>
                    </w:rPr>
                    <w:t>厂区有雨污分流系统</w:t>
                  </w:r>
                </w:p>
              </w:tc>
              <w:tc>
                <w:tcPr>
                  <w:tcW w:w="952" w:type="dxa"/>
                  <w:noWrap w:val="0"/>
                  <w:vAlign w:val="center"/>
                </w:tcPr>
                <w:p w14:paraId="76BC1287">
                  <w:pPr>
                    <w:jc w:val="center"/>
                    <w:rPr>
                      <w:color w:val="auto"/>
                      <w:sz w:val="21"/>
                      <w:szCs w:val="21"/>
                      <w:highlight w:val="none"/>
                    </w:rPr>
                  </w:pPr>
                  <w:r>
                    <w:rPr>
                      <w:rFonts w:hint="eastAsia"/>
                      <w:color w:val="auto"/>
                      <w:sz w:val="21"/>
                      <w:szCs w:val="21"/>
                      <w:highlight w:val="none"/>
                    </w:rPr>
                    <w:t>相符合</w:t>
                  </w:r>
                </w:p>
              </w:tc>
            </w:tr>
            <w:tr w14:paraId="7A70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33" w:type="dxa"/>
                  <w:vMerge w:val="continue"/>
                  <w:noWrap w:val="0"/>
                  <w:vAlign w:val="center"/>
                </w:tcPr>
                <w:p w14:paraId="7B0130BB">
                  <w:pPr>
                    <w:jc w:val="center"/>
                    <w:rPr>
                      <w:color w:val="auto"/>
                      <w:sz w:val="21"/>
                      <w:szCs w:val="21"/>
                      <w:highlight w:val="none"/>
                    </w:rPr>
                  </w:pPr>
                </w:p>
              </w:tc>
              <w:tc>
                <w:tcPr>
                  <w:tcW w:w="3300" w:type="dxa"/>
                  <w:noWrap w:val="0"/>
                  <w:vAlign w:val="center"/>
                </w:tcPr>
                <w:p w14:paraId="78680A8F">
                  <w:pPr>
                    <w:jc w:val="left"/>
                    <w:rPr>
                      <w:color w:val="auto"/>
                      <w:sz w:val="21"/>
                      <w:szCs w:val="21"/>
                      <w:highlight w:val="none"/>
                    </w:rPr>
                  </w:pPr>
                  <w:r>
                    <w:rPr>
                      <w:rFonts w:hint="eastAsia"/>
                      <w:color w:val="auto"/>
                      <w:sz w:val="21"/>
                      <w:szCs w:val="21"/>
                      <w:highlight w:val="none"/>
                    </w:rPr>
                    <w:t>宿舍、食堂、职工娱乐设施等生活区应与生产区保持适当距离或分隔</w:t>
                  </w:r>
                </w:p>
              </w:tc>
              <w:tc>
                <w:tcPr>
                  <w:tcW w:w="2700" w:type="dxa"/>
                  <w:noWrap w:val="0"/>
                  <w:vAlign w:val="center"/>
                </w:tcPr>
                <w:p w14:paraId="435982EA">
                  <w:pPr>
                    <w:jc w:val="left"/>
                    <w:rPr>
                      <w:color w:val="auto"/>
                      <w:sz w:val="21"/>
                      <w:szCs w:val="21"/>
                      <w:highlight w:val="none"/>
                    </w:rPr>
                  </w:pPr>
                  <w:r>
                    <w:rPr>
                      <w:rFonts w:hint="eastAsia"/>
                      <w:color w:val="auto"/>
                      <w:sz w:val="21"/>
                      <w:szCs w:val="21"/>
                      <w:highlight w:val="none"/>
                    </w:rPr>
                    <w:t>本项目生活区与生产车间分开布置</w:t>
                  </w:r>
                </w:p>
              </w:tc>
              <w:tc>
                <w:tcPr>
                  <w:tcW w:w="952" w:type="dxa"/>
                  <w:noWrap w:val="0"/>
                  <w:vAlign w:val="center"/>
                </w:tcPr>
                <w:p w14:paraId="095D875D">
                  <w:pPr>
                    <w:jc w:val="center"/>
                    <w:rPr>
                      <w:color w:val="auto"/>
                      <w:sz w:val="21"/>
                      <w:szCs w:val="21"/>
                      <w:highlight w:val="none"/>
                    </w:rPr>
                  </w:pPr>
                  <w:r>
                    <w:rPr>
                      <w:rFonts w:hint="eastAsia"/>
                      <w:color w:val="auto"/>
                      <w:sz w:val="21"/>
                      <w:szCs w:val="21"/>
                      <w:highlight w:val="none"/>
                    </w:rPr>
                    <w:t>相符合</w:t>
                  </w:r>
                </w:p>
              </w:tc>
            </w:tr>
          </w:tbl>
          <w:p w14:paraId="660840D1">
            <w:pPr>
              <w:pStyle w:val="43"/>
              <w:snapToGrid w:val="0"/>
              <w:spacing w:line="360" w:lineRule="auto"/>
              <w:ind w:firstLine="480" w:firstLineChars="200"/>
              <w:rPr>
                <w:rFonts w:hint="eastAsia" w:ascii="Times New Roman" w:eastAsia="宋体" w:cs="Times New Roman"/>
                <w:color w:val="auto"/>
                <w:highlight w:val="none"/>
                <w:lang w:eastAsia="zh-CN"/>
              </w:rPr>
            </w:pPr>
            <w:r>
              <w:rPr>
                <w:rFonts w:hint="eastAsia" w:ascii="Times New Roman" w:cs="Times New Roman"/>
                <w:color w:val="auto"/>
                <w:highlight w:val="none"/>
                <w:lang w:eastAsia="zh-CN"/>
              </w:rPr>
              <w:t>综上</w:t>
            </w:r>
            <w:r>
              <w:rPr>
                <w:rFonts w:hint="eastAsia" w:ascii="Times New Roman" w:eastAsia="宋体" w:cs="Times New Roman"/>
                <w:color w:val="auto"/>
                <w:highlight w:val="none"/>
                <w:lang w:eastAsia="zh-CN"/>
              </w:rPr>
              <w:t>，项目选址符合《食品企业通用卫生规范》（GB14881-2013）中的相关要求</w:t>
            </w:r>
            <w:r>
              <w:rPr>
                <w:rFonts w:hint="eastAsia" w:ascii="Times New Roman" w:cs="Times New Roman"/>
                <w:color w:val="auto"/>
                <w:highlight w:val="none"/>
                <w:lang w:eastAsia="zh-CN"/>
              </w:rPr>
              <w:t>。</w:t>
            </w:r>
          </w:p>
          <w:p w14:paraId="6894A496">
            <w:pPr>
              <w:pStyle w:val="43"/>
              <w:snapToGrid w:val="0"/>
              <w:spacing w:line="360" w:lineRule="auto"/>
              <w:ind w:firstLine="480" w:firstLineChars="200"/>
              <w:rPr>
                <w:rFonts w:ascii="Times New Roman" w:cs="Times New Roman"/>
                <w:color w:val="auto"/>
                <w:highlight w:val="none"/>
              </w:rPr>
            </w:pPr>
            <w:r>
              <w:rPr>
                <w:rFonts w:ascii="Times New Roman" w:cs="Times New Roman"/>
                <w:color w:val="auto"/>
                <w:highlight w:val="none"/>
              </w:rPr>
              <w:t>（</w:t>
            </w:r>
            <w:r>
              <w:rPr>
                <w:rFonts w:hint="eastAsia" w:ascii="Times New Roman" w:cs="Times New Roman"/>
                <w:color w:val="auto"/>
                <w:highlight w:val="none"/>
                <w:lang w:val="en-US" w:eastAsia="zh-CN"/>
              </w:rPr>
              <w:t>2</w:t>
            </w:r>
            <w:r>
              <w:rPr>
                <w:rFonts w:ascii="Times New Roman" w:cs="Times New Roman"/>
                <w:color w:val="auto"/>
                <w:highlight w:val="none"/>
              </w:rPr>
              <w:t>）本项目位于</w:t>
            </w:r>
            <w:r>
              <w:rPr>
                <w:rFonts w:hint="eastAsia" w:ascii="Times New Roman" w:cs="Times New Roman"/>
                <w:color w:val="auto"/>
                <w:highlight w:val="none"/>
              </w:rPr>
              <w:t>陕西洋县经济技术开发区内</w:t>
            </w:r>
            <w:r>
              <w:rPr>
                <w:rFonts w:hint="eastAsia" w:ascii="Times New Roman" w:cs="Times New Roman"/>
                <w:color w:val="auto"/>
                <w:highlight w:val="none"/>
                <w:lang w:eastAsia="zh-CN"/>
              </w:rPr>
              <w:t>，根据</w:t>
            </w:r>
            <w:r>
              <w:rPr>
                <w:rFonts w:hint="eastAsia" w:ascii="Times New Roman" w:hAnsi="Times New Roman" w:cs="Times New Roman"/>
                <w:color w:val="auto"/>
                <w:sz w:val="24"/>
                <w:szCs w:val="24"/>
                <w:highlight w:val="none"/>
                <w:lang w:eastAsia="zh-CN" w:bidi="ar"/>
              </w:rPr>
              <w:t>洋县自然资源局出具的项目建设用地规划许可证及</w:t>
            </w:r>
            <w:r>
              <w:rPr>
                <w:rFonts w:hint="eastAsia" w:ascii="Times New Roman" w:cs="Times New Roman"/>
                <w:color w:val="auto"/>
                <w:sz w:val="24"/>
                <w:szCs w:val="24"/>
                <w:highlight w:val="none"/>
              </w:rPr>
              <w:t>“</w:t>
            </w:r>
            <w:r>
              <w:rPr>
                <w:rFonts w:hint="eastAsia" w:ascii="Times New Roman" w:cs="Times New Roman"/>
                <w:color w:val="auto"/>
                <w:highlight w:val="none"/>
              </w:rPr>
              <w:t>陕西洋县经济技术开发区总体发展规划土地利用总体规划图（详见附图</w:t>
            </w:r>
            <w:r>
              <w:rPr>
                <w:rFonts w:hint="eastAsia" w:ascii="Times New Roman" w:cs="Times New Roman"/>
                <w:color w:val="auto"/>
                <w:highlight w:val="none"/>
                <w:lang w:val="en-US" w:eastAsia="zh-CN"/>
              </w:rPr>
              <w:t>1</w:t>
            </w:r>
            <w:r>
              <w:rPr>
                <w:rFonts w:hint="eastAsia" w:ascii="Times New Roman" w:cs="Times New Roman"/>
                <w:color w:val="auto"/>
                <w:highlight w:val="none"/>
              </w:rPr>
              <w:t>）”可知本项目</w:t>
            </w:r>
            <w:r>
              <w:rPr>
                <w:rFonts w:hint="eastAsia" w:ascii="Times New Roman" w:cs="Times New Roman"/>
                <w:color w:val="auto"/>
                <w:highlight w:val="none"/>
                <w:lang w:eastAsia="zh-CN"/>
              </w:rPr>
              <w:t>用</w:t>
            </w:r>
            <w:r>
              <w:rPr>
                <w:rFonts w:hint="eastAsia" w:ascii="Times New Roman" w:cs="Times New Roman"/>
                <w:color w:val="auto"/>
                <w:highlight w:val="none"/>
              </w:rPr>
              <w:t>地区域为工业用地。</w:t>
            </w:r>
          </w:p>
          <w:p w14:paraId="1064AC29">
            <w:pPr>
              <w:adjustRightInd w:val="0"/>
              <w:snapToGrid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）根据现场勘查，本项目选址区域不涉及水源地保护区、风景名胜区、自然保护区，以及基本农田保护区、重要湿地等敏感区分布，</w:t>
            </w:r>
            <w:r>
              <w:rPr>
                <w:color w:val="auto"/>
                <w:kern w:val="0"/>
                <w:sz w:val="24"/>
                <w:highlight w:val="none"/>
                <w:lang w:bidi="ar"/>
              </w:rPr>
              <w:t>亦不涉及国家相关</w:t>
            </w:r>
            <w:r>
              <w:rPr>
                <w:rFonts w:hint="eastAsia"/>
                <w:color w:val="auto"/>
                <w:kern w:val="0"/>
                <w:sz w:val="24"/>
                <w:highlight w:val="none"/>
                <w:lang w:eastAsia="zh-CN" w:bidi="ar"/>
              </w:rPr>
              <w:t>法律法规</w:t>
            </w:r>
            <w:r>
              <w:rPr>
                <w:color w:val="auto"/>
                <w:kern w:val="0"/>
                <w:sz w:val="24"/>
                <w:highlight w:val="none"/>
                <w:lang w:bidi="ar"/>
              </w:rPr>
              <w:t>划定的禁止建设区域</w:t>
            </w:r>
            <w:r>
              <w:rPr>
                <w:color w:val="auto"/>
                <w:sz w:val="24"/>
                <w:highlight w:val="none"/>
              </w:rPr>
              <w:t>。</w:t>
            </w:r>
          </w:p>
          <w:p w14:paraId="7F3E8477">
            <w:pPr>
              <w:adjustRightInd w:val="0"/>
              <w:snapToGrid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4</w:t>
            </w:r>
            <w:r>
              <w:rPr>
                <w:color w:val="auto"/>
                <w:sz w:val="24"/>
                <w:highlight w:val="none"/>
              </w:rPr>
              <w:t>）项目区域环境质量现状满足功能区的相关要求，建设项目有切实可行的污染防治措施，在严格</w:t>
            </w:r>
            <w:r>
              <w:rPr>
                <w:rFonts w:hint="eastAsia"/>
                <w:color w:val="auto"/>
                <w:sz w:val="24"/>
                <w:highlight w:val="none"/>
              </w:rPr>
              <w:t>落实</w:t>
            </w:r>
            <w:r>
              <w:rPr>
                <w:color w:val="auto"/>
                <w:sz w:val="24"/>
                <w:highlight w:val="none"/>
              </w:rPr>
              <w:t>环评提出的各项</w:t>
            </w:r>
            <w:r>
              <w:rPr>
                <w:rFonts w:hint="eastAsia"/>
                <w:color w:val="auto"/>
                <w:sz w:val="24"/>
                <w:highlight w:val="none"/>
              </w:rPr>
              <w:t>污染防治</w:t>
            </w:r>
            <w:r>
              <w:rPr>
                <w:color w:val="auto"/>
                <w:sz w:val="24"/>
                <w:highlight w:val="none"/>
              </w:rPr>
              <w:t>措施后，废气、废水、噪声可做到达标排放，固废可做到无害化处置，对外环境影响较小。</w:t>
            </w:r>
          </w:p>
          <w:p w14:paraId="20223F13">
            <w:pPr>
              <w:pStyle w:val="43"/>
              <w:ind w:firstLine="480" w:firstLineChars="200"/>
              <w:rPr>
                <w:color w:val="auto"/>
                <w:sz w:val="24"/>
                <w:highlight w:val="none"/>
              </w:rPr>
            </w:pPr>
            <w:r>
              <w:rPr>
                <w:color w:val="auto"/>
                <w:sz w:val="24"/>
                <w:highlight w:val="none"/>
              </w:rPr>
              <w:t>综上所述，从环保角度分析该项目</w:t>
            </w:r>
            <w:r>
              <w:rPr>
                <w:rFonts w:hint="eastAsia"/>
                <w:color w:val="auto"/>
                <w:sz w:val="24"/>
                <w:highlight w:val="none"/>
                <w:lang w:eastAsia="zh-CN"/>
              </w:rPr>
              <w:t>选址</w:t>
            </w:r>
            <w:r>
              <w:rPr>
                <w:color w:val="auto"/>
                <w:sz w:val="24"/>
                <w:highlight w:val="none"/>
              </w:rPr>
              <w:t>可行。</w:t>
            </w:r>
          </w:p>
          <w:p w14:paraId="5794146D">
            <w:pPr>
              <w:pStyle w:val="43"/>
              <w:ind w:firstLine="480" w:firstLineChars="200"/>
              <w:rPr>
                <w:color w:val="auto"/>
                <w:sz w:val="24"/>
                <w:highlight w:val="none"/>
              </w:rPr>
            </w:pPr>
          </w:p>
          <w:p w14:paraId="5696C019">
            <w:pPr>
              <w:pStyle w:val="43"/>
              <w:ind w:firstLine="480" w:firstLineChars="200"/>
              <w:rPr>
                <w:color w:val="auto"/>
                <w:sz w:val="24"/>
                <w:highlight w:val="none"/>
              </w:rPr>
            </w:pPr>
          </w:p>
          <w:p w14:paraId="62114D26">
            <w:pPr>
              <w:pStyle w:val="43"/>
              <w:ind w:firstLine="480" w:firstLineChars="200"/>
              <w:rPr>
                <w:color w:val="auto"/>
                <w:sz w:val="24"/>
                <w:highlight w:val="none"/>
              </w:rPr>
            </w:pPr>
          </w:p>
          <w:p w14:paraId="6F8789A9">
            <w:pPr>
              <w:pStyle w:val="43"/>
              <w:ind w:firstLine="480" w:firstLineChars="200"/>
              <w:rPr>
                <w:color w:val="auto"/>
                <w:sz w:val="24"/>
                <w:highlight w:val="none"/>
              </w:rPr>
            </w:pPr>
          </w:p>
          <w:p w14:paraId="393D6744">
            <w:pPr>
              <w:pStyle w:val="43"/>
              <w:ind w:firstLine="480" w:firstLineChars="200"/>
              <w:rPr>
                <w:color w:val="auto"/>
                <w:sz w:val="24"/>
                <w:highlight w:val="none"/>
              </w:rPr>
            </w:pPr>
          </w:p>
          <w:p w14:paraId="2CF6FC16">
            <w:pPr>
              <w:pStyle w:val="43"/>
              <w:ind w:firstLine="480" w:firstLineChars="200"/>
              <w:rPr>
                <w:color w:val="auto"/>
                <w:sz w:val="24"/>
                <w:highlight w:val="none"/>
              </w:rPr>
            </w:pPr>
          </w:p>
          <w:p w14:paraId="3608BA64">
            <w:pPr>
              <w:pStyle w:val="43"/>
              <w:ind w:firstLine="480" w:firstLineChars="200"/>
              <w:rPr>
                <w:color w:val="auto"/>
                <w:sz w:val="24"/>
                <w:highlight w:val="none"/>
              </w:rPr>
            </w:pPr>
          </w:p>
          <w:p w14:paraId="53B2CCFE">
            <w:pPr>
              <w:pStyle w:val="43"/>
              <w:ind w:firstLine="480" w:firstLineChars="200"/>
              <w:rPr>
                <w:color w:val="auto"/>
                <w:sz w:val="24"/>
                <w:highlight w:val="none"/>
              </w:rPr>
            </w:pPr>
          </w:p>
          <w:p w14:paraId="4CD45403">
            <w:pPr>
              <w:pStyle w:val="43"/>
              <w:ind w:firstLine="480" w:firstLineChars="200"/>
              <w:rPr>
                <w:color w:val="auto"/>
                <w:sz w:val="24"/>
                <w:highlight w:val="none"/>
              </w:rPr>
            </w:pPr>
          </w:p>
          <w:p w14:paraId="26A76222">
            <w:pPr>
              <w:pStyle w:val="43"/>
              <w:ind w:firstLine="480" w:firstLineChars="200"/>
              <w:rPr>
                <w:color w:val="auto"/>
                <w:sz w:val="24"/>
                <w:highlight w:val="none"/>
              </w:rPr>
            </w:pPr>
          </w:p>
          <w:p w14:paraId="0EFD35CD">
            <w:pPr>
              <w:pStyle w:val="43"/>
              <w:ind w:firstLine="480" w:firstLineChars="200"/>
              <w:rPr>
                <w:color w:val="auto"/>
                <w:sz w:val="24"/>
                <w:highlight w:val="none"/>
              </w:rPr>
            </w:pPr>
          </w:p>
          <w:p w14:paraId="378096AA">
            <w:pPr>
              <w:pStyle w:val="43"/>
              <w:ind w:firstLine="480" w:firstLineChars="200"/>
              <w:rPr>
                <w:color w:val="auto"/>
                <w:sz w:val="24"/>
                <w:highlight w:val="none"/>
              </w:rPr>
            </w:pPr>
          </w:p>
          <w:p w14:paraId="393589D8">
            <w:pPr>
              <w:pStyle w:val="43"/>
              <w:ind w:firstLine="480" w:firstLineChars="200"/>
              <w:rPr>
                <w:color w:val="auto"/>
                <w:sz w:val="24"/>
                <w:highlight w:val="none"/>
              </w:rPr>
            </w:pPr>
          </w:p>
          <w:p w14:paraId="4673F60C">
            <w:pPr>
              <w:pStyle w:val="43"/>
              <w:ind w:firstLine="480" w:firstLineChars="200"/>
              <w:rPr>
                <w:color w:val="auto"/>
                <w:sz w:val="24"/>
                <w:highlight w:val="none"/>
              </w:rPr>
            </w:pPr>
          </w:p>
          <w:p w14:paraId="443848E4">
            <w:pPr>
              <w:pStyle w:val="43"/>
              <w:ind w:firstLine="480" w:firstLineChars="200"/>
              <w:rPr>
                <w:color w:val="auto"/>
                <w:sz w:val="24"/>
                <w:highlight w:val="none"/>
              </w:rPr>
            </w:pPr>
          </w:p>
          <w:p w14:paraId="06CEED01">
            <w:pPr>
              <w:pStyle w:val="43"/>
              <w:ind w:firstLine="480" w:firstLineChars="200"/>
              <w:rPr>
                <w:color w:val="auto"/>
                <w:sz w:val="24"/>
                <w:highlight w:val="none"/>
              </w:rPr>
            </w:pPr>
          </w:p>
          <w:p w14:paraId="4AAD2E0A">
            <w:pPr>
              <w:pStyle w:val="43"/>
              <w:ind w:firstLine="480" w:firstLineChars="200"/>
              <w:rPr>
                <w:color w:val="auto"/>
                <w:sz w:val="24"/>
                <w:highlight w:val="none"/>
              </w:rPr>
            </w:pPr>
          </w:p>
          <w:p w14:paraId="3AEDB37F">
            <w:pPr>
              <w:pStyle w:val="43"/>
              <w:ind w:firstLine="480" w:firstLineChars="200"/>
              <w:rPr>
                <w:color w:val="auto"/>
                <w:sz w:val="24"/>
                <w:highlight w:val="none"/>
              </w:rPr>
            </w:pPr>
          </w:p>
          <w:p w14:paraId="126853F9">
            <w:pPr>
              <w:pStyle w:val="43"/>
              <w:ind w:firstLine="480" w:firstLineChars="200"/>
              <w:rPr>
                <w:color w:val="auto"/>
                <w:sz w:val="24"/>
                <w:highlight w:val="none"/>
              </w:rPr>
            </w:pPr>
          </w:p>
          <w:p w14:paraId="38D7544C">
            <w:pPr>
              <w:pStyle w:val="43"/>
              <w:ind w:firstLine="480" w:firstLineChars="200"/>
              <w:rPr>
                <w:color w:val="auto"/>
                <w:sz w:val="24"/>
                <w:highlight w:val="none"/>
              </w:rPr>
            </w:pPr>
          </w:p>
          <w:p w14:paraId="0F924E45">
            <w:pPr>
              <w:pStyle w:val="43"/>
              <w:ind w:firstLine="480" w:firstLineChars="200"/>
              <w:rPr>
                <w:color w:val="auto"/>
                <w:sz w:val="24"/>
                <w:highlight w:val="none"/>
              </w:rPr>
            </w:pPr>
          </w:p>
          <w:p w14:paraId="62741F42">
            <w:pPr>
              <w:pStyle w:val="43"/>
              <w:ind w:firstLine="480" w:firstLineChars="200"/>
              <w:rPr>
                <w:color w:val="auto"/>
                <w:sz w:val="24"/>
                <w:highlight w:val="none"/>
              </w:rPr>
            </w:pPr>
          </w:p>
          <w:p w14:paraId="3AFCD9EE">
            <w:pPr>
              <w:pStyle w:val="43"/>
              <w:ind w:firstLine="480" w:firstLineChars="200"/>
              <w:rPr>
                <w:color w:val="auto"/>
                <w:sz w:val="24"/>
                <w:highlight w:val="none"/>
              </w:rPr>
            </w:pPr>
          </w:p>
          <w:p w14:paraId="4440B49F">
            <w:pPr>
              <w:pStyle w:val="43"/>
              <w:ind w:firstLine="480" w:firstLineChars="200"/>
              <w:rPr>
                <w:color w:val="auto"/>
                <w:sz w:val="24"/>
                <w:highlight w:val="none"/>
              </w:rPr>
            </w:pPr>
          </w:p>
          <w:p w14:paraId="54509A31">
            <w:pPr>
              <w:pStyle w:val="43"/>
              <w:ind w:firstLine="480" w:firstLineChars="200"/>
              <w:rPr>
                <w:color w:val="auto"/>
                <w:sz w:val="24"/>
                <w:highlight w:val="none"/>
              </w:rPr>
            </w:pPr>
          </w:p>
          <w:p w14:paraId="74CD857F">
            <w:pPr>
              <w:pStyle w:val="43"/>
              <w:ind w:firstLine="480" w:firstLineChars="200"/>
              <w:rPr>
                <w:color w:val="auto"/>
                <w:sz w:val="24"/>
                <w:highlight w:val="none"/>
              </w:rPr>
            </w:pPr>
          </w:p>
          <w:p w14:paraId="4B84EA20">
            <w:pPr>
              <w:pStyle w:val="43"/>
              <w:ind w:firstLine="480" w:firstLineChars="200"/>
              <w:rPr>
                <w:color w:val="auto"/>
                <w:sz w:val="24"/>
                <w:highlight w:val="none"/>
              </w:rPr>
            </w:pPr>
          </w:p>
          <w:p w14:paraId="6075C23F">
            <w:pPr>
              <w:pStyle w:val="43"/>
              <w:ind w:firstLine="480" w:firstLineChars="200"/>
              <w:rPr>
                <w:color w:val="auto"/>
                <w:sz w:val="24"/>
                <w:highlight w:val="none"/>
              </w:rPr>
            </w:pPr>
          </w:p>
          <w:p w14:paraId="1CA68961">
            <w:pPr>
              <w:pStyle w:val="43"/>
              <w:rPr>
                <w:color w:val="auto"/>
                <w:sz w:val="24"/>
                <w:highlight w:val="none"/>
              </w:rPr>
            </w:pPr>
          </w:p>
        </w:tc>
      </w:tr>
    </w:tbl>
    <w:p w14:paraId="46A67DB9">
      <w:pPr>
        <w:pStyle w:val="43"/>
        <w:rPr>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37A2351B">
      <w:pPr>
        <w:pStyle w:val="2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308"/>
      </w:tblGrid>
      <w:tr w14:paraId="6D875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3" w:hRule="atLeast"/>
          <w:jc w:val="center"/>
        </w:trPr>
        <w:tc>
          <w:tcPr>
            <w:tcW w:w="415" w:type="pct"/>
            <w:noWrap w:val="0"/>
            <w:vAlign w:val="center"/>
          </w:tcPr>
          <w:p w14:paraId="3326F9D9">
            <w:pPr>
              <w:pStyle w:val="25"/>
              <w:adjustRightInd w:val="0"/>
              <w:snapToGrid w:val="0"/>
              <w:spacing w:before="0" w:beforeAutospacing="0" w:after="0" w:afterAutospacing="0"/>
              <w:jc w:val="center"/>
              <w:rPr>
                <w:rFonts w:cs="宋体"/>
                <w:color w:val="auto"/>
                <w:sz w:val="21"/>
                <w:szCs w:val="21"/>
                <w:highlight w:val="none"/>
                <w:lang w:val="en-US" w:eastAsia="zh-CN"/>
              </w:rPr>
            </w:pPr>
            <w:r>
              <w:rPr>
                <w:rFonts w:hint="eastAsia" w:cs="宋体"/>
                <w:color w:val="auto"/>
                <w:sz w:val="21"/>
                <w:szCs w:val="21"/>
                <w:highlight w:val="none"/>
                <w:lang w:val="en-US" w:eastAsia="zh-CN"/>
              </w:rPr>
              <w:t>建设内容</w:t>
            </w:r>
          </w:p>
        </w:tc>
        <w:tc>
          <w:tcPr>
            <w:tcW w:w="4585" w:type="pct"/>
            <w:noWrap w:val="0"/>
            <w:vAlign w:val="top"/>
          </w:tcPr>
          <w:p w14:paraId="284513BE">
            <w:pPr>
              <w:adjustRightInd w:val="0"/>
              <w:snapToGrid w:val="0"/>
              <w:spacing w:line="360" w:lineRule="auto"/>
              <w:ind w:firstLine="482" w:firstLineChars="200"/>
              <w:rPr>
                <w:b/>
                <w:bCs/>
                <w:color w:val="auto"/>
                <w:sz w:val="24"/>
                <w:highlight w:val="none"/>
              </w:rPr>
            </w:pPr>
            <w:r>
              <w:rPr>
                <w:rFonts w:hint="eastAsia"/>
                <w:b/>
                <w:bCs/>
                <w:color w:val="auto"/>
                <w:sz w:val="24"/>
                <w:highlight w:val="none"/>
              </w:rPr>
              <w:t>一</w:t>
            </w:r>
            <w:r>
              <w:rPr>
                <w:b/>
                <w:bCs/>
                <w:color w:val="auto"/>
                <w:sz w:val="24"/>
                <w:highlight w:val="none"/>
              </w:rPr>
              <w:t>、建设项目组成情况</w:t>
            </w:r>
          </w:p>
          <w:p w14:paraId="041AB37D">
            <w:pPr>
              <w:wordWrap w:val="0"/>
              <w:spacing w:line="360" w:lineRule="auto"/>
              <w:ind w:firstLine="480" w:firstLineChars="200"/>
              <w:rPr>
                <w:rFonts w:hint="eastAsia" w:eastAsia="宋体"/>
                <w:color w:val="auto"/>
                <w:sz w:val="24"/>
                <w:highlight w:val="none"/>
                <w:lang w:val="en-US" w:eastAsia="zh-CN"/>
              </w:rPr>
            </w:pPr>
            <w:r>
              <w:rPr>
                <w:rFonts w:hint="eastAsia"/>
                <w:color w:val="auto"/>
                <w:sz w:val="24"/>
                <w:highlight w:val="none"/>
                <w:lang w:val="en-US" w:eastAsia="zh-CN"/>
              </w:rPr>
              <w:t>1、项目由来</w:t>
            </w:r>
          </w:p>
          <w:p w14:paraId="327B53D2">
            <w:pPr>
              <w:adjustRightInd w:val="0"/>
              <w:snapToGrid w:val="0"/>
              <w:spacing w:line="360" w:lineRule="auto"/>
              <w:ind w:firstLine="480" w:firstLineChars="200"/>
              <w:rPr>
                <w:rFonts w:hint="eastAsia"/>
                <w:color w:val="auto"/>
                <w:highlight w:val="none"/>
                <w:lang w:val="en-US" w:eastAsia="zh-CN"/>
              </w:rPr>
            </w:pPr>
            <w:r>
              <w:rPr>
                <w:rFonts w:hint="eastAsia" w:ascii="Times New Roman" w:hAnsi="Times New Roman" w:eastAsia="宋体" w:cs="Times New Roman"/>
                <w:color w:val="auto"/>
                <w:sz w:val="24"/>
                <w:highlight w:val="none"/>
                <w:lang w:val="en-US" w:eastAsia="zh-CN"/>
              </w:rPr>
              <w:t>临床研究表明，山茱萸有强心的作用，也可以舒缓血压，对血压升高有良好的调理和改善作用，还具有增强身体免疫力、抗炎、抗菌以及降血脂、抗氧化等临床作用。陕西汉阳健康中药科技有限公司</w:t>
            </w:r>
            <w:r>
              <w:rPr>
                <w:rFonts w:hint="default" w:ascii="Times New Roman" w:hAnsi="Times New Roman" w:eastAsia="宋体" w:cs="Times New Roman"/>
                <w:color w:val="auto"/>
                <w:sz w:val="24"/>
                <w:highlight w:val="none"/>
                <w:lang w:val="en-US" w:eastAsia="zh-CN"/>
              </w:rPr>
              <w:t>成立于2011年12月，</w:t>
            </w:r>
            <w:r>
              <w:rPr>
                <w:rFonts w:hint="eastAsia" w:ascii="Times New Roman" w:hAnsi="Times New Roman" w:eastAsia="宋体" w:cs="Times New Roman"/>
                <w:color w:val="auto"/>
                <w:sz w:val="24"/>
                <w:highlight w:val="none"/>
                <w:lang w:val="en-US" w:eastAsia="zh-CN"/>
              </w:rPr>
              <w:t>该公司以订单形式在华阳镇6个村发展种植山茱萸7965.4亩，其中中坝基地22户965.3亩；县坝基地29户680亩；瓦子沟基地21户1210.3亩；板桥基地22户1022.7亩；红石窑基地35户1042.3亩；吊坝河基地28户28亩。该公司拟依托上述洋县山茱萸25万亩、年产鲜山茱萸6250吨种植基地背景，</w:t>
            </w:r>
            <w:r>
              <w:rPr>
                <w:rFonts w:hint="default" w:ascii="Times New Roman" w:hAnsi="Times New Roman" w:cs="Times New Roman"/>
                <w:color w:val="auto"/>
                <w:spacing w:val="0"/>
                <w:sz w:val="24"/>
                <w:szCs w:val="24"/>
                <w:highlight w:val="none"/>
              </w:rPr>
              <w:t>生产</w:t>
            </w:r>
            <w:r>
              <w:rPr>
                <w:rFonts w:hint="eastAsia" w:cs="Times New Roman"/>
                <w:color w:val="auto"/>
                <w:spacing w:val="0"/>
                <w:sz w:val="24"/>
                <w:szCs w:val="24"/>
                <w:highlight w:val="none"/>
                <w:lang w:eastAsia="zh-CN"/>
              </w:rPr>
              <w:t>有机山茱萸产品。</w:t>
            </w:r>
          </w:p>
          <w:p w14:paraId="60ED93E5">
            <w:pPr>
              <w:wordWrap w:val="0"/>
              <w:spacing w:line="360" w:lineRule="auto"/>
              <w:ind w:firstLine="480" w:firstLineChars="200"/>
              <w:rPr>
                <w:rFonts w:hint="eastAsia" w:eastAsia="宋体"/>
                <w:color w:val="auto"/>
                <w:sz w:val="24"/>
                <w:highlight w:val="none"/>
                <w:lang w:val="en-US" w:eastAsia="zh-CN"/>
              </w:rPr>
            </w:pPr>
            <w:r>
              <w:rPr>
                <w:rFonts w:hint="eastAsia"/>
                <w:color w:val="auto"/>
                <w:sz w:val="24"/>
                <w:highlight w:val="none"/>
                <w:lang w:val="en-US" w:eastAsia="zh-CN"/>
              </w:rPr>
              <w:t>2、项目组成</w:t>
            </w:r>
          </w:p>
          <w:p w14:paraId="757E76C9">
            <w:pPr>
              <w:wordWrap w:val="0"/>
              <w:spacing w:line="360" w:lineRule="auto"/>
              <w:ind w:firstLine="480" w:firstLineChars="200"/>
              <w:rPr>
                <w:rFonts w:hint="eastAsia" w:eastAsia="宋体"/>
                <w:color w:val="auto"/>
                <w:sz w:val="24"/>
                <w:highlight w:val="none"/>
                <w:lang w:eastAsia="zh-CN"/>
              </w:rPr>
            </w:pPr>
            <w:r>
              <w:rPr>
                <w:rFonts w:hint="eastAsia"/>
                <w:color w:val="auto"/>
                <w:sz w:val="24"/>
                <w:highlight w:val="none"/>
              </w:rPr>
              <w:t>本项目拟在洋县有机产业园区</w:t>
            </w:r>
            <w:r>
              <w:rPr>
                <w:rFonts w:hint="eastAsia"/>
                <w:color w:val="auto"/>
                <w:sz w:val="24"/>
                <w:highlight w:val="none"/>
                <w:lang w:eastAsia="zh-CN"/>
              </w:rPr>
              <w:t>流转</w:t>
            </w:r>
            <w:r>
              <w:rPr>
                <w:rFonts w:hint="eastAsia"/>
                <w:color w:val="auto"/>
                <w:sz w:val="24"/>
                <w:highlight w:val="none"/>
              </w:rPr>
              <w:t>国有建设用地20.24亩，新建有机山茱萸深加工生产线1条</w:t>
            </w:r>
            <w:r>
              <w:rPr>
                <w:rFonts w:hint="eastAsia"/>
                <w:color w:val="auto"/>
                <w:sz w:val="24"/>
                <w:highlight w:val="none"/>
                <w:lang w:eastAsia="zh-CN"/>
              </w:rPr>
              <w:t>，</w:t>
            </w:r>
            <w:r>
              <w:rPr>
                <w:rFonts w:hint="eastAsia"/>
                <w:color w:val="auto"/>
                <w:sz w:val="24"/>
                <w:highlight w:val="none"/>
              </w:rPr>
              <w:t>主要生产</w:t>
            </w:r>
            <w:r>
              <w:rPr>
                <w:rFonts w:hint="eastAsia"/>
                <w:color w:val="auto"/>
                <w:sz w:val="24"/>
                <w:highlight w:val="none"/>
                <w:lang w:eastAsia="zh-CN"/>
              </w:rPr>
              <w:t>干山茱萸、</w:t>
            </w:r>
            <w:r>
              <w:rPr>
                <w:rFonts w:hint="eastAsia"/>
                <w:color w:val="auto"/>
                <w:sz w:val="24"/>
                <w:highlight w:val="none"/>
              </w:rPr>
              <w:t>山茱萸饮品、山茱萸醋、山茱萸酒等产品</w:t>
            </w:r>
            <w:r>
              <w:rPr>
                <w:rFonts w:hint="eastAsia"/>
                <w:color w:val="auto"/>
                <w:sz w:val="24"/>
                <w:highlight w:val="none"/>
                <w:lang w:eastAsia="zh-CN"/>
              </w:rPr>
              <w:t>，配套</w:t>
            </w:r>
            <w:r>
              <w:rPr>
                <w:rFonts w:hint="eastAsia"/>
                <w:color w:val="auto"/>
                <w:sz w:val="24"/>
                <w:highlight w:val="none"/>
              </w:rPr>
              <w:t>建设厂房、仓储、物流体系8000平方米</w:t>
            </w:r>
            <w:r>
              <w:rPr>
                <w:rFonts w:hint="eastAsia"/>
                <w:color w:val="auto"/>
                <w:sz w:val="24"/>
                <w:highlight w:val="none"/>
                <w:lang w:eastAsia="zh-CN"/>
              </w:rPr>
              <w:t>及其他</w:t>
            </w:r>
            <w:r>
              <w:rPr>
                <w:rFonts w:hint="eastAsia"/>
                <w:color w:val="auto"/>
                <w:sz w:val="24"/>
                <w:highlight w:val="none"/>
              </w:rPr>
              <w:t>附属设施2000平方米。</w:t>
            </w:r>
            <w:r>
              <w:rPr>
                <w:rFonts w:hint="eastAsia"/>
                <w:color w:val="auto"/>
                <w:sz w:val="24"/>
                <w:highlight w:val="none"/>
                <w:lang w:eastAsia="zh-CN"/>
              </w:rPr>
              <w:t>按照委托内容，本次评价对象是</w:t>
            </w:r>
            <w:r>
              <w:rPr>
                <w:rFonts w:hint="eastAsia"/>
                <w:color w:val="auto"/>
                <w:sz w:val="24"/>
                <w:highlight w:val="none"/>
              </w:rPr>
              <w:t>有机山茱萸深加工生产线1条</w:t>
            </w:r>
            <w:r>
              <w:rPr>
                <w:rFonts w:hint="eastAsia"/>
                <w:color w:val="auto"/>
                <w:sz w:val="24"/>
                <w:highlight w:val="none"/>
                <w:lang w:eastAsia="zh-CN"/>
              </w:rPr>
              <w:t>，</w:t>
            </w:r>
            <w:r>
              <w:rPr>
                <w:rFonts w:hint="eastAsia"/>
                <w:color w:val="auto"/>
                <w:sz w:val="24"/>
                <w:highlight w:val="none"/>
              </w:rPr>
              <w:t>主要生产</w:t>
            </w:r>
            <w:r>
              <w:rPr>
                <w:rFonts w:hint="eastAsia"/>
                <w:color w:val="auto"/>
                <w:sz w:val="24"/>
                <w:highlight w:val="none"/>
                <w:lang w:eastAsia="zh-CN"/>
              </w:rPr>
              <w:t>干山茱萸、</w:t>
            </w:r>
            <w:r>
              <w:rPr>
                <w:rFonts w:hint="eastAsia"/>
                <w:color w:val="auto"/>
                <w:sz w:val="24"/>
                <w:highlight w:val="none"/>
              </w:rPr>
              <w:t>山茱萸饮品、山茱萸醋、山茱萸酒等产品</w:t>
            </w:r>
            <w:r>
              <w:rPr>
                <w:rFonts w:hint="eastAsia"/>
                <w:color w:val="auto"/>
                <w:sz w:val="24"/>
                <w:highlight w:val="none"/>
                <w:lang w:eastAsia="zh-CN"/>
              </w:rPr>
              <w:t>，山茱萸种植基地不在本次评价范围内。</w:t>
            </w:r>
          </w:p>
          <w:p w14:paraId="4C77B184">
            <w:pPr>
              <w:wordWrap w:val="0"/>
              <w:spacing w:line="360" w:lineRule="auto"/>
              <w:ind w:firstLine="480" w:firstLineChars="200"/>
              <w:rPr>
                <w:rFonts w:hint="eastAsia"/>
                <w:color w:val="auto"/>
                <w:sz w:val="24"/>
                <w:highlight w:val="none"/>
              </w:rPr>
            </w:pPr>
            <w:r>
              <w:rPr>
                <w:rFonts w:hint="eastAsia"/>
                <w:color w:val="auto"/>
                <w:sz w:val="24"/>
                <w:highlight w:val="none"/>
              </w:rPr>
              <w:t>本</w:t>
            </w:r>
            <w:r>
              <w:rPr>
                <w:rFonts w:hint="eastAsia"/>
                <w:color w:val="auto"/>
                <w:sz w:val="24"/>
                <w:highlight w:val="none"/>
                <w:lang w:eastAsia="zh-CN"/>
              </w:rPr>
              <w:t>项目</w:t>
            </w:r>
            <w:r>
              <w:rPr>
                <w:rFonts w:hint="eastAsia"/>
                <w:color w:val="auto"/>
                <w:sz w:val="24"/>
                <w:highlight w:val="none"/>
              </w:rPr>
              <w:t>主要建设内容</w:t>
            </w:r>
            <w:r>
              <w:rPr>
                <w:rFonts w:hint="eastAsia"/>
                <w:color w:val="auto"/>
                <w:sz w:val="24"/>
                <w:highlight w:val="none"/>
                <w:lang w:eastAsia="zh-CN"/>
              </w:rPr>
              <w:t>详</w:t>
            </w:r>
            <w:r>
              <w:rPr>
                <w:rFonts w:hint="eastAsia"/>
                <w:color w:val="auto"/>
                <w:sz w:val="24"/>
                <w:highlight w:val="none"/>
              </w:rPr>
              <w:t>见表2-1。</w:t>
            </w:r>
          </w:p>
          <w:p w14:paraId="1AEAF537">
            <w:pPr>
              <w:adjustRightInd w:val="0"/>
              <w:snapToGrid w:val="0"/>
              <w:jc w:val="center"/>
              <w:rPr>
                <w:b/>
                <w:bCs/>
                <w:color w:val="auto"/>
                <w:highlight w:val="none"/>
              </w:rPr>
            </w:pPr>
            <w:r>
              <w:rPr>
                <w:b/>
                <w:bCs/>
                <w:color w:val="auto"/>
                <w:highlight w:val="none"/>
              </w:rPr>
              <w:t>表</w:t>
            </w:r>
            <w:r>
              <w:rPr>
                <w:rFonts w:hint="eastAsia"/>
                <w:b/>
                <w:bCs/>
                <w:color w:val="auto"/>
                <w:highlight w:val="none"/>
              </w:rPr>
              <w:t>2-1</w:t>
            </w:r>
            <w:r>
              <w:rPr>
                <w:b/>
                <w:bCs/>
                <w:color w:val="auto"/>
                <w:highlight w:val="none"/>
              </w:rPr>
              <w:t xml:space="preserve">  项目组成一览表</w:t>
            </w:r>
          </w:p>
          <w:tbl>
            <w:tblPr>
              <w:tblStyle w:val="28"/>
              <w:tblW w:w="4991" w:type="pct"/>
              <w:tblInd w:w="13"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471"/>
              <w:gridCol w:w="5497"/>
            </w:tblGrid>
            <w:tr w14:paraId="73DEFFE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pct"/>
                  <w:tcBorders>
                    <w:tl2br w:val="nil"/>
                    <w:tr2bl w:val="nil"/>
                  </w:tcBorders>
                  <w:noWrap w:val="0"/>
                  <w:vAlign w:val="center"/>
                </w:tcPr>
                <w:p w14:paraId="501E887C">
                  <w:pPr>
                    <w:adjustRightInd w:val="0"/>
                    <w:snapToGrid w:val="0"/>
                    <w:jc w:val="center"/>
                    <w:rPr>
                      <w:rFonts w:hint="default" w:ascii="Times New Roman" w:hAnsi="Times New Roman" w:cs="Times New Roman"/>
                      <w:b w:val="0"/>
                      <w:bCs/>
                      <w:color w:val="auto"/>
                      <w:szCs w:val="21"/>
                      <w:highlight w:val="none"/>
                    </w:rPr>
                  </w:pPr>
                  <w:bookmarkStart w:id="3" w:name="_Hlk157956225"/>
                  <w:r>
                    <w:rPr>
                      <w:rFonts w:hint="default" w:ascii="Times New Roman" w:hAnsi="Times New Roman" w:cs="Times New Roman"/>
                      <w:b w:val="0"/>
                      <w:bCs/>
                      <w:color w:val="auto"/>
                      <w:szCs w:val="21"/>
                      <w:highlight w:val="none"/>
                    </w:rPr>
                    <w:t>内容</w:t>
                  </w:r>
                </w:p>
              </w:tc>
              <w:tc>
                <w:tcPr>
                  <w:tcW w:w="911" w:type="pct"/>
                  <w:tcBorders>
                    <w:tl2br w:val="nil"/>
                    <w:tr2bl w:val="nil"/>
                  </w:tcBorders>
                  <w:noWrap w:val="0"/>
                  <w:vAlign w:val="center"/>
                </w:tcPr>
                <w:p w14:paraId="20792E7C">
                  <w:pPr>
                    <w:adjustRightInd w:val="0"/>
                    <w:snapToGrid w:val="0"/>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工程名称</w:t>
                  </w:r>
                </w:p>
              </w:tc>
              <w:tc>
                <w:tcPr>
                  <w:tcW w:w="3405" w:type="pct"/>
                  <w:tcBorders>
                    <w:tl2br w:val="nil"/>
                    <w:tr2bl w:val="nil"/>
                  </w:tcBorders>
                  <w:noWrap w:val="0"/>
                  <w:vAlign w:val="center"/>
                </w:tcPr>
                <w:p w14:paraId="1A442954">
                  <w:pPr>
                    <w:adjustRightInd w:val="0"/>
                    <w:snapToGrid w:val="0"/>
                    <w:jc w:val="center"/>
                    <w:rPr>
                      <w:rFonts w:hint="default" w:ascii="Times New Roman" w:hAnsi="Times New Roman" w:cs="Times New Roman"/>
                      <w:b w:val="0"/>
                      <w:bCs/>
                      <w:color w:val="auto"/>
                      <w:szCs w:val="21"/>
                      <w:highlight w:val="none"/>
                    </w:rPr>
                  </w:pPr>
                  <w:r>
                    <w:rPr>
                      <w:rFonts w:hint="default" w:ascii="Times New Roman" w:hAnsi="Times New Roman" w:cs="Times New Roman"/>
                      <w:b w:val="0"/>
                      <w:bCs/>
                      <w:color w:val="auto"/>
                      <w:szCs w:val="21"/>
                      <w:highlight w:val="none"/>
                    </w:rPr>
                    <w:t>建设内容</w:t>
                  </w:r>
                </w:p>
              </w:tc>
            </w:tr>
            <w:tr w14:paraId="5B36EB7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83" w:type="pct"/>
                  <w:vMerge w:val="restart"/>
                  <w:tcBorders>
                    <w:tl2br w:val="nil"/>
                    <w:tr2bl w:val="nil"/>
                  </w:tcBorders>
                  <w:noWrap w:val="0"/>
                  <w:vAlign w:val="center"/>
                </w:tcPr>
                <w:p w14:paraId="12655D9A">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主体工程</w:t>
                  </w:r>
                </w:p>
              </w:tc>
              <w:tc>
                <w:tcPr>
                  <w:tcW w:w="911" w:type="pct"/>
                  <w:tcBorders>
                    <w:tl2br w:val="nil"/>
                    <w:tr2bl w:val="nil"/>
                  </w:tcBorders>
                  <w:noWrap w:val="0"/>
                  <w:vAlign w:val="center"/>
                </w:tcPr>
                <w:p w14:paraId="6B7E8D17">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1#厂房（3F）、2#厂房（3F）</w:t>
                  </w:r>
                </w:p>
              </w:tc>
              <w:tc>
                <w:tcPr>
                  <w:tcW w:w="3405" w:type="pct"/>
                  <w:tcBorders>
                    <w:tl2br w:val="nil"/>
                    <w:tr2bl w:val="nil"/>
                  </w:tcBorders>
                  <w:noWrap w:val="0"/>
                  <w:vAlign w:val="center"/>
                </w:tcPr>
                <w:p w14:paraId="653B420D">
                  <w:pPr>
                    <w:spacing w:before="12" w:beforeLines="5" w:after="12" w:afterLines="5"/>
                    <w:jc w:val="both"/>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占地面积均约550m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，总占地面积约1100m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vertAlign w:val="baseline"/>
                      <w:lang w:val="en-US" w:eastAsia="zh-CN"/>
                    </w:rPr>
                    <w:t>；2栋厂房相连设置，其中1F用于山茱萸产品加工（1#厂房1F用于干山茱萸加工，2#厂房1F进行山茱萸饮品、山茱萸醋、山茱萸酒等产品加工），2栋厂房2F用于对应产品包装，3F用于产品储存。</w:t>
                  </w:r>
                </w:p>
              </w:tc>
            </w:tr>
            <w:tr w14:paraId="61A4A08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83" w:type="pct"/>
                  <w:vMerge w:val="continue"/>
                  <w:tcBorders>
                    <w:tl2br w:val="nil"/>
                    <w:tr2bl w:val="nil"/>
                  </w:tcBorders>
                  <w:noWrap w:val="0"/>
                  <w:vAlign w:val="center"/>
                </w:tcPr>
                <w:p w14:paraId="54983BA3">
                  <w:pPr>
                    <w:pStyle w:val="80"/>
                    <w:snapToGrid w:val="0"/>
                    <w:spacing w:before="12" w:beforeLines="5" w:after="12" w:afterLines="5"/>
                    <w:rPr>
                      <w:rFonts w:hint="default" w:ascii="Times New Roman" w:hAnsi="Times New Roman" w:cs="Times New Roman"/>
                      <w:color w:val="auto"/>
                      <w:sz w:val="21"/>
                      <w:highlight w:val="none"/>
                      <w:lang w:val="en-US" w:eastAsia="zh-CN"/>
                    </w:rPr>
                  </w:pPr>
                </w:p>
              </w:tc>
              <w:tc>
                <w:tcPr>
                  <w:tcW w:w="911" w:type="pct"/>
                  <w:tcBorders>
                    <w:tl2br w:val="nil"/>
                    <w:tr2bl w:val="nil"/>
                  </w:tcBorders>
                  <w:noWrap w:val="0"/>
                  <w:vAlign w:val="center"/>
                </w:tcPr>
                <w:p w14:paraId="387656A6">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4#厂房（5F）、5#厂房（5F）</w:t>
                  </w:r>
                </w:p>
              </w:tc>
              <w:tc>
                <w:tcPr>
                  <w:tcW w:w="3405" w:type="pct"/>
                  <w:tcBorders>
                    <w:tl2br w:val="nil"/>
                    <w:tr2bl w:val="nil"/>
                  </w:tcBorders>
                  <w:noWrap w:val="0"/>
                  <w:vAlign w:val="center"/>
                </w:tcPr>
                <w:p w14:paraId="35ADC35B">
                  <w:pPr>
                    <w:spacing w:before="12" w:beforeLines="5" w:after="12" w:afterLines="5"/>
                    <w:jc w:val="both"/>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占地面积均约为760m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，后期拟规划为药食同源生产车间，本次仅规划建设厂房。</w:t>
                  </w:r>
                </w:p>
              </w:tc>
            </w:tr>
            <w:tr w14:paraId="67B086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83" w:type="pct"/>
                  <w:vMerge w:val="continue"/>
                  <w:tcBorders>
                    <w:tl2br w:val="nil"/>
                    <w:tr2bl w:val="nil"/>
                  </w:tcBorders>
                  <w:noWrap w:val="0"/>
                  <w:vAlign w:val="center"/>
                </w:tcPr>
                <w:p w14:paraId="5450BB9A">
                  <w:pPr>
                    <w:pStyle w:val="80"/>
                    <w:snapToGrid w:val="0"/>
                    <w:spacing w:before="12" w:beforeLines="5" w:after="12" w:afterLines="5"/>
                    <w:rPr>
                      <w:rFonts w:hint="default" w:ascii="Times New Roman" w:hAnsi="Times New Roman" w:cs="Times New Roman"/>
                      <w:color w:val="auto"/>
                      <w:sz w:val="21"/>
                      <w:highlight w:val="none"/>
                      <w:lang w:val="en-US" w:eastAsia="zh-CN"/>
                    </w:rPr>
                  </w:pPr>
                </w:p>
              </w:tc>
              <w:tc>
                <w:tcPr>
                  <w:tcW w:w="911" w:type="pct"/>
                  <w:tcBorders>
                    <w:tl2br w:val="nil"/>
                    <w:tr2bl w:val="nil"/>
                  </w:tcBorders>
                  <w:noWrap w:val="0"/>
                  <w:vAlign w:val="center"/>
                </w:tcPr>
                <w:p w14:paraId="47C18588">
                  <w:pPr>
                    <w:widowControl/>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6#厂房（5F）、7#厂房（5F）</w:t>
                  </w:r>
                </w:p>
              </w:tc>
              <w:tc>
                <w:tcPr>
                  <w:tcW w:w="3405" w:type="pct"/>
                  <w:tcBorders>
                    <w:tl2br w:val="nil"/>
                    <w:tr2bl w:val="nil"/>
                  </w:tcBorders>
                  <w:noWrap w:val="0"/>
                  <w:vAlign w:val="center"/>
                </w:tcPr>
                <w:p w14:paraId="74A33D05">
                  <w:pPr>
                    <w:spacing w:before="12" w:beforeLines="5" w:after="12" w:afterLines="5"/>
                    <w:jc w:val="both"/>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占地面积均约690m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vertAlign w:val="baseline"/>
                      <w:lang w:val="en-US" w:eastAsia="zh-CN"/>
                    </w:rPr>
                    <w:t>、</w:t>
                  </w:r>
                  <w:r>
                    <w:rPr>
                      <w:rFonts w:hint="eastAsia" w:ascii="Times New Roman" w:hAnsi="Times New Roman" w:cs="Times New Roman"/>
                      <w:color w:val="auto"/>
                      <w:szCs w:val="21"/>
                      <w:highlight w:val="none"/>
                      <w:lang w:val="en-US" w:eastAsia="zh-CN"/>
                    </w:rPr>
                    <w:t>500m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，后期拟规划为药食同源生产车间，本次仅规划建设厂房。</w:t>
                  </w:r>
                </w:p>
              </w:tc>
            </w:tr>
            <w:tr w14:paraId="3E3082C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3" w:type="pct"/>
                  <w:vMerge w:val="restart"/>
                  <w:tcBorders>
                    <w:tl2br w:val="nil"/>
                    <w:tr2bl w:val="nil"/>
                  </w:tcBorders>
                  <w:noWrap w:val="0"/>
                  <w:vAlign w:val="center"/>
                </w:tcPr>
                <w:p w14:paraId="713B19B2">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辅助工程</w:t>
                  </w:r>
                </w:p>
              </w:tc>
              <w:tc>
                <w:tcPr>
                  <w:tcW w:w="911" w:type="pct"/>
                  <w:tcBorders>
                    <w:tl2br w:val="nil"/>
                    <w:tr2bl w:val="nil"/>
                  </w:tcBorders>
                  <w:noWrap w:val="0"/>
                  <w:vAlign w:val="center"/>
                </w:tcPr>
                <w:p w14:paraId="4DCCF2A4">
                  <w:pPr>
                    <w:spacing w:before="12" w:beforeLines="5" w:after="12" w:afterLines="5"/>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3#综合楼（4F）</w:t>
                  </w:r>
                </w:p>
              </w:tc>
              <w:tc>
                <w:tcPr>
                  <w:tcW w:w="3405" w:type="pct"/>
                  <w:tcBorders>
                    <w:tl2br w:val="nil"/>
                    <w:tr2bl w:val="nil"/>
                  </w:tcBorders>
                  <w:noWrap w:val="0"/>
                  <w:vAlign w:val="center"/>
                </w:tcPr>
                <w:p w14:paraId="76AA4F3D">
                  <w:pPr>
                    <w:spacing w:before="12" w:beforeLines="5" w:after="12" w:afterLines="5"/>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用于厂内员工办公和生活，拟在1F设置厨房和食堂，根据实际需要设置员工临时休息室，不设置住宿用房。</w:t>
                  </w:r>
                </w:p>
              </w:tc>
            </w:tr>
            <w:tr w14:paraId="2A39EE9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3" w:type="pct"/>
                  <w:vMerge w:val="continue"/>
                  <w:tcBorders>
                    <w:tl2br w:val="nil"/>
                    <w:tr2bl w:val="nil"/>
                  </w:tcBorders>
                  <w:noWrap w:val="0"/>
                  <w:vAlign w:val="center"/>
                </w:tcPr>
                <w:p w14:paraId="0A96BDD2">
                  <w:pPr>
                    <w:pStyle w:val="80"/>
                    <w:snapToGrid w:val="0"/>
                    <w:spacing w:before="12" w:beforeLines="5" w:after="12" w:afterLines="5"/>
                    <w:rPr>
                      <w:rFonts w:hint="default" w:ascii="Times New Roman" w:hAnsi="Times New Roman" w:cs="Times New Roman"/>
                      <w:color w:val="auto"/>
                      <w:sz w:val="21"/>
                      <w:highlight w:val="none"/>
                      <w:lang w:val="en-US" w:eastAsia="zh-CN"/>
                    </w:rPr>
                  </w:pPr>
                </w:p>
              </w:tc>
              <w:tc>
                <w:tcPr>
                  <w:tcW w:w="911" w:type="pct"/>
                  <w:tcBorders>
                    <w:tl2br w:val="nil"/>
                    <w:tr2bl w:val="nil"/>
                  </w:tcBorders>
                  <w:noWrap w:val="0"/>
                  <w:vAlign w:val="center"/>
                </w:tcPr>
                <w:p w14:paraId="7CE60361">
                  <w:pPr>
                    <w:spacing w:before="12" w:beforeLines="5" w:after="12" w:afterLines="5"/>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供热工程</w:t>
                  </w:r>
                </w:p>
              </w:tc>
              <w:tc>
                <w:tcPr>
                  <w:tcW w:w="3405" w:type="pct"/>
                  <w:tcBorders>
                    <w:tl2br w:val="nil"/>
                    <w:tr2bl w:val="nil"/>
                  </w:tcBorders>
                  <w:noWrap w:val="0"/>
                  <w:vAlign w:val="center"/>
                </w:tcPr>
                <w:p w14:paraId="3A42068C">
                  <w:pPr>
                    <w:spacing w:before="12" w:beforeLines="5" w:after="12" w:afterLines="5"/>
                    <w:jc w:val="both"/>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项目设置电蒸汽发生器1座，用于项目产品加热、烘干</w:t>
                  </w:r>
                </w:p>
              </w:tc>
            </w:tr>
            <w:tr w14:paraId="4B181C8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3" w:type="pct"/>
                  <w:vMerge w:val="continue"/>
                  <w:tcBorders>
                    <w:tl2br w:val="nil"/>
                    <w:tr2bl w:val="nil"/>
                  </w:tcBorders>
                  <w:noWrap w:val="0"/>
                  <w:vAlign w:val="center"/>
                </w:tcPr>
                <w:p w14:paraId="2CDD6AB8">
                  <w:pPr>
                    <w:pStyle w:val="80"/>
                    <w:snapToGrid w:val="0"/>
                    <w:spacing w:before="12" w:beforeLines="5" w:after="12" w:afterLines="5"/>
                    <w:rPr>
                      <w:rFonts w:hint="default" w:ascii="Times New Roman" w:hAnsi="Times New Roman" w:cs="Times New Roman"/>
                      <w:color w:val="auto"/>
                      <w:sz w:val="21"/>
                      <w:highlight w:val="none"/>
                      <w:lang w:val="en-US" w:eastAsia="zh-CN"/>
                    </w:rPr>
                  </w:pPr>
                </w:p>
              </w:tc>
              <w:tc>
                <w:tcPr>
                  <w:tcW w:w="911" w:type="pct"/>
                  <w:tcBorders>
                    <w:tl2br w:val="nil"/>
                    <w:tr2bl w:val="nil"/>
                  </w:tcBorders>
                  <w:noWrap w:val="0"/>
                  <w:vAlign w:val="center"/>
                </w:tcPr>
                <w:p w14:paraId="2AD3B7A4">
                  <w:pPr>
                    <w:spacing w:before="12" w:beforeLines="5" w:after="12" w:afterLines="5"/>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晾晒场</w:t>
                  </w:r>
                </w:p>
              </w:tc>
              <w:tc>
                <w:tcPr>
                  <w:tcW w:w="3405" w:type="pct"/>
                  <w:tcBorders>
                    <w:tl2br w:val="nil"/>
                    <w:tr2bl w:val="nil"/>
                  </w:tcBorders>
                  <w:noWrap w:val="0"/>
                  <w:vAlign w:val="center"/>
                </w:tcPr>
                <w:p w14:paraId="3E9C3630">
                  <w:pPr>
                    <w:spacing w:before="12" w:beforeLines="5" w:after="12" w:afterLines="5"/>
                    <w:jc w:val="both"/>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869m</w:t>
                  </w:r>
                  <w:r>
                    <w:rPr>
                      <w:rFonts w:hint="eastAsia" w:ascii="Times New Roman" w:hAnsi="Times New Roman" w:cs="Times New Roman"/>
                      <w:color w:val="auto"/>
                      <w:szCs w:val="21"/>
                      <w:highlight w:val="none"/>
                      <w:vertAlign w:val="superscript"/>
                      <w:lang w:val="en-US" w:eastAsia="zh-CN"/>
                    </w:rPr>
                    <w:t>2</w:t>
                  </w:r>
                  <w:r>
                    <w:rPr>
                      <w:rFonts w:hint="eastAsia" w:ascii="Times New Roman" w:hAnsi="Times New Roman" w:cs="Times New Roman"/>
                      <w:color w:val="auto"/>
                      <w:szCs w:val="21"/>
                      <w:highlight w:val="none"/>
                      <w:lang w:val="en-US" w:eastAsia="zh-CN"/>
                    </w:rPr>
                    <w:t>，主要进行原料山茱萸的自然晾晒。</w:t>
                  </w:r>
                </w:p>
              </w:tc>
            </w:tr>
            <w:tr w14:paraId="1C19679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83" w:type="pct"/>
                  <w:vMerge w:val="continue"/>
                  <w:tcBorders>
                    <w:tl2br w:val="nil"/>
                    <w:tr2bl w:val="nil"/>
                  </w:tcBorders>
                  <w:noWrap w:val="0"/>
                  <w:vAlign w:val="center"/>
                </w:tcPr>
                <w:p w14:paraId="1B6322F5">
                  <w:pPr>
                    <w:pStyle w:val="80"/>
                    <w:snapToGrid w:val="0"/>
                    <w:spacing w:before="12" w:beforeLines="5" w:after="12" w:afterLines="5"/>
                    <w:rPr>
                      <w:rFonts w:hint="default" w:ascii="Times New Roman" w:hAnsi="Times New Roman" w:cs="Times New Roman"/>
                      <w:color w:val="auto"/>
                      <w:sz w:val="21"/>
                      <w:highlight w:val="none"/>
                      <w:lang w:val="en-US" w:eastAsia="zh-CN"/>
                    </w:rPr>
                  </w:pPr>
                </w:p>
              </w:tc>
              <w:tc>
                <w:tcPr>
                  <w:tcW w:w="911" w:type="pct"/>
                  <w:tcBorders>
                    <w:tl2br w:val="nil"/>
                    <w:tr2bl w:val="nil"/>
                  </w:tcBorders>
                  <w:noWrap w:val="0"/>
                  <w:vAlign w:val="center"/>
                </w:tcPr>
                <w:p w14:paraId="76734D66">
                  <w:pPr>
                    <w:adjustRightInd w:val="0"/>
                    <w:snapToGrid w:val="0"/>
                    <w:spacing w:before="48" w:beforeLines="20" w:after="48" w:afterLines="2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lang w:val="en-US" w:eastAsia="zh-CN"/>
                    </w:rPr>
                    <w:t>检验室</w:t>
                  </w:r>
                </w:p>
              </w:tc>
              <w:tc>
                <w:tcPr>
                  <w:tcW w:w="3405" w:type="pct"/>
                  <w:tcBorders>
                    <w:tl2br w:val="nil"/>
                    <w:tr2bl w:val="nil"/>
                  </w:tcBorders>
                  <w:noWrap w:val="0"/>
                  <w:vAlign w:val="center"/>
                </w:tcPr>
                <w:p w14:paraId="4013464F">
                  <w:pPr>
                    <w:adjustRightInd w:val="0"/>
                    <w:snapToGrid w:val="0"/>
                    <w:spacing w:before="48" w:beforeLines="20" w:after="48" w:afterLines="20"/>
                    <w:jc w:val="both"/>
                    <w:rPr>
                      <w:rFonts w:hint="default" w:ascii="Times New Roman" w:hAnsi="Times New Roman" w:cs="Times New Roman"/>
                      <w:color w:val="auto"/>
                      <w:szCs w:val="21"/>
                      <w:highlight w:val="none"/>
                      <w:lang w:val="en-US" w:eastAsia="zh-CN"/>
                    </w:rPr>
                  </w:pPr>
                  <w:r>
                    <w:rPr>
                      <w:rFonts w:hint="eastAsia" w:ascii="Times New Roman" w:hAnsi="Times New Roman" w:cs="Times New Roman"/>
                      <w:bCs/>
                      <w:color w:val="auto"/>
                      <w:szCs w:val="21"/>
                      <w:highlight w:val="none"/>
                      <w:lang w:val="en-US" w:eastAsia="zh-CN"/>
                    </w:rPr>
                    <w:t>位于1#厂房2F，</w:t>
                  </w:r>
                  <w:r>
                    <w:rPr>
                      <w:rFonts w:hint="default" w:ascii="Times New Roman" w:hAnsi="Times New Roman" w:cs="Times New Roman"/>
                      <w:bCs/>
                      <w:color w:val="auto"/>
                      <w:szCs w:val="21"/>
                      <w:highlight w:val="none"/>
                      <w:lang w:val="en-US" w:eastAsia="zh-CN"/>
                    </w:rPr>
                    <w:t>主要用于检验产品的糖度、色度、酸度、</w:t>
                  </w:r>
                  <w:r>
                    <w:rPr>
                      <w:rFonts w:hint="eastAsia" w:ascii="Times New Roman" w:hAnsi="Times New Roman" w:cs="Times New Roman"/>
                      <w:bCs/>
                      <w:color w:val="auto"/>
                      <w:szCs w:val="21"/>
                      <w:highlight w:val="none"/>
                      <w:lang w:val="en-US" w:eastAsia="zh-CN"/>
                    </w:rPr>
                    <w:t>酒精含量、</w:t>
                  </w:r>
                  <w:r>
                    <w:rPr>
                      <w:rFonts w:hint="default" w:ascii="Times New Roman" w:hAnsi="Times New Roman" w:cs="Times New Roman"/>
                      <w:bCs/>
                      <w:color w:val="auto"/>
                      <w:szCs w:val="21"/>
                      <w:highlight w:val="none"/>
                      <w:lang w:val="en-US" w:eastAsia="zh-CN"/>
                    </w:rPr>
                    <w:t>浊度及细菌指标</w:t>
                  </w:r>
                  <w:r>
                    <w:rPr>
                      <w:rFonts w:hint="eastAsia" w:ascii="Times New Roman" w:hAnsi="Times New Roman" w:cs="Times New Roman"/>
                      <w:bCs/>
                      <w:color w:val="auto"/>
                      <w:szCs w:val="21"/>
                      <w:highlight w:val="none"/>
                      <w:lang w:val="en-US" w:eastAsia="zh-CN"/>
                    </w:rPr>
                    <w:t>。</w:t>
                  </w:r>
                </w:p>
              </w:tc>
            </w:tr>
            <w:tr w14:paraId="34BF7A6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83" w:type="pct"/>
                  <w:vMerge w:val="restart"/>
                  <w:tcBorders>
                    <w:tl2br w:val="nil"/>
                    <w:tr2bl w:val="nil"/>
                  </w:tcBorders>
                  <w:noWrap w:val="0"/>
                  <w:vAlign w:val="center"/>
                </w:tcPr>
                <w:p w14:paraId="50BDCC86">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公用工程</w:t>
                  </w:r>
                </w:p>
              </w:tc>
              <w:tc>
                <w:tcPr>
                  <w:tcW w:w="911" w:type="pct"/>
                  <w:tcBorders>
                    <w:tl2br w:val="nil"/>
                    <w:tr2bl w:val="nil"/>
                  </w:tcBorders>
                  <w:noWrap w:val="0"/>
                  <w:vAlign w:val="center"/>
                </w:tcPr>
                <w:p w14:paraId="53F03634">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供水</w:t>
                  </w:r>
                </w:p>
              </w:tc>
              <w:tc>
                <w:tcPr>
                  <w:tcW w:w="3405" w:type="pct"/>
                  <w:tcBorders>
                    <w:tl2br w:val="nil"/>
                    <w:tr2bl w:val="nil"/>
                  </w:tcBorders>
                  <w:noWrap w:val="0"/>
                  <w:vAlign w:val="center"/>
                </w:tcPr>
                <w:p w14:paraId="66A11377">
                  <w:pPr>
                    <w:spacing w:before="12" w:beforeLines="5" w:after="12" w:afterLines="5"/>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生产生活用水</w:t>
                  </w:r>
                  <w:r>
                    <w:rPr>
                      <w:rFonts w:hint="eastAsia" w:ascii="Times New Roman" w:hAnsi="Times New Roman" w:cs="Times New Roman"/>
                      <w:color w:val="auto"/>
                      <w:szCs w:val="21"/>
                      <w:highlight w:val="none"/>
                      <w:lang w:val="en-US" w:eastAsia="zh-CN"/>
                    </w:rPr>
                    <w:t>来自园区供水</w:t>
                  </w:r>
                  <w:r>
                    <w:rPr>
                      <w:rFonts w:hint="default" w:ascii="Times New Roman" w:hAnsi="Times New Roman" w:cs="Times New Roman"/>
                      <w:color w:val="auto"/>
                      <w:szCs w:val="21"/>
                      <w:highlight w:val="none"/>
                      <w:lang w:val="en-US" w:eastAsia="zh-CN"/>
                    </w:rPr>
                    <w:t>管网</w:t>
                  </w:r>
                  <w:r>
                    <w:rPr>
                      <w:rFonts w:hint="eastAsia" w:ascii="Times New Roman" w:hAnsi="Times New Roman" w:cs="Times New Roman"/>
                      <w:color w:val="auto"/>
                      <w:szCs w:val="21"/>
                      <w:highlight w:val="none"/>
                      <w:lang w:val="en-US" w:eastAsia="zh-CN"/>
                    </w:rPr>
                    <w:t>；项目使用纯水由纯水机制备，纯水制备率为70%。</w:t>
                  </w:r>
                </w:p>
              </w:tc>
            </w:tr>
            <w:tr w14:paraId="1229055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pct"/>
                  <w:vMerge w:val="continue"/>
                  <w:tcBorders>
                    <w:tl2br w:val="nil"/>
                    <w:tr2bl w:val="nil"/>
                  </w:tcBorders>
                  <w:noWrap w:val="0"/>
                  <w:vAlign w:val="center"/>
                </w:tcPr>
                <w:p w14:paraId="00B39FA8">
                  <w:pPr>
                    <w:pStyle w:val="80"/>
                    <w:snapToGrid w:val="0"/>
                    <w:spacing w:before="12" w:beforeLines="5" w:after="12" w:afterLines="5"/>
                    <w:ind w:firstLine="480"/>
                    <w:rPr>
                      <w:rFonts w:hint="default" w:ascii="Times New Roman" w:hAnsi="Times New Roman" w:cs="Times New Roman"/>
                      <w:color w:val="auto"/>
                      <w:sz w:val="21"/>
                      <w:highlight w:val="none"/>
                      <w:lang w:val="en-US" w:eastAsia="zh-CN"/>
                    </w:rPr>
                  </w:pPr>
                </w:p>
              </w:tc>
              <w:tc>
                <w:tcPr>
                  <w:tcW w:w="911" w:type="pct"/>
                  <w:tcBorders>
                    <w:tl2br w:val="nil"/>
                    <w:tr2bl w:val="nil"/>
                  </w:tcBorders>
                  <w:noWrap w:val="0"/>
                  <w:vAlign w:val="center"/>
                </w:tcPr>
                <w:p w14:paraId="50D75A4F">
                  <w:pPr>
                    <w:spacing w:before="12" w:beforeLines="5" w:after="12" w:afterLines="5"/>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w:t>
                  </w:r>
                </w:p>
              </w:tc>
              <w:tc>
                <w:tcPr>
                  <w:tcW w:w="3405" w:type="pct"/>
                  <w:tcBorders>
                    <w:tl2br w:val="nil"/>
                    <w:tr2bl w:val="nil"/>
                  </w:tcBorders>
                  <w:noWrap w:val="0"/>
                  <w:vAlign w:val="center"/>
                </w:tcPr>
                <w:p w14:paraId="389B69D5">
                  <w:pPr>
                    <w:pStyle w:val="12"/>
                    <w:rPr>
                      <w:rFonts w:hint="eastAsia"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rPr>
                    <w:t>雨污分流；生活污水经化粪池收集</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rPr>
                    <w:t>后</w:t>
                  </w:r>
                  <w:r>
                    <w:rPr>
                      <w:rFonts w:hint="default" w:ascii="Times New Roman" w:hAnsi="Times New Roman" w:cs="Times New Roman"/>
                      <w:color w:val="auto"/>
                      <w:sz w:val="21"/>
                      <w:szCs w:val="21"/>
                      <w:highlight w:val="none"/>
                      <w:lang w:val="en-US" w:eastAsia="zh-CN"/>
                    </w:rPr>
                    <w:t>进入</w:t>
                  </w:r>
                  <w:r>
                    <w:rPr>
                      <w:rFonts w:hint="eastAsia" w:ascii="Times New Roman" w:hAnsi="Times New Roman" w:cs="Times New Roman"/>
                      <w:color w:val="auto"/>
                      <w:sz w:val="21"/>
                      <w:szCs w:val="21"/>
                      <w:highlight w:val="none"/>
                      <w:lang w:val="en-US" w:eastAsia="zh-CN"/>
                    </w:rPr>
                    <w:t>洋县污水处理厂</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纯水设备浓水、反冲洗废水、锅炉废水直接经管网排入洋县污水处理厂处理；生产设备清洗废水、鲜果清洗废水等</w:t>
                  </w:r>
                  <w:r>
                    <w:rPr>
                      <w:rFonts w:hint="default" w:ascii="Times New Roman" w:hAnsi="Times New Roman" w:cs="Times New Roman"/>
                      <w:color w:val="auto"/>
                      <w:sz w:val="21"/>
                      <w:szCs w:val="21"/>
                      <w:highlight w:val="none"/>
                      <w:lang w:val="en-US" w:eastAsia="zh-CN"/>
                    </w:rPr>
                    <w:t>生产废水经地下式</w:t>
                  </w:r>
                  <w:r>
                    <w:rPr>
                      <w:rFonts w:hint="eastAsia" w:ascii="Times New Roman" w:hAnsi="Times New Roman" w:cs="Times New Roman"/>
                      <w:color w:val="auto"/>
                      <w:sz w:val="21"/>
                      <w:szCs w:val="21"/>
                      <w:highlight w:val="none"/>
                      <w:lang w:val="en-US" w:eastAsia="zh-CN"/>
                    </w:rPr>
                    <w:t>收集</w:t>
                  </w:r>
                  <w:r>
                    <w:rPr>
                      <w:rFonts w:hint="default" w:ascii="Times New Roman" w:hAnsi="Times New Roman" w:cs="Times New Roman"/>
                      <w:color w:val="auto"/>
                      <w:sz w:val="21"/>
                      <w:szCs w:val="21"/>
                      <w:highlight w:val="none"/>
                      <w:lang w:val="en-US" w:eastAsia="zh-CN"/>
                    </w:rPr>
                    <w:t>沉淀池收集</w:t>
                  </w:r>
                  <w:r>
                    <w:rPr>
                      <w:rFonts w:hint="eastAsia" w:ascii="Times New Roman" w:hAnsi="Times New Roman" w:cs="Times New Roman"/>
                      <w:color w:val="auto"/>
                      <w:sz w:val="21"/>
                      <w:szCs w:val="21"/>
                      <w:highlight w:val="none"/>
                      <w:lang w:val="en-US" w:eastAsia="zh-CN"/>
                    </w:rPr>
                    <w:t>后</w:t>
                  </w:r>
                  <w:r>
                    <w:rPr>
                      <w:color w:val="auto"/>
                      <w:sz w:val="21"/>
                      <w:szCs w:val="21"/>
                      <w:highlight w:val="none"/>
                    </w:rPr>
                    <w:t>再</w:t>
                  </w:r>
                  <w:r>
                    <w:rPr>
                      <w:rFonts w:hint="eastAsia"/>
                      <w:color w:val="auto"/>
                      <w:sz w:val="21"/>
                      <w:szCs w:val="21"/>
                      <w:highlight w:val="none"/>
                    </w:rPr>
                    <w:t>经陕西朱鹮酒业有限公司厂区污水处理设施处理达标后排入洋县污水处理厂深度处理</w:t>
                  </w:r>
                  <w:r>
                    <w:rPr>
                      <w:rFonts w:hint="eastAsia"/>
                      <w:color w:val="auto"/>
                      <w:sz w:val="21"/>
                      <w:szCs w:val="21"/>
                      <w:highlight w:val="none"/>
                      <w:lang w:eastAsia="zh-CN"/>
                    </w:rPr>
                    <w:t>。</w:t>
                  </w:r>
                </w:p>
              </w:tc>
            </w:tr>
            <w:tr w14:paraId="3F3B91F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83" w:type="pct"/>
                  <w:vMerge w:val="continue"/>
                  <w:tcBorders>
                    <w:tl2br w:val="nil"/>
                    <w:tr2bl w:val="nil"/>
                  </w:tcBorders>
                  <w:noWrap w:val="0"/>
                  <w:vAlign w:val="center"/>
                </w:tcPr>
                <w:p w14:paraId="5D2D8611">
                  <w:pPr>
                    <w:spacing w:before="12" w:beforeLines="5" w:after="12" w:afterLines="5"/>
                    <w:jc w:val="center"/>
                    <w:rPr>
                      <w:rFonts w:hint="default" w:ascii="Times New Roman" w:hAnsi="Times New Roman" w:cs="Times New Roman"/>
                      <w:color w:val="auto"/>
                      <w:szCs w:val="21"/>
                      <w:highlight w:val="none"/>
                    </w:rPr>
                  </w:pPr>
                </w:p>
              </w:tc>
              <w:tc>
                <w:tcPr>
                  <w:tcW w:w="911" w:type="pct"/>
                  <w:tcBorders>
                    <w:tl2br w:val="nil"/>
                    <w:tr2bl w:val="nil"/>
                  </w:tcBorders>
                  <w:noWrap w:val="0"/>
                  <w:vAlign w:val="center"/>
                </w:tcPr>
                <w:p w14:paraId="22A96F2B">
                  <w:pPr>
                    <w:spacing w:before="12" w:beforeLines="5" w:after="12" w:afterLines="5"/>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供电</w:t>
                  </w:r>
                </w:p>
              </w:tc>
              <w:tc>
                <w:tcPr>
                  <w:tcW w:w="3405" w:type="pct"/>
                  <w:tcBorders>
                    <w:tl2br w:val="nil"/>
                    <w:tr2bl w:val="nil"/>
                  </w:tcBorders>
                  <w:noWrap w:val="0"/>
                  <w:vAlign w:val="center"/>
                </w:tcPr>
                <w:p w14:paraId="2C890542">
                  <w:pPr>
                    <w:spacing w:before="12" w:beforeLines="5" w:after="12" w:afterLines="5"/>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接自</w:t>
                  </w:r>
                  <w:r>
                    <w:rPr>
                      <w:rFonts w:hint="default" w:ascii="Times New Roman" w:hAnsi="Times New Roman" w:cs="Times New Roman"/>
                      <w:color w:val="auto"/>
                      <w:szCs w:val="21"/>
                      <w:highlight w:val="none"/>
                      <w:lang w:val="en-US" w:eastAsia="zh-CN"/>
                    </w:rPr>
                    <w:t>园区</w:t>
                  </w:r>
                  <w:r>
                    <w:rPr>
                      <w:rFonts w:hint="default" w:ascii="Times New Roman" w:hAnsi="Times New Roman" w:cs="Times New Roman"/>
                      <w:color w:val="auto"/>
                      <w:szCs w:val="21"/>
                      <w:highlight w:val="none"/>
                    </w:rPr>
                    <w:t>电网</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厂内设配电室。</w:t>
                  </w:r>
                </w:p>
              </w:tc>
            </w:tr>
            <w:tr w14:paraId="64C73E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83" w:type="pct"/>
                  <w:vMerge w:val="restart"/>
                  <w:tcBorders>
                    <w:tl2br w:val="nil"/>
                    <w:tr2bl w:val="nil"/>
                  </w:tcBorders>
                  <w:noWrap w:val="0"/>
                  <w:vAlign w:val="center"/>
                </w:tcPr>
                <w:p w14:paraId="3FD1C1FD">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环保</w:t>
                  </w:r>
                </w:p>
                <w:p w14:paraId="6C6957CF">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工程</w:t>
                  </w:r>
                </w:p>
              </w:tc>
              <w:tc>
                <w:tcPr>
                  <w:tcW w:w="911" w:type="pct"/>
                  <w:tcBorders>
                    <w:tl2br w:val="nil"/>
                    <w:tr2bl w:val="nil"/>
                  </w:tcBorders>
                  <w:noWrap w:val="0"/>
                  <w:vAlign w:val="center"/>
                </w:tcPr>
                <w:p w14:paraId="00361E51">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废水治理</w:t>
                  </w:r>
                </w:p>
              </w:tc>
              <w:tc>
                <w:tcPr>
                  <w:tcW w:w="3405" w:type="pct"/>
                  <w:tcBorders>
                    <w:tl2br w:val="nil"/>
                    <w:tr2bl w:val="nil"/>
                  </w:tcBorders>
                  <w:noWrap w:val="0"/>
                  <w:vAlign w:val="center"/>
                </w:tcPr>
                <w:p w14:paraId="2C9FD152">
                  <w:pPr>
                    <w:spacing w:before="12" w:beforeLines="5" w:after="12" w:afterLines="5"/>
                    <w:jc w:val="both"/>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生活污水经化粪池收集</w:t>
                  </w:r>
                  <w:r>
                    <w:rPr>
                      <w:rFonts w:hint="default" w:ascii="Times New Roman" w:hAnsi="Times New Roman" w:cs="Times New Roman"/>
                      <w:color w:val="auto"/>
                      <w:szCs w:val="21"/>
                      <w:highlight w:val="none"/>
                      <w:lang w:val="en-US" w:eastAsia="zh-CN"/>
                    </w:rPr>
                    <w:t>处理</w:t>
                  </w:r>
                  <w:r>
                    <w:rPr>
                      <w:rFonts w:hint="default" w:ascii="Times New Roman" w:hAnsi="Times New Roman" w:cs="Times New Roman"/>
                      <w:color w:val="auto"/>
                      <w:szCs w:val="21"/>
                      <w:highlight w:val="none"/>
                    </w:rPr>
                    <w:t>后</w:t>
                  </w:r>
                  <w:r>
                    <w:rPr>
                      <w:rFonts w:hint="default" w:ascii="Times New Roman" w:hAnsi="Times New Roman" w:cs="Times New Roman"/>
                      <w:color w:val="auto"/>
                      <w:szCs w:val="21"/>
                      <w:highlight w:val="none"/>
                      <w:lang w:val="en-US" w:eastAsia="zh-CN"/>
                    </w:rPr>
                    <w:t>进入</w:t>
                  </w:r>
                  <w:r>
                    <w:rPr>
                      <w:rFonts w:hint="eastAsia" w:ascii="Times New Roman" w:hAnsi="Times New Roman" w:cs="Times New Roman"/>
                      <w:color w:val="auto"/>
                      <w:szCs w:val="21"/>
                      <w:highlight w:val="none"/>
                      <w:lang w:val="en-US" w:eastAsia="zh-CN"/>
                    </w:rPr>
                    <w:t>洋县污水处理厂</w:t>
                  </w:r>
                  <w:r>
                    <w:rPr>
                      <w:rFonts w:hint="default" w:ascii="Times New Roman" w:hAnsi="Times New Roman" w:cs="Times New Roman"/>
                      <w:color w:val="auto"/>
                      <w:szCs w:val="21"/>
                      <w:highlight w:val="none"/>
                      <w:lang w:val="en-US" w:eastAsia="zh-CN"/>
                    </w:rPr>
                    <w:t>处理</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eastAsia="zh-CN"/>
                    </w:rPr>
                    <w:t>纯水设备浓水、反冲洗废水、锅炉废水直接经管网排入洋县污水处理厂处理；</w:t>
                  </w:r>
                  <w:r>
                    <w:rPr>
                      <w:rFonts w:hint="eastAsia" w:ascii="Times New Roman" w:hAnsi="Times New Roman" w:cs="Times New Roman"/>
                      <w:color w:val="auto"/>
                      <w:sz w:val="21"/>
                      <w:szCs w:val="21"/>
                      <w:highlight w:val="none"/>
                      <w:lang w:eastAsia="zh-CN"/>
                    </w:rPr>
                    <w:t>生产设备清洗废水、鲜果清洗废水等</w:t>
                  </w:r>
                  <w:r>
                    <w:rPr>
                      <w:rFonts w:hint="default" w:ascii="Times New Roman" w:hAnsi="Times New Roman" w:cs="Times New Roman"/>
                      <w:color w:val="auto"/>
                      <w:sz w:val="21"/>
                      <w:szCs w:val="21"/>
                      <w:highlight w:val="none"/>
                      <w:lang w:val="en-US" w:eastAsia="zh-CN"/>
                    </w:rPr>
                    <w:t>生产废水经地下式收集沉淀池收集后再经陕西朱鹮酒业有限公司厂区污水处理设施处理达标后排入洋县污水处理厂深度处理。</w:t>
                  </w:r>
                </w:p>
              </w:tc>
            </w:tr>
            <w:tr w14:paraId="0639D2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83" w:type="pct"/>
                  <w:vMerge w:val="continue"/>
                  <w:tcBorders>
                    <w:tl2br w:val="nil"/>
                    <w:tr2bl w:val="nil"/>
                  </w:tcBorders>
                  <w:noWrap w:val="0"/>
                  <w:vAlign w:val="center"/>
                </w:tcPr>
                <w:p w14:paraId="56511AF5">
                  <w:pPr>
                    <w:spacing w:before="12" w:beforeLines="5" w:after="12" w:afterLines="5"/>
                    <w:jc w:val="center"/>
                    <w:rPr>
                      <w:rFonts w:hint="default" w:ascii="Times New Roman" w:hAnsi="Times New Roman" w:cs="Times New Roman"/>
                      <w:color w:val="auto"/>
                      <w:szCs w:val="21"/>
                      <w:highlight w:val="none"/>
                    </w:rPr>
                  </w:pPr>
                </w:p>
              </w:tc>
              <w:tc>
                <w:tcPr>
                  <w:tcW w:w="911" w:type="pct"/>
                  <w:tcBorders>
                    <w:tl2br w:val="nil"/>
                    <w:tr2bl w:val="nil"/>
                  </w:tcBorders>
                  <w:noWrap w:val="0"/>
                  <w:vAlign w:val="center"/>
                </w:tcPr>
                <w:p w14:paraId="29873BA2">
                  <w:pPr>
                    <w:pStyle w:val="80"/>
                    <w:snapToGrid w:val="0"/>
                    <w:spacing w:before="12" w:beforeLines="5" w:after="12" w:afterLines="5"/>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废气治理</w:t>
                  </w:r>
                </w:p>
              </w:tc>
              <w:tc>
                <w:tcPr>
                  <w:tcW w:w="3405" w:type="pct"/>
                  <w:tcBorders>
                    <w:tl2br w:val="nil"/>
                    <w:tr2bl w:val="nil"/>
                  </w:tcBorders>
                  <w:noWrap w:val="0"/>
                  <w:vAlign w:val="center"/>
                </w:tcPr>
                <w:p w14:paraId="265D57E8">
                  <w:pPr>
                    <w:rPr>
                      <w:rFonts w:hint="eastAsia" w:ascii="Times New Roman" w:hAnsi="Times New Roman"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食堂油烟经吸油烟机抽出后经专用烟道从屋顶高空排放；</w:t>
                  </w:r>
                </w:p>
                <w:p w14:paraId="3C6C628C">
                  <w:pPr>
                    <w:rPr>
                      <w:rFonts w:hint="default" w:ascii="Times New Roman" w:hAnsi="Times New Roman"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蒸煮、调制</w:t>
                  </w:r>
                  <w:r>
                    <w:rPr>
                      <w:rFonts w:hint="default" w:ascii="Times New Roman" w:hAnsi="Times New Roman" w:cs="Times New Roman"/>
                      <w:color w:val="auto"/>
                      <w:szCs w:val="21"/>
                      <w:highlight w:val="none"/>
                      <w:lang w:val="en-US" w:eastAsia="zh-CN" w:bidi="ar"/>
                    </w:rPr>
                    <w:t>异味通过通风系统，抽至室外排放；</w:t>
                  </w:r>
                </w:p>
                <w:p w14:paraId="20F81E58">
                  <w:pPr>
                    <w:rPr>
                      <w:rFonts w:hint="default" w:ascii="Times New Roman" w:hAnsi="Times New Roman" w:cs="Times New Roman"/>
                      <w:color w:val="auto"/>
                      <w:szCs w:val="21"/>
                      <w:highlight w:val="none"/>
                      <w:lang w:val="en-US" w:eastAsia="zh-CN" w:bidi="ar"/>
                    </w:rPr>
                  </w:pPr>
                  <w:r>
                    <w:rPr>
                      <w:rFonts w:hint="eastAsia" w:ascii="Times New Roman" w:hAnsi="Times New Roman" w:cs="Times New Roman"/>
                      <w:color w:val="auto"/>
                      <w:szCs w:val="21"/>
                      <w:highlight w:val="none"/>
                      <w:lang w:val="en-US" w:eastAsia="zh-CN" w:bidi="ar"/>
                    </w:rPr>
                    <w:t>生产过程中挥发少量的乙醇、醋酸以无组织形式挥发。</w:t>
                  </w:r>
                </w:p>
              </w:tc>
            </w:tr>
            <w:tr w14:paraId="715AA2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83" w:type="pct"/>
                  <w:vMerge w:val="continue"/>
                  <w:tcBorders>
                    <w:tl2br w:val="nil"/>
                    <w:tr2bl w:val="nil"/>
                  </w:tcBorders>
                  <w:noWrap w:val="0"/>
                  <w:vAlign w:val="center"/>
                </w:tcPr>
                <w:p w14:paraId="55B49B51">
                  <w:pPr>
                    <w:spacing w:before="12" w:beforeLines="5" w:after="12" w:afterLines="5"/>
                    <w:jc w:val="center"/>
                    <w:rPr>
                      <w:rFonts w:hint="default" w:ascii="Times New Roman" w:hAnsi="Times New Roman" w:cs="Times New Roman"/>
                      <w:color w:val="auto"/>
                      <w:szCs w:val="21"/>
                      <w:highlight w:val="none"/>
                    </w:rPr>
                  </w:pPr>
                </w:p>
              </w:tc>
              <w:tc>
                <w:tcPr>
                  <w:tcW w:w="911" w:type="pct"/>
                  <w:tcBorders>
                    <w:tl2br w:val="nil"/>
                    <w:tr2bl w:val="nil"/>
                  </w:tcBorders>
                  <w:noWrap w:val="0"/>
                  <w:vAlign w:val="center"/>
                </w:tcPr>
                <w:p w14:paraId="14ACF499">
                  <w:pPr>
                    <w:spacing w:before="12" w:beforeLines="5" w:after="12" w:afterLines="5"/>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噪声控制</w:t>
                  </w:r>
                </w:p>
              </w:tc>
              <w:tc>
                <w:tcPr>
                  <w:tcW w:w="3405" w:type="pct"/>
                  <w:tcBorders>
                    <w:tl2br w:val="nil"/>
                    <w:tr2bl w:val="nil"/>
                  </w:tcBorders>
                  <w:noWrap w:val="0"/>
                  <w:vAlign w:val="center"/>
                </w:tcPr>
                <w:p w14:paraId="43B41D34">
                  <w:pPr>
                    <w:spacing w:before="12" w:beforeLines="5" w:after="12" w:afterLines="5"/>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选购低噪声设备，合理安排运行时间，并采取厂房隔声、优化生产设备布设</w:t>
                  </w:r>
                  <w:r>
                    <w:rPr>
                      <w:rFonts w:hint="default" w:ascii="Times New Roman" w:hAnsi="Times New Roman" w:cs="Times New Roman"/>
                      <w:color w:val="auto"/>
                      <w:szCs w:val="21"/>
                      <w:highlight w:val="none"/>
                      <w:lang w:val="en-US" w:eastAsia="zh-CN"/>
                    </w:rPr>
                    <w:t>等措施控制噪声。</w:t>
                  </w:r>
                </w:p>
              </w:tc>
            </w:tr>
            <w:tr w14:paraId="052A98B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83" w:type="pct"/>
                  <w:vMerge w:val="continue"/>
                  <w:tcBorders>
                    <w:tl2br w:val="nil"/>
                    <w:tr2bl w:val="nil"/>
                  </w:tcBorders>
                  <w:noWrap w:val="0"/>
                  <w:vAlign w:val="center"/>
                </w:tcPr>
                <w:p w14:paraId="06F0DA29">
                  <w:pPr>
                    <w:spacing w:before="12" w:beforeLines="5" w:after="12" w:afterLines="5"/>
                    <w:jc w:val="center"/>
                    <w:rPr>
                      <w:rFonts w:hint="default" w:ascii="Times New Roman" w:hAnsi="Times New Roman" w:cs="Times New Roman"/>
                      <w:color w:val="auto"/>
                      <w:szCs w:val="21"/>
                      <w:highlight w:val="none"/>
                    </w:rPr>
                  </w:pPr>
                </w:p>
              </w:tc>
              <w:tc>
                <w:tcPr>
                  <w:tcW w:w="911" w:type="pct"/>
                  <w:tcBorders>
                    <w:tl2br w:val="nil"/>
                    <w:tr2bl w:val="nil"/>
                  </w:tcBorders>
                  <w:noWrap w:val="0"/>
                  <w:vAlign w:val="center"/>
                </w:tcPr>
                <w:p w14:paraId="2EED91B0">
                  <w:pPr>
                    <w:spacing w:before="12" w:beforeLines="5" w:after="12" w:afterLines="5"/>
                    <w:ind w:firstLine="105" w:firstLineChars="5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固废处置</w:t>
                  </w:r>
                </w:p>
              </w:tc>
              <w:tc>
                <w:tcPr>
                  <w:tcW w:w="3405" w:type="pct"/>
                  <w:tcBorders>
                    <w:tl2br w:val="nil"/>
                    <w:tr2bl w:val="nil"/>
                  </w:tcBorders>
                  <w:noWrap w:val="0"/>
                  <w:vAlign w:val="center"/>
                </w:tcPr>
                <w:p w14:paraId="228A2683">
                  <w:pPr>
                    <w:adjustRightInd w:val="0"/>
                    <w:snapToGrid w:val="0"/>
                    <w:jc w:val="both"/>
                    <w:rPr>
                      <w:rFonts w:hint="default"/>
                      <w:color w:val="auto"/>
                      <w:highlight w:val="none"/>
                      <w:lang w:val="en-US" w:eastAsia="zh-CN"/>
                    </w:rPr>
                  </w:pPr>
                  <w:r>
                    <w:rPr>
                      <w:rFonts w:hint="eastAsia" w:ascii="Times New Roman" w:hAnsi="Times New Roman" w:cs="Times New Roman"/>
                      <w:color w:val="auto"/>
                      <w:szCs w:val="21"/>
                      <w:highlight w:val="none"/>
                      <w:lang w:eastAsia="zh-CN"/>
                    </w:rPr>
                    <w:t>山茱萸果核、色选杂质（</w:t>
                  </w:r>
                  <w:r>
                    <w:rPr>
                      <w:rFonts w:hint="default" w:ascii="Times New Roman" w:hAnsi="Times New Roman" w:cs="Times New Roman"/>
                      <w:color w:val="auto"/>
                      <w:szCs w:val="21"/>
                      <w:highlight w:val="none"/>
                    </w:rPr>
                    <w:t>变质果、霉果</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集中收集后，暂存于一般固废暂存间内，定期周边农户清运用于制作农田肥料</w:t>
                  </w:r>
                  <w:r>
                    <w:rPr>
                      <w:rFonts w:hint="eastAsia" w:ascii="Times New Roman" w:hAnsi="Times New Roman" w:cs="Times New Roman"/>
                      <w:color w:val="auto"/>
                      <w:szCs w:val="21"/>
                      <w:highlight w:val="none"/>
                      <w:lang w:eastAsia="zh-CN"/>
                    </w:rPr>
                    <w:t>；生</w:t>
                  </w:r>
                  <w:r>
                    <w:rPr>
                      <w:rFonts w:hint="default" w:ascii="Times New Roman" w:hAnsi="Times New Roman" w:cs="Times New Roman"/>
                      <w:color w:val="auto"/>
                      <w:szCs w:val="21"/>
                      <w:highlight w:val="none"/>
                    </w:rPr>
                    <w:t>活垃圾经收集后交由环卫部门处置；</w:t>
                  </w:r>
                  <w:r>
                    <w:rPr>
                      <w:rFonts w:hint="default" w:ascii="Times New Roman" w:hAnsi="Times New Roman" w:cs="Times New Roman"/>
                      <w:color w:val="auto"/>
                      <w:szCs w:val="21"/>
                      <w:highlight w:val="none"/>
                      <w:lang w:val="en-US" w:eastAsia="zh-CN"/>
                    </w:rPr>
                    <w:t>废包装袋等收集后交由专业废品收集单位处置</w:t>
                  </w:r>
                  <w:r>
                    <w:rPr>
                      <w:rFonts w:hint="eastAsia" w:ascii="Times New Roman" w:hAnsi="Times New Roman" w:cs="Times New Roman"/>
                      <w:color w:val="auto"/>
                      <w:szCs w:val="21"/>
                      <w:highlight w:val="none"/>
                      <w:lang w:val="en-US" w:eastAsia="zh-CN"/>
                    </w:rPr>
                    <w:t>；项目生产运营过程中产生的检验废液属于危险废物，应定期交由有危废处置资质的单位处理</w:t>
                  </w:r>
                  <w:r>
                    <w:rPr>
                      <w:rFonts w:hint="default" w:ascii="Times New Roman" w:hAnsi="Times New Roman" w:cs="Times New Roman"/>
                      <w:color w:val="auto"/>
                      <w:szCs w:val="21"/>
                      <w:highlight w:val="none"/>
                      <w:lang w:val="en-US" w:eastAsia="zh-CN"/>
                    </w:rPr>
                    <w:t>。</w:t>
                  </w:r>
                </w:p>
              </w:tc>
            </w:tr>
            <w:bookmarkEnd w:id="3"/>
          </w:tbl>
          <w:p w14:paraId="6AA43C3B">
            <w:pPr>
              <w:spacing w:line="360" w:lineRule="auto"/>
              <w:ind w:firstLine="482" w:firstLineChars="200"/>
              <w:rPr>
                <w:rFonts w:hint="eastAsia"/>
                <w:b/>
                <w:bCs/>
                <w:color w:val="auto"/>
                <w:sz w:val="24"/>
                <w:highlight w:val="none"/>
                <w:lang w:bidi="ar"/>
              </w:rPr>
            </w:pPr>
            <w:r>
              <w:rPr>
                <w:rFonts w:hint="eastAsia"/>
                <w:b/>
                <w:bCs/>
                <w:color w:val="auto"/>
                <w:sz w:val="24"/>
                <w:highlight w:val="none"/>
                <w:lang w:bidi="ar"/>
              </w:rPr>
              <w:t>二、项目产品方案</w:t>
            </w:r>
          </w:p>
          <w:p w14:paraId="5198D49E">
            <w:pPr>
              <w:jc w:val="center"/>
              <w:rPr>
                <w:b/>
                <w:color w:val="auto"/>
                <w:szCs w:val="21"/>
                <w:highlight w:val="none"/>
              </w:rPr>
            </w:pPr>
            <w:r>
              <w:rPr>
                <w:b/>
                <w:color w:val="auto"/>
                <w:szCs w:val="21"/>
                <w:highlight w:val="none"/>
              </w:rPr>
              <w:t xml:space="preserve">表2-2   </w:t>
            </w:r>
            <w:r>
              <w:rPr>
                <w:rFonts w:hint="eastAsia"/>
                <w:b/>
                <w:color w:val="auto"/>
                <w:szCs w:val="21"/>
                <w:highlight w:val="none"/>
              </w:rPr>
              <w:t>项目</w:t>
            </w:r>
            <w:r>
              <w:rPr>
                <w:b/>
                <w:color w:val="auto"/>
                <w:szCs w:val="21"/>
                <w:highlight w:val="none"/>
              </w:rPr>
              <w:t>产品方案</w:t>
            </w:r>
            <w:r>
              <w:rPr>
                <w:rFonts w:hint="eastAsia"/>
                <w:b/>
                <w:color w:val="auto"/>
                <w:szCs w:val="21"/>
                <w:highlight w:val="none"/>
              </w:rPr>
              <w:t xml:space="preserve">    单位：t/a</w:t>
            </w:r>
          </w:p>
          <w:tbl>
            <w:tblPr>
              <w:tblStyle w:val="28"/>
              <w:tblW w:w="81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01"/>
              <w:gridCol w:w="4858"/>
            </w:tblGrid>
            <w:tr w14:paraId="44581D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3301" w:type="dxa"/>
                  <w:tcBorders>
                    <w:top w:val="single" w:color="auto" w:sz="4" w:space="0"/>
                    <w:left w:val="single" w:color="auto" w:sz="4" w:space="0"/>
                    <w:bottom w:val="single" w:color="auto" w:sz="4" w:space="0"/>
                    <w:right w:val="single" w:color="auto" w:sz="4" w:space="0"/>
                  </w:tcBorders>
                  <w:noWrap w:val="0"/>
                  <w:vAlign w:val="center"/>
                </w:tcPr>
                <w:p w14:paraId="692D7D5F">
                  <w:pPr>
                    <w:autoSpaceDN w:val="0"/>
                    <w:jc w:val="center"/>
                    <w:rPr>
                      <w:rFonts w:hint="eastAsia" w:ascii="宋体"/>
                      <w:color w:val="auto"/>
                      <w:szCs w:val="21"/>
                      <w:highlight w:val="none"/>
                    </w:rPr>
                  </w:pPr>
                  <w:r>
                    <w:rPr>
                      <w:rFonts w:hint="eastAsia" w:ascii="宋体"/>
                      <w:color w:val="auto"/>
                      <w:szCs w:val="21"/>
                      <w:highlight w:val="none"/>
                    </w:rPr>
                    <w:t>产品名称</w:t>
                  </w:r>
                </w:p>
              </w:tc>
              <w:tc>
                <w:tcPr>
                  <w:tcW w:w="4858" w:type="dxa"/>
                  <w:tcBorders>
                    <w:top w:val="single" w:color="auto" w:sz="4" w:space="0"/>
                    <w:left w:val="single" w:color="auto" w:sz="4" w:space="0"/>
                    <w:bottom w:val="single" w:color="auto" w:sz="4" w:space="0"/>
                    <w:right w:val="single" w:color="auto" w:sz="4" w:space="0"/>
                  </w:tcBorders>
                  <w:noWrap w:val="0"/>
                  <w:vAlign w:val="center"/>
                </w:tcPr>
                <w:p w14:paraId="499D9EBA">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rPr>
                    <w:t>产量</w:t>
                  </w:r>
                </w:p>
              </w:tc>
            </w:tr>
            <w:tr w14:paraId="63123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3301" w:type="dxa"/>
                  <w:tcBorders>
                    <w:top w:val="single" w:color="auto" w:sz="4" w:space="0"/>
                    <w:left w:val="single" w:color="auto" w:sz="4" w:space="0"/>
                    <w:bottom w:val="single" w:color="auto" w:sz="4" w:space="0"/>
                    <w:right w:val="single" w:color="auto" w:sz="4" w:space="0"/>
                  </w:tcBorders>
                  <w:noWrap w:val="0"/>
                  <w:vAlign w:val="center"/>
                </w:tcPr>
                <w:p w14:paraId="42D88344">
                  <w:pPr>
                    <w:snapToGrid w:val="0"/>
                    <w:spacing w:before="24" w:beforeLines="10" w:after="24" w:afterLines="10"/>
                    <w:jc w:val="center"/>
                    <w:rPr>
                      <w:rFonts w:hint="eastAsia" w:ascii="宋体"/>
                      <w:color w:val="auto"/>
                      <w:szCs w:val="21"/>
                      <w:highlight w:val="none"/>
                    </w:rPr>
                  </w:pPr>
                  <w:r>
                    <w:rPr>
                      <w:rFonts w:hint="eastAsia" w:ascii="Times New Roman" w:hAnsi="Times New Roman" w:eastAsia="宋体" w:cs="Times New Roman"/>
                      <w:b w:val="0"/>
                      <w:bCs w:val="0"/>
                      <w:color w:val="auto"/>
                      <w:highlight w:val="none"/>
                      <w:lang w:val="en-US" w:eastAsia="zh-CN"/>
                    </w:rPr>
                    <w:t>干山茱萸</w:t>
                  </w:r>
                </w:p>
              </w:tc>
              <w:tc>
                <w:tcPr>
                  <w:tcW w:w="4858" w:type="dxa"/>
                  <w:tcBorders>
                    <w:top w:val="single" w:color="auto" w:sz="4" w:space="0"/>
                    <w:left w:val="single" w:color="auto" w:sz="4" w:space="0"/>
                    <w:bottom w:val="single" w:color="auto" w:sz="4" w:space="0"/>
                    <w:right w:val="single" w:color="auto" w:sz="4" w:space="0"/>
                  </w:tcBorders>
                  <w:noWrap w:val="0"/>
                  <w:vAlign w:val="center"/>
                </w:tcPr>
                <w:p w14:paraId="2629D790">
                  <w:pPr>
                    <w:tabs>
                      <w:tab w:val="left" w:pos="615"/>
                    </w:tabs>
                    <w:adjustRightInd w:val="0"/>
                    <w:snapToGrid w:val="0"/>
                    <w:jc w:val="center"/>
                    <w:rPr>
                      <w:rFonts w:hint="default" w:eastAsia="宋体"/>
                      <w:color w:val="auto"/>
                      <w:szCs w:val="21"/>
                      <w:highlight w:val="none"/>
                      <w:lang w:val="en-US" w:eastAsia="zh-CN"/>
                    </w:rPr>
                  </w:pPr>
                  <w:r>
                    <w:rPr>
                      <w:rFonts w:hint="eastAsia"/>
                      <w:bCs/>
                      <w:color w:val="auto"/>
                      <w:szCs w:val="21"/>
                      <w:highlight w:val="none"/>
                      <w:lang w:val="en-US" w:eastAsia="zh-CN"/>
                    </w:rPr>
                    <w:t>1623.75</w:t>
                  </w:r>
                </w:p>
              </w:tc>
            </w:tr>
            <w:tr w14:paraId="763E93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3301" w:type="dxa"/>
                  <w:tcBorders>
                    <w:top w:val="single" w:color="auto" w:sz="4" w:space="0"/>
                    <w:left w:val="single" w:color="auto" w:sz="4" w:space="0"/>
                    <w:bottom w:val="single" w:color="auto" w:sz="4" w:space="0"/>
                    <w:right w:val="single" w:color="auto" w:sz="4" w:space="0"/>
                  </w:tcBorders>
                  <w:noWrap w:val="0"/>
                  <w:vAlign w:val="center"/>
                </w:tcPr>
                <w:p w14:paraId="6ACCC74F">
                  <w:pPr>
                    <w:jc w:val="center"/>
                    <w:rPr>
                      <w:rFonts w:hint="eastAsia" w:ascii="宋体" w:eastAsia="宋体"/>
                      <w:color w:val="auto"/>
                      <w:szCs w:val="21"/>
                      <w:highlight w:val="none"/>
                      <w:lang w:eastAsia="zh-CN"/>
                    </w:rPr>
                  </w:pPr>
                  <w:r>
                    <w:rPr>
                      <w:rFonts w:hint="eastAsia" w:ascii="Times New Roman" w:hAnsi="Times New Roman" w:eastAsia="宋体" w:cs="Times New Roman"/>
                      <w:color w:val="auto"/>
                      <w:kern w:val="2"/>
                      <w:sz w:val="21"/>
                      <w:szCs w:val="24"/>
                      <w:highlight w:val="none"/>
                      <w:lang w:val="en-US" w:eastAsia="zh-CN" w:bidi="ar-SA"/>
                    </w:rPr>
                    <w:t>山茱萸饮品（饮料）</w:t>
                  </w:r>
                </w:p>
              </w:tc>
              <w:tc>
                <w:tcPr>
                  <w:tcW w:w="4858" w:type="dxa"/>
                  <w:tcBorders>
                    <w:top w:val="single" w:color="auto" w:sz="4" w:space="0"/>
                    <w:left w:val="single" w:color="auto" w:sz="4" w:space="0"/>
                    <w:bottom w:val="single" w:color="auto" w:sz="4" w:space="0"/>
                    <w:right w:val="single" w:color="auto" w:sz="4" w:space="0"/>
                  </w:tcBorders>
                  <w:noWrap w:val="0"/>
                  <w:vAlign w:val="center"/>
                </w:tcPr>
                <w:p w14:paraId="1209AC06">
                  <w:pPr>
                    <w:tabs>
                      <w:tab w:val="left" w:pos="615"/>
                    </w:tabs>
                    <w:adjustRightInd w:val="0"/>
                    <w:snapToGrid w:val="0"/>
                    <w:jc w:val="center"/>
                    <w:rPr>
                      <w:rFonts w:hint="default" w:eastAsia="宋体"/>
                      <w:color w:val="auto"/>
                      <w:szCs w:val="21"/>
                      <w:highlight w:val="none"/>
                      <w:lang w:val="en-US" w:eastAsia="zh-CN"/>
                    </w:rPr>
                  </w:pPr>
                  <w:r>
                    <w:rPr>
                      <w:rFonts w:hint="eastAsia" w:eastAsia="宋体"/>
                      <w:bCs/>
                      <w:color w:val="auto"/>
                      <w:kern w:val="2"/>
                      <w:sz w:val="21"/>
                      <w:szCs w:val="21"/>
                      <w:highlight w:val="none"/>
                      <w:lang w:val="en-US" w:eastAsia="zh-CN" w:bidi="ar-SA"/>
                    </w:rPr>
                    <w:t>670.13</w:t>
                  </w:r>
                </w:p>
              </w:tc>
            </w:tr>
            <w:tr w14:paraId="695750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3301" w:type="dxa"/>
                  <w:tcBorders>
                    <w:top w:val="single" w:color="auto" w:sz="4" w:space="0"/>
                    <w:left w:val="single" w:color="auto" w:sz="4" w:space="0"/>
                    <w:bottom w:val="single" w:color="auto" w:sz="4" w:space="0"/>
                    <w:right w:val="single" w:color="auto" w:sz="4" w:space="0"/>
                  </w:tcBorders>
                  <w:noWrap w:val="0"/>
                  <w:vAlign w:val="center"/>
                </w:tcPr>
                <w:p w14:paraId="7A993852">
                  <w:pPr>
                    <w:snapToGrid w:val="0"/>
                    <w:spacing w:before="24" w:beforeLines="10" w:after="24" w:afterLines="10"/>
                    <w:jc w:val="center"/>
                    <w:rPr>
                      <w:rFonts w:hint="eastAsia" w:ascii="宋体" w:eastAsia="宋体"/>
                      <w:color w:val="auto"/>
                      <w:szCs w:val="21"/>
                      <w:highlight w:val="none"/>
                      <w:lang w:eastAsia="zh-CN"/>
                    </w:rPr>
                  </w:pPr>
                  <w:r>
                    <w:rPr>
                      <w:rFonts w:hint="eastAsia" w:ascii="Times New Roman" w:hAnsi="Times New Roman" w:eastAsia="宋体" w:cs="Times New Roman"/>
                      <w:b w:val="0"/>
                      <w:bCs w:val="0"/>
                      <w:color w:val="auto"/>
                      <w:kern w:val="2"/>
                      <w:sz w:val="21"/>
                      <w:szCs w:val="24"/>
                      <w:highlight w:val="none"/>
                      <w:lang w:val="en-US" w:eastAsia="zh-CN" w:bidi="ar-SA"/>
                    </w:rPr>
                    <w:t>山茱萸酒</w:t>
                  </w:r>
                </w:p>
              </w:tc>
              <w:tc>
                <w:tcPr>
                  <w:tcW w:w="4858" w:type="dxa"/>
                  <w:tcBorders>
                    <w:top w:val="single" w:color="auto" w:sz="4" w:space="0"/>
                    <w:left w:val="single" w:color="auto" w:sz="4" w:space="0"/>
                    <w:bottom w:val="single" w:color="auto" w:sz="4" w:space="0"/>
                    <w:right w:val="single" w:color="auto" w:sz="4" w:space="0"/>
                  </w:tcBorders>
                  <w:noWrap w:val="0"/>
                  <w:vAlign w:val="center"/>
                </w:tcPr>
                <w:p w14:paraId="6454203F">
                  <w:pPr>
                    <w:tabs>
                      <w:tab w:val="left" w:pos="2418"/>
                      <w:tab w:val="left" w:pos="4203"/>
                      <w:tab w:val="left" w:pos="5708"/>
                      <w:tab w:val="left" w:pos="7213"/>
                      <w:tab w:val="left" w:pos="8718"/>
                    </w:tabs>
                    <w:adjustRightInd w:val="0"/>
                    <w:snapToGrid w:val="0"/>
                    <w:jc w:val="center"/>
                    <w:rPr>
                      <w:rFonts w:hint="default" w:eastAsia="宋体"/>
                      <w:color w:val="auto"/>
                      <w:szCs w:val="21"/>
                      <w:highlight w:val="none"/>
                      <w:lang w:val="en-US" w:eastAsia="zh-CN"/>
                    </w:rPr>
                  </w:pPr>
                  <w:r>
                    <w:rPr>
                      <w:rFonts w:hint="eastAsia" w:eastAsia="宋体"/>
                      <w:bCs/>
                      <w:color w:val="auto"/>
                      <w:kern w:val="2"/>
                      <w:sz w:val="21"/>
                      <w:szCs w:val="21"/>
                      <w:highlight w:val="none"/>
                      <w:lang w:val="en-US" w:eastAsia="zh-CN" w:bidi="ar-SA"/>
                    </w:rPr>
                    <w:t>670.12</w:t>
                  </w:r>
                </w:p>
              </w:tc>
            </w:tr>
            <w:tr w14:paraId="2AA47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3301" w:type="dxa"/>
                  <w:tcBorders>
                    <w:top w:val="single" w:color="auto" w:sz="4" w:space="0"/>
                    <w:left w:val="single" w:color="auto" w:sz="4" w:space="0"/>
                    <w:bottom w:val="single" w:color="auto" w:sz="4" w:space="0"/>
                    <w:right w:val="single" w:color="auto" w:sz="4" w:space="0"/>
                  </w:tcBorders>
                  <w:noWrap w:val="0"/>
                  <w:vAlign w:val="center"/>
                </w:tcPr>
                <w:p w14:paraId="4E05B6ED">
                  <w:pPr>
                    <w:snapToGrid w:val="0"/>
                    <w:spacing w:before="24" w:beforeLines="10" w:after="24" w:afterLines="10"/>
                    <w:jc w:val="center"/>
                    <w:rPr>
                      <w:rFonts w:hint="eastAsia" w:ascii="宋体"/>
                      <w:color w:val="auto"/>
                      <w:szCs w:val="21"/>
                      <w:highlight w:val="none"/>
                      <w:lang w:eastAsia="zh-CN"/>
                    </w:rPr>
                  </w:pPr>
                  <w:r>
                    <w:rPr>
                      <w:rFonts w:hint="eastAsia" w:ascii="Times New Roman" w:hAnsi="Times New Roman" w:eastAsia="宋体" w:cs="Times New Roman"/>
                      <w:b w:val="0"/>
                      <w:bCs w:val="0"/>
                      <w:color w:val="auto"/>
                      <w:kern w:val="2"/>
                      <w:sz w:val="21"/>
                      <w:szCs w:val="24"/>
                      <w:highlight w:val="none"/>
                      <w:lang w:val="en-US" w:eastAsia="zh-CN" w:bidi="ar-SA"/>
                    </w:rPr>
                    <w:t>山茱萸醋</w:t>
                  </w:r>
                </w:p>
              </w:tc>
              <w:tc>
                <w:tcPr>
                  <w:tcW w:w="4858" w:type="dxa"/>
                  <w:tcBorders>
                    <w:top w:val="single" w:color="auto" w:sz="4" w:space="0"/>
                    <w:left w:val="single" w:color="auto" w:sz="4" w:space="0"/>
                    <w:right w:val="single" w:color="auto" w:sz="4" w:space="0"/>
                  </w:tcBorders>
                  <w:noWrap w:val="0"/>
                  <w:vAlign w:val="center"/>
                </w:tcPr>
                <w:p w14:paraId="29AB9E82">
                  <w:pPr>
                    <w:tabs>
                      <w:tab w:val="left" w:pos="2418"/>
                      <w:tab w:val="left" w:pos="4203"/>
                      <w:tab w:val="left" w:pos="5708"/>
                      <w:tab w:val="left" w:pos="7213"/>
                      <w:tab w:val="left" w:pos="8718"/>
                    </w:tabs>
                    <w:adjustRightInd w:val="0"/>
                    <w:snapToGrid w:val="0"/>
                    <w:jc w:val="center"/>
                    <w:rPr>
                      <w:rFonts w:hint="default"/>
                      <w:color w:val="auto"/>
                      <w:szCs w:val="21"/>
                      <w:highlight w:val="none"/>
                      <w:lang w:val="en-US" w:eastAsia="zh-CN"/>
                    </w:rPr>
                  </w:pPr>
                  <w:r>
                    <w:rPr>
                      <w:rFonts w:hint="eastAsia"/>
                      <w:bCs/>
                      <w:color w:val="auto"/>
                      <w:szCs w:val="21"/>
                      <w:highlight w:val="none"/>
                      <w:lang w:val="en-US" w:eastAsia="zh-CN"/>
                    </w:rPr>
                    <w:t>893.5</w:t>
                  </w:r>
                </w:p>
              </w:tc>
            </w:tr>
          </w:tbl>
          <w:p w14:paraId="552A8564">
            <w:pPr>
              <w:numPr>
                <w:ilvl w:val="0"/>
                <w:numId w:val="9"/>
              </w:numPr>
              <w:spacing w:line="360" w:lineRule="auto"/>
              <w:ind w:firstLine="482" w:firstLineChars="200"/>
              <w:rPr>
                <w:b/>
                <w:bCs/>
                <w:color w:val="auto"/>
                <w:sz w:val="24"/>
                <w:highlight w:val="none"/>
                <w:lang w:bidi="ar"/>
              </w:rPr>
            </w:pPr>
            <w:r>
              <w:rPr>
                <w:b/>
                <w:bCs/>
                <w:color w:val="auto"/>
                <w:sz w:val="24"/>
                <w:highlight w:val="none"/>
                <w:lang w:bidi="ar"/>
              </w:rPr>
              <w:t>原辅材料消耗</w:t>
            </w:r>
          </w:p>
          <w:p w14:paraId="10AECB33">
            <w:pPr>
              <w:spacing w:line="360" w:lineRule="auto"/>
              <w:ind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本项目原辅材料消耗情况见下表。</w:t>
            </w:r>
          </w:p>
          <w:p w14:paraId="7D3BF9D6">
            <w:pPr>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表2-</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 xml:space="preserve">  项目原辅材料消耗情况一览表</w:t>
            </w:r>
          </w:p>
          <w:tbl>
            <w:tblPr>
              <w:tblStyle w:val="28"/>
              <w:tblW w:w="4975" w:type="pct"/>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751"/>
              <w:gridCol w:w="1603"/>
              <w:gridCol w:w="1669"/>
              <w:gridCol w:w="2225"/>
            </w:tblGrid>
            <w:tr w14:paraId="5EBFA00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444FA4CA">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序号</w:t>
                  </w:r>
                </w:p>
              </w:tc>
              <w:tc>
                <w:tcPr>
                  <w:tcW w:w="1088" w:type="pct"/>
                  <w:tcBorders>
                    <w:tl2br w:val="nil"/>
                    <w:tr2bl w:val="nil"/>
                  </w:tcBorders>
                  <w:noWrap w:val="0"/>
                  <w:vAlign w:val="center"/>
                </w:tcPr>
                <w:p w14:paraId="27CA4179">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名称</w:t>
                  </w:r>
                </w:p>
              </w:tc>
              <w:tc>
                <w:tcPr>
                  <w:tcW w:w="996" w:type="pct"/>
                  <w:tcBorders>
                    <w:tl2br w:val="nil"/>
                    <w:tr2bl w:val="nil"/>
                  </w:tcBorders>
                  <w:noWrap w:val="0"/>
                  <w:vAlign w:val="center"/>
                </w:tcPr>
                <w:p w14:paraId="212FC62C">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消耗量</w:t>
                  </w:r>
                </w:p>
              </w:tc>
              <w:tc>
                <w:tcPr>
                  <w:tcW w:w="1037" w:type="pct"/>
                  <w:tcBorders>
                    <w:tl2br w:val="nil"/>
                    <w:tr2bl w:val="nil"/>
                  </w:tcBorders>
                  <w:noWrap w:val="0"/>
                  <w:vAlign w:val="center"/>
                </w:tcPr>
                <w:p w14:paraId="6A6ED3BF">
                  <w:pPr>
                    <w:snapToGrid w:val="0"/>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cs="Times New Roman"/>
                      <w:b w:val="0"/>
                      <w:bCs w:val="0"/>
                      <w:color w:val="auto"/>
                      <w:szCs w:val="21"/>
                      <w:highlight w:val="none"/>
                      <w:lang w:eastAsia="zh-CN"/>
                    </w:rPr>
                    <w:t>厂内最大暂存量</w:t>
                  </w:r>
                </w:p>
              </w:tc>
              <w:tc>
                <w:tcPr>
                  <w:tcW w:w="1382" w:type="pct"/>
                  <w:tcBorders>
                    <w:tl2br w:val="nil"/>
                    <w:tr2bl w:val="nil"/>
                  </w:tcBorders>
                  <w:noWrap w:val="0"/>
                  <w:vAlign w:val="center"/>
                </w:tcPr>
                <w:p w14:paraId="44CF8351">
                  <w:pPr>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备注</w:t>
                  </w:r>
                </w:p>
              </w:tc>
            </w:tr>
            <w:tr w14:paraId="1866746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23B84431">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88" w:type="pct"/>
                  <w:tcBorders>
                    <w:tl2br w:val="nil"/>
                    <w:tr2bl w:val="nil"/>
                  </w:tcBorders>
                  <w:noWrap w:val="0"/>
                  <w:vAlign w:val="center"/>
                </w:tcPr>
                <w:p w14:paraId="191614F6">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鲜山茱萸</w:t>
                  </w:r>
                </w:p>
              </w:tc>
              <w:tc>
                <w:tcPr>
                  <w:tcW w:w="996" w:type="pct"/>
                  <w:tcBorders>
                    <w:tl2br w:val="nil"/>
                    <w:tr2bl w:val="nil"/>
                  </w:tcBorders>
                  <w:noWrap w:val="0"/>
                  <w:vAlign w:val="center"/>
                </w:tcPr>
                <w:p w14:paraId="66FE955D">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 xml:space="preserve">5000 </w:t>
                  </w:r>
                  <w:r>
                    <w:rPr>
                      <w:rFonts w:hint="default" w:ascii="Times New Roman" w:hAnsi="Times New Roman" w:cs="Times New Roman"/>
                      <w:color w:val="auto"/>
                      <w:szCs w:val="21"/>
                      <w:highlight w:val="none"/>
                    </w:rPr>
                    <w:t>t/a</w:t>
                  </w:r>
                </w:p>
              </w:tc>
              <w:tc>
                <w:tcPr>
                  <w:tcW w:w="1037" w:type="pct"/>
                  <w:tcBorders>
                    <w:tl2br w:val="nil"/>
                    <w:tr2bl w:val="nil"/>
                  </w:tcBorders>
                  <w:noWrap w:val="0"/>
                  <w:vAlign w:val="center"/>
                </w:tcPr>
                <w:p w14:paraId="189575F8">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85t</w:t>
                  </w:r>
                </w:p>
              </w:tc>
              <w:tc>
                <w:tcPr>
                  <w:tcW w:w="1382" w:type="pct"/>
                  <w:tcBorders>
                    <w:tl2br w:val="nil"/>
                    <w:tr2bl w:val="nil"/>
                  </w:tcBorders>
                  <w:noWrap w:val="0"/>
                  <w:vAlign w:val="center"/>
                </w:tcPr>
                <w:p w14:paraId="60C20FC1">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外购</w:t>
                  </w:r>
                </w:p>
              </w:tc>
            </w:tr>
            <w:tr w14:paraId="223CF5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3B09873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088" w:type="pct"/>
                  <w:tcBorders>
                    <w:tl2br w:val="nil"/>
                    <w:tr2bl w:val="nil"/>
                  </w:tcBorders>
                  <w:noWrap w:val="0"/>
                  <w:vAlign w:val="center"/>
                </w:tcPr>
                <w:p w14:paraId="1559F0A7">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食用葡萄糖</w:t>
                  </w:r>
                </w:p>
              </w:tc>
              <w:tc>
                <w:tcPr>
                  <w:tcW w:w="996" w:type="pct"/>
                  <w:tcBorders>
                    <w:tl2br w:val="nil"/>
                    <w:tr2bl w:val="nil"/>
                  </w:tcBorders>
                  <w:noWrap w:val="0"/>
                  <w:vAlign w:val="center"/>
                </w:tcPr>
                <w:p w14:paraId="3CD9C5F4">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 xml:space="preserve">0 </w:t>
                  </w:r>
                  <w:r>
                    <w:rPr>
                      <w:rFonts w:hint="default" w:ascii="Times New Roman" w:hAnsi="Times New Roman" w:cs="Times New Roman"/>
                      <w:color w:val="auto"/>
                      <w:szCs w:val="21"/>
                      <w:highlight w:val="none"/>
                    </w:rPr>
                    <w:t>t/a</w:t>
                  </w:r>
                </w:p>
              </w:tc>
              <w:tc>
                <w:tcPr>
                  <w:tcW w:w="1037" w:type="pct"/>
                  <w:tcBorders>
                    <w:tl2br w:val="nil"/>
                    <w:tr2bl w:val="nil"/>
                  </w:tcBorders>
                  <w:noWrap w:val="0"/>
                  <w:vAlign w:val="center"/>
                </w:tcPr>
                <w:p w14:paraId="557E66FA">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5t</w:t>
                  </w:r>
                </w:p>
              </w:tc>
              <w:tc>
                <w:tcPr>
                  <w:tcW w:w="1382" w:type="pct"/>
                  <w:tcBorders>
                    <w:tl2br w:val="nil"/>
                    <w:tr2bl w:val="nil"/>
                  </w:tcBorders>
                  <w:noWrap w:val="0"/>
                  <w:vAlign w:val="center"/>
                </w:tcPr>
                <w:p w14:paraId="077B1971">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外购</w:t>
                  </w:r>
                  <w:r>
                    <w:rPr>
                      <w:rFonts w:hint="eastAsia" w:ascii="Times New Roman" w:hAnsi="Times New Roman" w:cs="Times New Roman"/>
                      <w:color w:val="auto"/>
                      <w:szCs w:val="21"/>
                      <w:highlight w:val="none"/>
                      <w:lang w:val="en-US" w:eastAsia="zh-CN"/>
                    </w:rPr>
                    <w:t>，袋装</w:t>
                  </w:r>
                </w:p>
              </w:tc>
            </w:tr>
            <w:tr w14:paraId="0931486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429A534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1088" w:type="pct"/>
                  <w:tcBorders>
                    <w:tl2br w:val="nil"/>
                    <w:tr2bl w:val="nil"/>
                  </w:tcBorders>
                  <w:noWrap w:val="0"/>
                  <w:vAlign w:val="center"/>
                </w:tcPr>
                <w:p w14:paraId="63170B89">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食用酒</w:t>
                  </w:r>
                </w:p>
              </w:tc>
              <w:tc>
                <w:tcPr>
                  <w:tcW w:w="996" w:type="pct"/>
                  <w:tcBorders>
                    <w:tl2br w:val="nil"/>
                    <w:tr2bl w:val="nil"/>
                  </w:tcBorders>
                  <w:noWrap w:val="0"/>
                  <w:vAlign w:val="center"/>
                </w:tcPr>
                <w:p w14:paraId="267CCB97">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 xml:space="preserve">0 </w:t>
                  </w:r>
                  <w:r>
                    <w:rPr>
                      <w:rFonts w:hint="default" w:ascii="Times New Roman" w:hAnsi="Times New Roman" w:cs="Times New Roman"/>
                      <w:color w:val="auto"/>
                      <w:szCs w:val="21"/>
                      <w:highlight w:val="none"/>
                    </w:rPr>
                    <w:t>t/a</w:t>
                  </w:r>
                </w:p>
              </w:tc>
              <w:tc>
                <w:tcPr>
                  <w:tcW w:w="1037" w:type="pct"/>
                  <w:tcBorders>
                    <w:tl2br w:val="nil"/>
                    <w:tr2bl w:val="nil"/>
                  </w:tcBorders>
                  <w:noWrap w:val="0"/>
                  <w:vAlign w:val="center"/>
                </w:tcPr>
                <w:p w14:paraId="7D04C875">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1t</w:t>
                  </w:r>
                </w:p>
              </w:tc>
              <w:tc>
                <w:tcPr>
                  <w:tcW w:w="1382" w:type="pct"/>
                  <w:tcBorders>
                    <w:tl2br w:val="nil"/>
                    <w:tr2bl w:val="nil"/>
                  </w:tcBorders>
                  <w:noWrap w:val="0"/>
                  <w:vAlign w:val="center"/>
                </w:tcPr>
                <w:p w14:paraId="6DCA90B4">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本项目外购成品基酒，不涉及发酵工艺，酒精度数约30°，食品级不锈钢罐储存</w:t>
                  </w:r>
                </w:p>
              </w:tc>
            </w:tr>
            <w:tr w14:paraId="18450B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4969B78F">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4</w:t>
                  </w:r>
                </w:p>
              </w:tc>
              <w:tc>
                <w:tcPr>
                  <w:tcW w:w="1088" w:type="pct"/>
                  <w:tcBorders>
                    <w:tl2br w:val="nil"/>
                    <w:tr2bl w:val="nil"/>
                  </w:tcBorders>
                  <w:noWrap w:val="0"/>
                  <w:vAlign w:val="center"/>
                </w:tcPr>
                <w:p w14:paraId="110A4D95">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食用醋</w:t>
                  </w:r>
                </w:p>
              </w:tc>
              <w:tc>
                <w:tcPr>
                  <w:tcW w:w="996" w:type="pct"/>
                  <w:tcBorders>
                    <w:tl2br w:val="nil"/>
                    <w:tr2bl w:val="nil"/>
                  </w:tcBorders>
                  <w:noWrap w:val="0"/>
                  <w:vAlign w:val="center"/>
                </w:tcPr>
                <w:p w14:paraId="002CAB36">
                  <w:pPr>
                    <w:snapToGrid w:val="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t/a</w:t>
                  </w:r>
                </w:p>
              </w:tc>
              <w:tc>
                <w:tcPr>
                  <w:tcW w:w="1037" w:type="pct"/>
                  <w:tcBorders>
                    <w:tl2br w:val="nil"/>
                    <w:tr2bl w:val="nil"/>
                  </w:tcBorders>
                  <w:noWrap w:val="0"/>
                  <w:vAlign w:val="center"/>
                </w:tcPr>
                <w:p w14:paraId="0D7CC1AC">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1t</w:t>
                  </w:r>
                </w:p>
              </w:tc>
              <w:tc>
                <w:tcPr>
                  <w:tcW w:w="1382" w:type="pct"/>
                  <w:tcBorders>
                    <w:tl2br w:val="nil"/>
                    <w:tr2bl w:val="nil"/>
                  </w:tcBorders>
                  <w:noWrap w:val="0"/>
                  <w:vAlign w:val="center"/>
                </w:tcPr>
                <w:p w14:paraId="7D9225FA">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外购成品，不涉及发酵工艺，酸度约10°，食品级不锈钢罐储存</w:t>
                  </w:r>
                </w:p>
              </w:tc>
            </w:tr>
            <w:tr w14:paraId="5E5B53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5AEA826A">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5</w:t>
                  </w:r>
                </w:p>
              </w:tc>
              <w:tc>
                <w:tcPr>
                  <w:tcW w:w="1088" w:type="pct"/>
                  <w:tcBorders>
                    <w:tl2br w:val="nil"/>
                    <w:tr2bl w:val="nil"/>
                  </w:tcBorders>
                  <w:noWrap w:val="0"/>
                  <w:vAlign w:val="center"/>
                </w:tcPr>
                <w:p w14:paraId="5AE2CDA3">
                  <w:pPr>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包装物（包装袋/包装瓶）</w:t>
                  </w:r>
                </w:p>
              </w:tc>
              <w:tc>
                <w:tcPr>
                  <w:tcW w:w="996" w:type="pct"/>
                  <w:tcBorders>
                    <w:tl2br w:val="nil"/>
                    <w:tr2bl w:val="nil"/>
                  </w:tcBorders>
                  <w:noWrap w:val="0"/>
                  <w:vAlign w:val="center"/>
                </w:tcPr>
                <w:p w14:paraId="71667B3E">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10万套</w:t>
                  </w:r>
                </w:p>
              </w:tc>
              <w:tc>
                <w:tcPr>
                  <w:tcW w:w="1037" w:type="pct"/>
                  <w:tcBorders>
                    <w:tl2br w:val="nil"/>
                    <w:tr2bl w:val="nil"/>
                  </w:tcBorders>
                  <w:noWrap w:val="0"/>
                  <w:vAlign w:val="center"/>
                </w:tcPr>
                <w:p w14:paraId="4B7D7FF9">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根据实际情况确定</w:t>
                  </w:r>
                </w:p>
              </w:tc>
              <w:tc>
                <w:tcPr>
                  <w:tcW w:w="1382" w:type="pct"/>
                  <w:tcBorders>
                    <w:tl2br w:val="nil"/>
                    <w:tr2bl w:val="nil"/>
                  </w:tcBorders>
                  <w:noWrap w:val="0"/>
                  <w:vAlign w:val="center"/>
                </w:tcPr>
                <w:p w14:paraId="397236BB">
                  <w:pPr>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外购</w:t>
                  </w:r>
                  <w:r>
                    <w:rPr>
                      <w:rFonts w:hint="eastAsia" w:ascii="Times New Roman" w:hAnsi="Times New Roman" w:cs="Times New Roman"/>
                      <w:color w:val="auto"/>
                      <w:szCs w:val="21"/>
                      <w:highlight w:val="none"/>
                      <w:lang w:val="en-US" w:eastAsia="zh-CN"/>
                    </w:rPr>
                    <w:t>，实际规格后期根据订单情况确定</w:t>
                  </w:r>
                </w:p>
              </w:tc>
            </w:tr>
            <w:tr w14:paraId="5576234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4575F333">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6</w:t>
                  </w:r>
                </w:p>
              </w:tc>
              <w:tc>
                <w:tcPr>
                  <w:tcW w:w="1088" w:type="pct"/>
                  <w:tcBorders>
                    <w:tl2br w:val="nil"/>
                    <w:tr2bl w:val="nil"/>
                  </w:tcBorders>
                  <w:noWrap w:val="0"/>
                  <w:vAlign w:val="center"/>
                </w:tcPr>
                <w:p w14:paraId="6BA8FEF9">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水</w:t>
                  </w:r>
                </w:p>
              </w:tc>
              <w:tc>
                <w:tcPr>
                  <w:tcW w:w="996" w:type="pct"/>
                  <w:tcBorders>
                    <w:tl2br w:val="nil"/>
                    <w:tr2bl w:val="nil"/>
                  </w:tcBorders>
                  <w:noWrap w:val="0"/>
                  <w:vAlign w:val="center"/>
                </w:tcPr>
                <w:p w14:paraId="3320648A">
                  <w:pPr>
                    <w:snapToGrid w:val="0"/>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highlight w:val="none"/>
                      <w:lang w:val="en-US" w:eastAsia="zh-CN"/>
                    </w:rPr>
                    <w:t>764.1</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/a</w:t>
                  </w:r>
                </w:p>
              </w:tc>
              <w:tc>
                <w:tcPr>
                  <w:tcW w:w="1037" w:type="pct"/>
                  <w:tcBorders>
                    <w:tl2br w:val="nil"/>
                    <w:tr2bl w:val="nil"/>
                  </w:tcBorders>
                  <w:noWrap w:val="0"/>
                  <w:vAlign w:val="center"/>
                </w:tcPr>
                <w:p w14:paraId="26B8FC00">
                  <w:pPr>
                    <w:snapToGrid w:val="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382" w:type="pct"/>
                  <w:tcBorders>
                    <w:tl2br w:val="nil"/>
                    <w:tr2bl w:val="nil"/>
                  </w:tcBorders>
                  <w:noWrap w:val="0"/>
                  <w:vAlign w:val="center"/>
                </w:tcPr>
                <w:p w14:paraId="79C0906A">
                  <w:pPr>
                    <w:snapToGrid w:val="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接自园区自来水</w:t>
                  </w:r>
                </w:p>
              </w:tc>
            </w:tr>
            <w:tr w14:paraId="1C5BF94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5" w:type="pct"/>
                  <w:tcBorders>
                    <w:tl2br w:val="nil"/>
                    <w:tr2bl w:val="nil"/>
                  </w:tcBorders>
                  <w:noWrap w:val="0"/>
                  <w:vAlign w:val="center"/>
                </w:tcPr>
                <w:p w14:paraId="65120A83">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7</w:t>
                  </w:r>
                </w:p>
              </w:tc>
              <w:tc>
                <w:tcPr>
                  <w:tcW w:w="1088" w:type="pct"/>
                  <w:tcBorders>
                    <w:tl2br w:val="nil"/>
                    <w:tr2bl w:val="nil"/>
                  </w:tcBorders>
                  <w:noWrap w:val="0"/>
                  <w:vAlign w:val="center"/>
                </w:tcPr>
                <w:p w14:paraId="4642EB69">
                  <w:pPr>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电</w:t>
                  </w:r>
                </w:p>
              </w:tc>
              <w:tc>
                <w:tcPr>
                  <w:tcW w:w="996" w:type="pct"/>
                  <w:tcBorders>
                    <w:tl2br w:val="nil"/>
                    <w:tr2bl w:val="nil"/>
                  </w:tcBorders>
                  <w:noWrap w:val="0"/>
                  <w:vAlign w:val="center"/>
                </w:tcPr>
                <w:p w14:paraId="1B0BE3D9">
                  <w:pPr>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万k</w:t>
                  </w:r>
                  <w:r>
                    <w:rPr>
                      <w:rFonts w:hint="default" w:ascii="Times New Roman" w:hAnsi="Times New Roman" w:cs="Times New Roman"/>
                      <w:color w:val="auto"/>
                      <w:szCs w:val="21"/>
                      <w:highlight w:val="none"/>
                      <w:lang w:val="en-US" w:eastAsia="zh-CN"/>
                    </w:rPr>
                    <w:t>W</w:t>
                  </w:r>
                  <w:r>
                    <w:rPr>
                      <w:rFonts w:hint="default" w:ascii="Times New Roman" w:hAnsi="Times New Roman" w:cs="Times New Roman"/>
                      <w:color w:val="auto"/>
                      <w:szCs w:val="21"/>
                      <w:highlight w:val="none"/>
                    </w:rPr>
                    <w:t>.h/a</w:t>
                  </w:r>
                </w:p>
              </w:tc>
              <w:tc>
                <w:tcPr>
                  <w:tcW w:w="1037" w:type="pct"/>
                  <w:tcBorders>
                    <w:tl2br w:val="nil"/>
                    <w:tr2bl w:val="nil"/>
                  </w:tcBorders>
                  <w:noWrap w:val="0"/>
                  <w:vAlign w:val="center"/>
                </w:tcPr>
                <w:p w14:paraId="2D50C329">
                  <w:pPr>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c>
                <w:tcPr>
                  <w:tcW w:w="1382" w:type="pct"/>
                  <w:tcBorders>
                    <w:tl2br w:val="nil"/>
                    <w:tr2bl w:val="nil"/>
                  </w:tcBorders>
                  <w:noWrap w:val="0"/>
                  <w:vAlign w:val="center"/>
                </w:tcPr>
                <w:p w14:paraId="4C741B06">
                  <w:pPr>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接自园区电网</w:t>
                  </w:r>
                </w:p>
              </w:tc>
            </w:tr>
          </w:tbl>
          <w:p w14:paraId="205618C2">
            <w:pPr>
              <w:adjustRightInd w:val="0"/>
              <w:snapToGrid w:val="0"/>
              <w:spacing w:line="360" w:lineRule="auto"/>
              <w:ind w:firstLine="480" w:firstLineChars="200"/>
              <w:rPr>
                <w:rFonts w:hint="eastAsia"/>
                <w:b w:val="0"/>
                <w:bCs w:val="0"/>
                <w:color w:val="auto"/>
                <w:sz w:val="24"/>
                <w:highlight w:val="none"/>
                <w:lang w:val="en-US" w:eastAsia="zh-CN" w:bidi="ar"/>
              </w:rPr>
            </w:pPr>
            <w:r>
              <w:rPr>
                <w:rFonts w:hint="eastAsia"/>
                <w:color w:val="auto"/>
                <w:sz w:val="24"/>
                <w:highlight w:val="none"/>
                <w:lang w:eastAsia="zh-CN"/>
              </w:rPr>
              <w:t>食用酒：</w:t>
            </w:r>
            <w:r>
              <w:rPr>
                <w:rFonts w:hint="eastAsia"/>
                <w:b w:val="0"/>
                <w:bCs w:val="0"/>
                <w:color w:val="auto"/>
                <w:sz w:val="24"/>
                <w:highlight w:val="none"/>
                <w:lang w:val="en-US" w:eastAsia="zh-CN" w:bidi="ar"/>
              </w:rPr>
              <w:t>是一种有机化合物，无色透明液体，来自78.01℃的馏出，能与水共沸。易挥发，可以与水及丙三醇、三氯甲烷、苯、乙醚等有机溶剂相混溶。性状无色透明、易燃易挥发液体。有酒的气味和刺激性辛辣味。熔点-117.3℃、沸点78.32℃、相对密度0.7893、折射率1.3614、闪点14℃、溶于水、甲醇、乙醚和氯仿。能溶解许多有机化合物和若干无机化合物。属于易燃物品、应远离火源，保持容器密封。</w:t>
            </w:r>
          </w:p>
          <w:p w14:paraId="34A53BF1">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bidi="ar"/>
              </w:rPr>
              <w:t>储存方式：</w:t>
            </w:r>
            <w:r>
              <w:rPr>
                <w:rFonts w:hint="default" w:ascii="Times New Roman" w:hAnsi="Times New Roman" w:cs="Times New Roman"/>
                <w:b w:val="0"/>
                <w:bCs w:val="0"/>
                <w:color w:val="auto"/>
                <w:sz w:val="24"/>
                <w:szCs w:val="24"/>
                <w:highlight w:val="none"/>
                <w:lang w:val="en-US" w:eastAsia="zh-CN" w:bidi="ar"/>
              </w:rPr>
              <w:t>采用食品级不锈钢储罐暂存，最大储存量为1t，储存罐存放于专用储存间。</w:t>
            </w:r>
          </w:p>
          <w:p w14:paraId="1786E3D0">
            <w:pPr>
              <w:adjustRightInd w:val="0"/>
              <w:snapToGrid w:val="0"/>
              <w:spacing w:line="360" w:lineRule="auto"/>
              <w:ind w:firstLine="480" w:firstLineChars="200"/>
              <w:rPr>
                <w:rFonts w:hint="default" w:ascii="Times New Roman" w:hAnsi="Times New Roman" w:eastAsia="宋体" w:cs="Times New Roman"/>
                <w:i w:val="0"/>
                <w:iCs w:val="0"/>
                <w:caps w:val="0"/>
                <w:color w:val="auto"/>
                <w:spacing w:val="0"/>
                <w:sz w:val="24"/>
                <w:szCs w:val="24"/>
                <w:highlight w:val="none"/>
                <w:shd w:val="clear" w:color="auto" w:fill="FFFFFF"/>
              </w:rPr>
            </w:pPr>
            <w:r>
              <w:rPr>
                <w:rFonts w:hint="default" w:ascii="Times New Roman" w:hAnsi="Times New Roman" w:cs="Times New Roman"/>
                <w:b w:val="0"/>
                <w:bCs w:val="0"/>
                <w:color w:val="auto"/>
                <w:sz w:val="24"/>
                <w:szCs w:val="24"/>
                <w:highlight w:val="none"/>
                <w:lang w:val="en-US" w:eastAsia="zh-CN" w:bidi="ar"/>
              </w:rPr>
              <w:t>食用醋：</w:t>
            </w:r>
            <w:r>
              <w:rPr>
                <w:rFonts w:hint="default" w:ascii="Times New Roman" w:hAnsi="Times New Roman" w:eastAsia="宋体" w:cs="Times New Roman"/>
                <w:i w:val="0"/>
                <w:iCs w:val="0"/>
                <w:caps w:val="0"/>
                <w:color w:val="auto"/>
                <w:spacing w:val="0"/>
                <w:sz w:val="24"/>
                <w:szCs w:val="24"/>
                <w:highlight w:val="none"/>
                <w:shd w:val="clear" w:color="auto" w:fill="FFFFFF"/>
              </w:rPr>
              <w:t>食醋为无色液体，有刺鼻的醋酸味</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能溶于水、乙醇、乙醚、四氯化碳及甘油等有机溶剂。沸点为117.9℃，凝固点为16.6℃。当温度低于16.6℃时，纯的无水乙酸(冰醋酸)会凝结成像冰一样的晶体，纯的无水乙酸是无色的吸湿性固体，凝固后为无色晶体。相对密度</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水为1</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为1.05。</w:t>
            </w:r>
          </w:p>
          <w:p w14:paraId="50B36C1A">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bidi="ar"/>
              </w:rPr>
              <w:t>储存方式：</w:t>
            </w:r>
            <w:r>
              <w:rPr>
                <w:rFonts w:hint="default" w:ascii="Times New Roman" w:hAnsi="Times New Roman" w:cs="Times New Roman"/>
                <w:b w:val="0"/>
                <w:bCs w:val="0"/>
                <w:color w:val="auto"/>
                <w:sz w:val="24"/>
                <w:szCs w:val="24"/>
                <w:highlight w:val="none"/>
                <w:lang w:val="en-US" w:eastAsia="zh-CN" w:bidi="ar"/>
              </w:rPr>
              <w:t>采用食品级不锈钢储罐暂存，最大储存量为1t，储存罐存放于专用储存间。</w:t>
            </w:r>
          </w:p>
          <w:p w14:paraId="52F40677">
            <w:pPr>
              <w:adjustRightInd w:val="0"/>
              <w:snapToGrid w:val="0"/>
              <w:spacing w:line="360" w:lineRule="auto"/>
              <w:ind w:firstLine="480" w:firstLineChars="200"/>
              <w:rPr>
                <w:rFonts w:hint="default" w:ascii="Times New Roman" w:hAnsi="Times New Roman" w:cs="Times New Roman"/>
                <w:b w:val="0"/>
                <w:bCs w:val="0"/>
                <w:color w:val="auto"/>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lang w:val="en-US" w:eastAsia="zh-CN" w:bidi="ar"/>
              </w:rPr>
              <w:t>食用葡萄糖：</w:t>
            </w:r>
            <w:r>
              <w:rPr>
                <w:rFonts w:hint="default" w:ascii="Times New Roman" w:hAnsi="Times New Roman" w:cs="Times New Roman"/>
                <w:b w:val="0"/>
                <w:bCs w:val="0"/>
                <w:color w:val="auto"/>
                <w:sz w:val="24"/>
                <w:szCs w:val="24"/>
                <w:highlight w:val="none"/>
                <w:lang w:val="en-US" w:eastAsia="zh-CN" w:bidi="ar"/>
              </w:rPr>
              <w:t>是一种常见的食品添加剂和营养补充剂，其主要成分是葡萄糖（C</w:t>
            </w:r>
            <w:r>
              <w:rPr>
                <w:rFonts w:hint="default" w:ascii="Times New Roman" w:hAnsi="Times New Roman" w:cs="Times New Roman"/>
                <w:b w:val="0"/>
                <w:bCs w:val="0"/>
                <w:color w:val="auto"/>
                <w:sz w:val="24"/>
                <w:szCs w:val="24"/>
                <w:highlight w:val="none"/>
                <w:vertAlign w:val="subscript"/>
                <w:lang w:val="en-US" w:eastAsia="zh-CN" w:bidi="ar"/>
              </w:rPr>
              <w:t>6</w:t>
            </w:r>
            <w:r>
              <w:rPr>
                <w:rFonts w:hint="default" w:ascii="Times New Roman" w:hAnsi="Times New Roman" w:cs="Times New Roman"/>
                <w:b w:val="0"/>
                <w:bCs w:val="0"/>
                <w:color w:val="auto"/>
                <w:sz w:val="24"/>
                <w:szCs w:val="24"/>
                <w:highlight w:val="none"/>
                <w:lang w:val="en-US" w:eastAsia="zh-CN" w:bidi="ar"/>
              </w:rPr>
              <w:t>H</w:t>
            </w:r>
            <w:r>
              <w:rPr>
                <w:rFonts w:hint="default" w:ascii="Times New Roman" w:hAnsi="Times New Roman" w:cs="Times New Roman"/>
                <w:b w:val="0"/>
                <w:bCs w:val="0"/>
                <w:color w:val="auto"/>
                <w:sz w:val="24"/>
                <w:szCs w:val="24"/>
                <w:highlight w:val="none"/>
                <w:vertAlign w:val="subscript"/>
                <w:lang w:val="en-US" w:eastAsia="zh-CN" w:bidi="ar"/>
              </w:rPr>
              <w:t>12</w:t>
            </w:r>
            <w:r>
              <w:rPr>
                <w:rFonts w:hint="default" w:ascii="Times New Roman" w:hAnsi="Times New Roman" w:cs="Times New Roman"/>
                <w:b w:val="0"/>
                <w:bCs w:val="0"/>
                <w:color w:val="auto"/>
                <w:sz w:val="24"/>
                <w:szCs w:val="24"/>
                <w:highlight w:val="none"/>
                <w:lang w:val="en-US" w:eastAsia="zh-CN" w:bidi="ar"/>
              </w:rPr>
              <w:t>O</w:t>
            </w:r>
            <w:r>
              <w:rPr>
                <w:rFonts w:hint="default" w:ascii="Times New Roman" w:hAnsi="Times New Roman" w:cs="Times New Roman"/>
                <w:b w:val="0"/>
                <w:bCs w:val="0"/>
                <w:color w:val="auto"/>
                <w:sz w:val="24"/>
                <w:szCs w:val="24"/>
                <w:highlight w:val="none"/>
                <w:vertAlign w:val="subscript"/>
                <w:lang w:val="en-US" w:eastAsia="zh-CN" w:bidi="ar"/>
              </w:rPr>
              <w:t>6</w:t>
            </w:r>
            <w:r>
              <w:rPr>
                <w:rFonts w:hint="default" w:ascii="Times New Roman" w:hAnsi="Times New Roman" w:cs="Times New Roman"/>
                <w:b w:val="0"/>
                <w:bCs w:val="0"/>
                <w:color w:val="auto"/>
                <w:sz w:val="24"/>
                <w:szCs w:val="24"/>
                <w:highlight w:val="none"/>
                <w:lang w:val="en-US" w:eastAsia="zh-CN" w:bidi="ar"/>
              </w:rPr>
              <w:t>），相对分子质量为180.16。食用葡萄糖通常以白色结晶性粉末的形式存在，具有甜味，易溶于水。食用葡萄糖广泛应用于食品工业、医药行业等领域。在食品工业中，它常用于制作糖果、糕点、饮料等。</w:t>
            </w:r>
          </w:p>
          <w:p w14:paraId="013B7C7D">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bidi="ar"/>
              </w:rPr>
              <w:t>储存方式：</w:t>
            </w:r>
            <w:r>
              <w:rPr>
                <w:rFonts w:hint="default" w:ascii="Times New Roman" w:hAnsi="Times New Roman" w:cs="Times New Roman"/>
                <w:b w:val="0"/>
                <w:bCs w:val="0"/>
                <w:color w:val="auto"/>
                <w:sz w:val="24"/>
                <w:szCs w:val="24"/>
                <w:highlight w:val="none"/>
                <w:lang w:val="en-US" w:eastAsia="zh-CN" w:bidi="ar"/>
              </w:rPr>
              <w:t>外购成品袋装，在储存库暂存。</w:t>
            </w:r>
          </w:p>
          <w:p w14:paraId="2A9B5926">
            <w:pPr>
              <w:adjustRightInd w:val="0"/>
              <w:snapToGrid w:val="0"/>
              <w:spacing w:line="360" w:lineRule="auto"/>
              <w:ind w:firstLine="482" w:firstLineChars="200"/>
              <w:rPr>
                <w:b/>
                <w:bCs/>
                <w:color w:val="auto"/>
                <w:sz w:val="24"/>
                <w:highlight w:val="none"/>
              </w:rPr>
            </w:pPr>
            <w:r>
              <w:rPr>
                <w:rFonts w:hint="eastAsia"/>
                <w:b/>
                <w:bCs/>
                <w:color w:val="auto"/>
                <w:sz w:val="24"/>
                <w:highlight w:val="none"/>
                <w:lang w:bidi="ar"/>
              </w:rPr>
              <w:t>四</w:t>
            </w:r>
            <w:r>
              <w:rPr>
                <w:b/>
                <w:bCs/>
                <w:color w:val="auto"/>
                <w:sz w:val="24"/>
                <w:highlight w:val="none"/>
                <w:lang w:bidi="ar"/>
              </w:rPr>
              <w:t>、</w:t>
            </w:r>
            <w:r>
              <w:rPr>
                <w:rFonts w:hint="eastAsia"/>
                <w:b/>
                <w:bCs/>
                <w:color w:val="auto"/>
                <w:sz w:val="24"/>
                <w:highlight w:val="none"/>
                <w:lang w:bidi="ar"/>
              </w:rPr>
              <w:t>主</w:t>
            </w:r>
            <w:r>
              <w:rPr>
                <w:b/>
                <w:bCs/>
                <w:color w:val="auto"/>
                <w:sz w:val="24"/>
                <w:highlight w:val="none"/>
              </w:rPr>
              <w:t>要生产设备</w:t>
            </w:r>
          </w:p>
          <w:p w14:paraId="5299D64F">
            <w:pPr>
              <w:spacing w:line="360" w:lineRule="auto"/>
              <w:ind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本项目主要设备见表2-</w:t>
            </w:r>
            <w:r>
              <w:rPr>
                <w:rFonts w:hint="eastAsia" w:ascii="Times New Roman" w:hAnsi="Times New Roman" w:cs="Times New Roman"/>
                <w:color w:val="auto"/>
                <w:sz w:val="24"/>
                <w:szCs w:val="32"/>
                <w:highlight w:val="none"/>
                <w:lang w:val="en-US" w:eastAsia="zh-CN"/>
              </w:rPr>
              <w:t>4</w:t>
            </w:r>
            <w:r>
              <w:rPr>
                <w:rFonts w:hint="default" w:ascii="Times New Roman" w:hAnsi="Times New Roman" w:cs="Times New Roman"/>
                <w:color w:val="auto"/>
                <w:sz w:val="24"/>
                <w:szCs w:val="32"/>
                <w:highlight w:val="none"/>
              </w:rPr>
              <w:t>。</w:t>
            </w:r>
          </w:p>
          <w:p w14:paraId="1BCDBBA7">
            <w:pPr>
              <w:adjustRightInd w:val="0"/>
              <w:snapToGrid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项目主要装置（设备）设施一览表</w:t>
            </w:r>
          </w:p>
          <w:tbl>
            <w:tblPr>
              <w:tblStyle w:val="2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5"/>
              <w:gridCol w:w="1127"/>
              <w:gridCol w:w="4053"/>
              <w:gridCol w:w="1754"/>
            </w:tblGrid>
            <w:tr w14:paraId="497D7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177EB7CF">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序号</w:t>
                  </w:r>
                </w:p>
              </w:tc>
              <w:tc>
                <w:tcPr>
                  <w:tcW w:w="3205" w:type="pct"/>
                  <w:gridSpan w:val="2"/>
                  <w:tcBorders>
                    <w:tl2br w:val="nil"/>
                    <w:tr2bl w:val="nil"/>
                  </w:tcBorders>
                  <w:noWrap w:val="0"/>
                  <w:vAlign w:val="center"/>
                </w:tcPr>
                <w:p w14:paraId="430A7FBB">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设备名称</w:t>
                  </w:r>
                </w:p>
              </w:tc>
              <w:tc>
                <w:tcPr>
                  <w:tcW w:w="1085" w:type="pct"/>
                  <w:tcBorders>
                    <w:tl2br w:val="nil"/>
                    <w:tr2bl w:val="nil"/>
                  </w:tcBorders>
                  <w:noWrap w:val="0"/>
                  <w:vAlign w:val="center"/>
                </w:tcPr>
                <w:p w14:paraId="76C49EA0">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数量</w:t>
                  </w:r>
                </w:p>
              </w:tc>
            </w:tr>
            <w:tr w14:paraId="44424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44092BA1">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697" w:type="pct"/>
                  <w:vMerge w:val="restart"/>
                  <w:tcBorders>
                    <w:tl2br w:val="nil"/>
                    <w:tr2bl w:val="nil"/>
                  </w:tcBorders>
                  <w:noWrap w:val="0"/>
                  <w:vAlign w:val="center"/>
                </w:tcPr>
                <w:p w14:paraId="74D7D6BC">
                  <w:pPr>
                    <w:widowControl/>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干山茱萸加工</w:t>
                  </w:r>
                  <w:r>
                    <w:rPr>
                      <w:rFonts w:hint="default" w:ascii="Times New Roman" w:hAnsi="Times New Roman" w:eastAsia="宋体" w:cs="Times New Roman"/>
                      <w:b w:val="0"/>
                      <w:bCs w:val="0"/>
                      <w:color w:val="auto"/>
                      <w:sz w:val="21"/>
                      <w:szCs w:val="21"/>
                      <w:highlight w:val="none"/>
                      <w:lang w:val="en-US" w:eastAsia="zh-CN"/>
                    </w:rPr>
                    <w:t>生产线</w:t>
                  </w:r>
                </w:p>
              </w:tc>
              <w:tc>
                <w:tcPr>
                  <w:tcW w:w="2508" w:type="pct"/>
                  <w:tcBorders>
                    <w:tl2br w:val="nil"/>
                    <w:tr2bl w:val="nil"/>
                  </w:tcBorders>
                  <w:noWrap w:val="0"/>
                  <w:vAlign w:val="top"/>
                </w:tcPr>
                <w:p w14:paraId="2C5E18DA">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清洗机</w:t>
                  </w:r>
                </w:p>
              </w:tc>
              <w:tc>
                <w:tcPr>
                  <w:tcW w:w="1085" w:type="pct"/>
                  <w:tcBorders>
                    <w:tl2br w:val="nil"/>
                    <w:tr2bl w:val="nil"/>
                  </w:tcBorders>
                  <w:noWrap w:val="0"/>
                  <w:vAlign w:val="top"/>
                </w:tcPr>
                <w:p w14:paraId="7391B26A">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r>
            <w:tr w14:paraId="76DAB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668317A6">
                  <w:pPr>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w:t>
                  </w:r>
                </w:p>
              </w:tc>
              <w:tc>
                <w:tcPr>
                  <w:tcW w:w="697" w:type="pct"/>
                  <w:vMerge w:val="continue"/>
                  <w:tcBorders>
                    <w:tl2br w:val="nil"/>
                    <w:tr2bl w:val="nil"/>
                  </w:tcBorders>
                  <w:noWrap w:val="0"/>
                  <w:vAlign w:val="center"/>
                </w:tcPr>
                <w:p w14:paraId="7289B8A7">
                  <w:pPr>
                    <w:widowControl/>
                    <w:jc w:val="center"/>
                    <w:textAlignment w:val="center"/>
                    <w:rPr>
                      <w:rFonts w:hint="default" w:ascii="Times New Roman" w:hAnsi="Times New Roman" w:eastAsia="宋体" w:cs="Times New Roman"/>
                      <w:b w:val="0"/>
                      <w:bCs w:val="0"/>
                      <w:color w:val="auto"/>
                      <w:sz w:val="21"/>
                      <w:szCs w:val="21"/>
                      <w:highlight w:val="none"/>
                    </w:rPr>
                  </w:pPr>
                </w:p>
              </w:tc>
              <w:tc>
                <w:tcPr>
                  <w:tcW w:w="2508" w:type="pct"/>
                  <w:tcBorders>
                    <w:tl2br w:val="nil"/>
                    <w:tr2bl w:val="nil"/>
                  </w:tcBorders>
                  <w:noWrap w:val="0"/>
                  <w:vAlign w:val="top"/>
                </w:tcPr>
                <w:p w14:paraId="4360240B">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高效振动清杂筛</w:t>
                  </w:r>
                </w:p>
              </w:tc>
              <w:tc>
                <w:tcPr>
                  <w:tcW w:w="1085" w:type="pct"/>
                  <w:tcBorders>
                    <w:tl2br w:val="nil"/>
                    <w:tr2bl w:val="nil"/>
                  </w:tcBorders>
                  <w:noWrap w:val="0"/>
                  <w:vAlign w:val="top"/>
                </w:tcPr>
                <w:p w14:paraId="6CAC6FD2">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r>
            <w:tr w14:paraId="10ABE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704F23CD">
                  <w:pPr>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697" w:type="pct"/>
                  <w:vMerge w:val="continue"/>
                  <w:tcBorders>
                    <w:tl2br w:val="nil"/>
                    <w:tr2bl w:val="nil"/>
                  </w:tcBorders>
                  <w:noWrap w:val="0"/>
                  <w:vAlign w:val="center"/>
                </w:tcPr>
                <w:p w14:paraId="0FAB0686">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508" w:type="pct"/>
                  <w:tcBorders>
                    <w:tl2br w:val="nil"/>
                    <w:tr2bl w:val="nil"/>
                  </w:tcBorders>
                  <w:noWrap w:val="0"/>
                  <w:vAlign w:val="top"/>
                </w:tcPr>
                <w:p w14:paraId="5EF55091">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电蒸汽发生器</w:t>
                  </w:r>
                </w:p>
              </w:tc>
              <w:tc>
                <w:tcPr>
                  <w:tcW w:w="1085" w:type="pct"/>
                  <w:tcBorders>
                    <w:tl2br w:val="nil"/>
                    <w:tr2bl w:val="nil"/>
                  </w:tcBorders>
                  <w:noWrap w:val="0"/>
                  <w:vAlign w:val="top"/>
                </w:tcPr>
                <w:p w14:paraId="7B627AE6">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54777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61862140">
                  <w:pPr>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697" w:type="pct"/>
                  <w:vMerge w:val="continue"/>
                  <w:tcBorders>
                    <w:tl2br w:val="nil"/>
                    <w:tr2bl w:val="nil"/>
                  </w:tcBorders>
                  <w:noWrap w:val="0"/>
                  <w:vAlign w:val="center"/>
                </w:tcPr>
                <w:p w14:paraId="22C7173F">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508" w:type="pct"/>
                  <w:tcBorders>
                    <w:tl2br w:val="nil"/>
                    <w:tr2bl w:val="nil"/>
                  </w:tcBorders>
                  <w:noWrap w:val="0"/>
                  <w:vAlign w:val="top"/>
                </w:tcPr>
                <w:p w14:paraId="3AD07FE1">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冷却机</w:t>
                  </w:r>
                </w:p>
              </w:tc>
              <w:tc>
                <w:tcPr>
                  <w:tcW w:w="1085" w:type="pct"/>
                  <w:tcBorders>
                    <w:tl2br w:val="nil"/>
                    <w:tr2bl w:val="nil"/>
                  </w:tcBorders>
                  <w:noWrap w:val="0"/>
                  <w:vAlign w:val="top"/>
                </w:tcPr>
                <w:p w14:paraId="3BD5ABE8">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21C4D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716DBA85">
                  <w:pPr>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697" w:type="pct"/>
                  <w:vMerge w:val="continue"/>
                  <w:tcBorders>
                    <w:tl2br w:val="nil"/>
                    <w:tr2bl w:val="nil"/>
                  </w:tcBorders>
                  <w:noWrap w:val="0"/>
                  <w:vAlign w:val="center"/>
                </w:tcPr>
                <w:p w14:paraId="5F9A4C78">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508" w:type="pct"/>
                  <w:tcBorders>
                    <w:tl2br w:val="nil"/>
                    <w:tr2bl w:val="nil"/>
                  </w:tcBorders>
                  <w:noWrap w:val="0"/>
                  <w:vAlign w:val="top"/>
                </w:tcPr>
                <w:p w14:paraId="59C6B721">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去核机</w:t>
                  </w:r>
                </w:p>
              </w:tc>
              <w:tc>
                <w:tcPr>
                  <w:tcW w:w="1085" w:type="pct"/>
                  <w:tcBorders>
                    <w:tl2br w:val="nil"/>
                    <w:tr2bl w:val="nil"/>
                  </w:tcBorders>
                  <w:noWrap w:val="0"/>
                  <w:vAlign w:val="top"/>
                </w:tcPr>
                <w:p w14:paraId="7D459FF8">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7F639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4273FCF4">
                  <w:pPr>
                    <w:snapToGrid w:val="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6</w:t>
                  </w:r>
                </w:p>
              </w:tc>
              <w:tc>
                <w:tcPr>
                  <w:tcW w:w="697" w:type="pct"/>
                  <w:vMerge w:val="continue"/>
                  <w:tcBorders>
                    <w:tl2br w:val="nil"/>
                    <w:tr2bl w:val="nil"/>
                  </w:tcBorders>
                  <w:noWrap w:val="0"/>
                  <w:vAlign w:val="center"/>
                </w:tcPr>
                <w:p w14:paraId="776AE7B1">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508" w:type="pct"/>
                  <w:tcBorders>
                    <w:tl2br w:val="nil"/>
                    <w:tr2bl w:val="nil"/>
                  </w:tcBorders>
                  <w:noWrap w:val="0"/>
                  <w:vAlign w:val="top"/>
                </w:tcPr>
                <w:p w14:paraId="65BBF44A">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烘干机</w:t>
                  </w:r>
                </w:p>
              </w:tc>
              <w:tc>
                <w:tcPr>
                  <w:tcW w:w="1085" w:type="pct"/>
                  <w:tcBorders>
                    <w:tl2br w:val="nil"/>
                    <w:tr2bl w:val="nil"/>
                  </w:tcBorders>
                  <w:noWrap w:val="0"/>
                  <w:vAlign w:val="top"/>
                </w:tcPr>
                <w:p w14:paraId="138C951E">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1E1C2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6A8AFB15">
                  <w:pPr>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w:t>
                  </w:r>
                </w:p>
              </w:tc>
              <w:tc>
                <w:tcPr>
                  <w:tcW w:w="697" w:type="pct"/>
                  <w:vMerge w:val="continue"/>
                  <w:tcBorders>
                    <w:tl2br w:val="nil"/>
                    <w:tr2bl w:val="nil"/>
                  </w:tcBorders>
                  <w:noWrap w:val="0"/>
                  <w:vAlign w:val="center"/>
                </w:tcPr>
                <w:p w14:paraId="7B30113B">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508" w:type="pct"/>
                  <w:tcBorders>
                    <w:tl2br w:val="nil"/>
                    <w:tr2bl w:val="nil"/>
                  </w:tcBorders>
                  <w:noWrap w:val="0"/>
                  <w:vAlign w:val="top"/>
                </w:tcPr>
                <w:p w14:paraId="40234473">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色选机</w:t>
                  </w:r>
                </w:p>
              </w:tc>
              <w:tc>
                <w:tcPr>
                  <w:tcW w:w="1085" w:type="pct"/>
                  <w:tcBorders>
                    <w:tl2br w:val="nil"/>
                    <w:tr2bl w:val="nil"/>
                  </w:tcBorders>
                  <w:noWrap w:val="0"/>
                  <w:vAlign w:val="top"/>
                </w:tcPr>
                <w:p w14:paraId="64D9B879">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2C864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0DF24A3E">
                  <w:pPr>
                    <w:snapToGrid w:val="0"/>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8</w:t>
                  </w:r>
                </w:p>
              </w:tc>
              <w:tc>
                <w:tcPr>
                  <w:tcW w:w="697" w:type="pct"/>
                  <w:vMerge w:val="continue"/>
                  <w:tcBorders>
                    <w:tl2br w:val="nil"/>
                    <w:tr2bl w:val="nil"/>
                  </w:tcBorders>
                  <w:noWrap w:val="0"/>
                  <w:vAlign w:val="center"/>
                </w:tcPr>
                <w:p w14:paraId="5575268E">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508" w:type="pct"/>
                  <w:tcBorders>
                    <w:tl2br w:val="nil"/>
                    <w:tr2bl w:val="nil"/>
                  </w:tcBorders>
                  <w:noWrap w:val="0"/>
                  <w:vAlign w:val="top"/>
                </w:tcPr>
                <w:p w14:paraId="4CFCE1A9">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裙边提升机</w:t>
                  </w:r>
                </w:p>
              </w:tc>
              <w:tc>
                <w:tcPr>
                  <w:tcW w:w="1085" w:type="pct"/>
                  <w:tcBorders>
                    <w:tl2br w:val="nil"/>
                    <w:tr2bl w:val="nil"/>
                  </w:tcBorders>
                  <w:noWrap w:val="0"/>
                  <w:vAlign w:val="top"/>
                </w:tcPr>
                <w:p w14:paraId="530C1E51">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default" w:ascii="Times New Roman" w:hAnsi="Times New Roman" w:eastAsia="宋体" w:cs="Times New Roman"/>
                      <w:b w:val="0"/>
                      <w:bCs w:val="0"/>
                      <w:color w:val="auto"/>
                      <w:kern w:val="0"/>
                      <w:sz w:val="21"/>
                      <w:szCs w:val="21"/>
                      <w:highlight w:val="none"/>
                      <w:lang w:bidi="ar"/>
                    </w:rPr>
                    <w:t>台</w:t>
                  </w:r>
                </w:p>
              </w:tc>
            </w:tr>
            <w:tr w14:paraId="6E76D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7017468F">
                  <w:pPr>
                    <w:snapToGrid w:val="0"/>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w:t>
                  </w:r>
                </w:p>
              </w:tc>
              <w:tc>
                <w:tcPr>
                  <w:tcW w:w="697" w:type="pct"/>
                  <w:vMerge w:val="continue"/>
                  <w:tcBorders>
                    <w:tl2br w:val="nil"/>
                    <w:tr2bl w:val="nil"/>
                  </w:tcBorders>
                  <w:noWrap w:val="0"/>
                  <w:vAlign w:val="center"/>
                </w:tcPr>
                <w:p w14:paraId="071B3BA1">
                  <w:pPr>
                    <w:widowControl/>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p>
              </w:tc>
              <w:tc>
                <w:tcPr>
                  <w:tcW w:w="2508" w:type="pct"/>
                  <w:tcBorders>
                    <w:tl2br w:val="nil"/>
                    <w:tr2bl w:val="nil"/>
                  </w:tcBorders>
                  <w:noWrap w:val="0"/>
                  <w:vAlign w:val="top"/>
                </w:tcPr>
                <w:p w14:paraId="450C9D40">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金属探测仪</w:t>
                  </w:r>
                </w:p>
              </w:tc>
              <w:tc>
                <w:tcPr>
                  <w:tcW w:w="1085" w:type="pct"/>
                  <w:tcBorders>
                    <w:tl2br w:val="nil"/>
                    <w:tr2bl w:val="nil"/>
                  </w:tcBorders>
                  <w:noWrap w:val="0"/>
                  <w:vAlign w:val="top"/>
                </w:tcPr>
                <w:p w14:paraId="201123E9">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456A1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51A4091C">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10</w:t>
                  </w:r>
                </w:p>
              </w:tc>
              <w:tc>
                <w:tcPr>
                  <w:tcW w:w="697" w:type="pct"/>
                  <w:vMerge w:val="continue"/>
                  <w:tcBorders>
                    <w:tl2br w:val="nil"/>
                    <w:tr2bl w:val="nil"/>
                  </w:tcBorders>
                  <w:noWrap w:val="0"/>
                  <w:vAlign w:val="center"/>
                </w:tcPr>
                <w:p w14:paraId="66203F01">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023BEC42">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检重秤</w:t>
                  </w:r>
                </w:p>
              </w:tc>
              <w:tc>
                <w:tcPr>
                  <w:tcW w:w="1085" w:type="pct"/>
                  <w:tcBorders>
                    <w:tl2br w:val="nil"/>
                    <w:tr2bl w:val="nil"/>
                  </w:tcBorders>
                  <w:noWrap w:val="0"/>
                  <w:vAlign w:val="top"/>
                </w:tcPr>
                <w:p w14:paraId="342D8157">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37FEB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58FA0851">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697" w:type="pct"/>
                  <w:vMerge w:val="continue"/>
                  <w:tcBorders>
                    <w:tl2br w:val="nil"/>
                    <w:tr2bl w:val="nil"/>
                  </w:tcBorders>
                  <w:noWrap w:val="0"/>
                  <w:vAlign w:val="center"/>
                </w:tcPr>
                <w:p w14:paraId="732C7734">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137D4AA2">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包装机</w:t>
                  </w:r>
                </w:p>
              </w:tc>
              <w:tc>
                <w:tcPr>
                  <w:tcW w:w="1085" w:type="pct"/>
                  <w:tcBorders>
                    <w:tl2br w:val="nil"/>
                    <w:tr2bl w:val="nil"/>
                  </w:tcBorders>
                  <w:noWrap w:val="0"/>
                  <w:vAlign w:val="top"/>
                </w:tcPr>
                <w:p w14:paraId="0605C10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448F6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 w:hRule="atLeast"/>
                <w:tblHeader/>
                <w:jc w:val="center"/>
              </w:trPr>
              <w:tc>
                <w:tcPr>
                  <w:tcW w:w="708" w:type="pct"/>
                  <w:tcBorders>
                    <w:tl2br w:val="nil"/>
                    <w:tr2bl w:val="nil"/>
                  </w:tcBorders>
                  <w:noWrap w:val="0"/>
                  <w:vAlign w:val="center"/>
                </w:tcPr>
                <w:p w14:paraId="0DEC102B">
                  <w:pPr>
                    <w:snapToGrid w:val="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w:t>
                  </w:r>
                  <w:r>
                    <w:rPr>
                      <w:rFonts w:hint="eastAsia" w:ascii="Times New Roman" w:hAnsi="Times New Roman" w:eastAsia="宋体" w:cs="Times New Roman"/>
                      <w:b w:val="0"/>
                      <w:bCs w:val="0"/>
                      <w:color w:val="auto"/>
                      <w:sz w:val="21"/>
                      <w:szCs w:val="21"/>
                      <w:highlight w:val="none"/>
                      <w:lang w:val="en-US" w:eastAsia="zh-CN"/>
                    </w:rPr>
                    <w:t>2</w:t>
                  </w:r>
                </w:p>
              </w:tc>
              <w:tc>
                <w:tcPr>
                  <w:tcW w:w="697" w:type="pct"/>
                  <w:vMerge w:val="continue"/>
                  <w:tcBorders>
                    <w:tl2br w:val="nil"/>
                    <w:tr2bl w:val="nil"/>
                  </w:tcBorders>
                  <w:noWrap w:val="0"/>
                  <w:vAlign w:val="center"/>
                </w:tcPr>
                <w:p w14:paraId="2ABDFF24">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76B9FD9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空气压缩机</w:t>
                  </w:r>
                </w:p>
              </w:tc>
              <w:tc>
                <w:tcPr>
                  <w:tcW w:w="1085" w:type="pct"/>
                  <w:tcBorders>
                    <w:tl2br w:val="nil"/>
                    <w:tr2bl w:val="nil"/>
                  </w:tcBorders>
                  <w:noWrap w:val="0"/>
                  <w:vAlign w:val="top"/>
                </w:tcPr>
                <w:p w14:paraId="384BECC0">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14118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36ACDBF2">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697" w:type="pct"/>
                  <w:vMerge w:val="restart"/>
                  <w:tcBorders>
                    <w:tl2br w:val="nil"/>
                    <w:tr2bl w:val="nil"/>
                  </w:tcBorders>
                  <w:noWrap w:val="0"/>
                  <w:vAlign w:val="center"/>
                </w:tcPr>
                <w:p w14:paraId="2C4AB5A4">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深加工产品</w:t>
                  </w:r>
                  <w:r>
                    <w:rPr>
                      <w:rFonts w:hint="eastAsia" w:ascii="Times New Roman" w:hAnsi="Times New Roman" w:eastAsia="宋体" w:cs="Times New Roman"/>
                      <w:b w:val="0"/>
                      <w:bCs w:val="0"/>
                      <w:color w:val="auto"/>
                      <w:kern w:val="0"/>
                      <w:sz w:val="21"/>
                      <w:szCs w:val="21"/>
                      <w:highlight w:val="none"/>
                      <w:lang w:val="en-US" w:eastAsia="zh-CN" w:bidi="ar"/>
                    </w:rPr>
                    <w:t>生产线</w:t>
                  </w:r>
                </w:p>
              </w:tc>
              <w:tc>
                <w:tcPr>
                  <w:tcW w:w="2508" w:type="pct"/>
                  <w:tcBorders>
                    <w:tl2br w:val="nil"/>
                    <w:tr2bl w:val="nil"/>
                  </w:tcBorders>
                  <w:noWrap w:val="0"/>
                  <w:vAlign w:val="top"/>
                </w:tcPr>
                <w:p w14:paraId="44DF3DBD">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粉碎机（打浆机）</w:t>
                  </w:r>
                </w:p>
              </w:tc>
              <w:tc>
                <w:tcPr>
                  <w:tcW w:w="1085" w:type="pct"/>
                  <w:tcBorders>
                    <w:tl2br w:val="nil"/>
                    <w:tr2bl w:val="nil"/>
                  </w:tcBorders>
                  <w:noWrap w:val="0"/>
                  <w:vAlign w:val="top"/>
                </w:tcPr>
                <w:p w14:paraId="2BC2275B">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r>
            <w:tr w14:paraId="49684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699CC9A5">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697" w:type="pct"/>
                  <w:vMerge w:val="continue"/>
                  <w:tcBorders>
                    <w:tl2br w:val="nil"/>
                    <w:tr2bl w:val="nil"/>
                  </w:tcBorders>
                  <w:noWrap w:val="0"/>
                  <w:vAlign w:val="center"/>
                </w:tcPr>
                <w:p w14:paraId="3FF47120">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7E9DB2A5">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真空上料机</w:t>
                  </w:r>
                </w:p>
              </w:tc>
              <w:tc>
                <w:tcPr>
                  <w:tcW w:w="1085" w:type="pct"/>
                  <w:tcBorders>
                    <w:tl2br w:val="nil"/>
                    <w:tr2bl w:val="nil"/>
                  </w:tcBorders>
                  <w:noWrap w:val="0"/>
                  <w:vAlign w:val="top"/>
                </w:tcPr>
                <w:p w14:paraId="26D2015C">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r>
            <w:tr w14:paraId="30611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663C439E">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15</w:t>
                  </w:r>
                </w:p>
              </w:tc>
              <w:tc>
                <w:tcPr>
                  <w:tcW w:w="697" w:type="pct"/>
                  <w:vMerge w:val="continue"/>
                  <w:tcBorders>
                    <w:tl2br w:val="nil"/>
                    <w:tr2bl w:val="nil"/>
                  </w:tcBorders>
                  <w:noWrap w:val="0"/>
                  <w:vAlign w:val="center"/>
                </w:tcPr>
                <w:p w14:paraId="2EA955C7">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758979ED">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混料机</w:t>
                  </w:r>
                </w:p>
              </w:tc>
              <w:tc>
                <w:tcPr>
                  <w:tcW w:w="1085" w:type="pct"/>
                  <w:tcBorders>
                    <w:tl2br w:val="nil"/>
                    <w:tr2bl w:val="nil"/>
                  </w:tcBorders>
                  <w:noWrap w:val="0"/>
                  <w:vAlign w:val="top"/>
                </w:tcPr>
                <w:p w14:paraId="7221654C">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default" w:ascii="Times New Roman" w:hAnsi="Times New Roman" w:eastAsia="宋体" w:cs="Times New Roman"/>
                      <w:b w:val="0"/>
                      <w:bCs w:val="0"/>
                      <w:color w:val="auto"/>
                      <w:kern w:val="0"/>
                      <w:sz w:val="21"/>
                      <w:szCs w:val="21"/>
                      <w:highlight w:val="none"/>
                      <w:lang w:bidi="ar"/>
                    </w:rPr>
                    <w:t>台</w:t>
                  </w:r>
                </w:p>
              </w:tc>
            </w:tr>
            <w:tr w14:paraId="709BA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45155715">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w:t>
                  </w:r>
                </w:p>
              </w:tc>
              <w:tc>
                <w:tcPr>
                  <w:tcW w:w="697" w:type="pct"/>
                  <w:vMerge w:val="continue"/>
                  <w:tcBorders>
                    <w:tl2br w:val="nil"/>
                    <w:tr2bl w:val="nil"/>
                  </w:tcBorders>
                  <w:noWrap w:val="0"/>
                  <w:vAlign w:val="center"/>
                </w:tcPr>
                <w:p w14:paraId="10DAFB23">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4D2A10E2">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杀菌机</w:t>
                  </w:r>
                </w:p>
              </w:tc>
              <w:tc>
                <w:tcPr>
                  <w:tcW w:w="1085" w:type="pct"/>
                  <w:tcBorders>
                    <w:tl2br w:val="nil"/>
                    <w:tr2bl w:val="nil"/>
                  </w:tcBorders>
                  <w:noWrap w:val="0"/>
                  <w:vAlign w:val="top"/>
                </w:tcPr>
                <w:p w14:paraId="48DE8A49">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r w14:paraId="45BEC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332AD898">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w:t>
                  </w:r>
                </w:p>
              </w:tc>
              <w:tc>
                <w:tcPr>
                  <w:tcW w:w="697" w:type="pct"/>
                  <w:vMerge w:val="continue"/>
                  <w:tcBorders>
                    <w:tl2br w:val="nil"/>
                    <w:tr2bl w:val="nil"/>
                  </w:tcBorders>
                  <w:noWrap w:val="0"/>
                  <w:vAlign w:val="center"/>
                </w:tcPr>
                <w:p w14:paraId="2802EC5D">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71F849F2">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调制器</w:t>
                  </w:r>
                </w:p>
              </w:tc>
              <w:tc>
                <w:tcPr>
                  <w:tcW w:w="1085" w:type="pct"/>
                  <w:tcBorders>
                    <w:tl2br w:val="nil"/>
                    <w:tr2bl w:val="nil"/>
                  </w:tcBorders>
                  <w:noWrap w:val="0"/>
                  <w:vAlign w:val="top"/>
                </w:tcPr>
                <w:p w14:paraId="246F6CE8">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default" w:ascii="Times New Roman" w:hAnsi="Times New Roman" w:eastAsia="宋体" w:cs="Times New Roman"/>
                      <w:b w:val="0"/>
                      <w:bCs w:val="0"/>
                      <w:color w:val="auto"/>
                      <w:kern w:val="0"/>
                      <w:sz w:val="21"/>
                      <w:szCs w:val="21"/>
                      <w:highlight w:val="none"/>
                      <w:lang w:bidi="ar"/>
                    </w:rPr>
                    <w:t>台</w:t>
                  </w:r>
                </w:p>
              </w:tc>
            </w:tr>
            <w:tr w14:paraId="5F739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33887334">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18</w:t>
                  </w:r>
                </w:p>
              </w:tc>
              <w:tc>
                <w:tcPr>
                  <w:tcW w:w="697" w:type="pct"/>
                  <w:vMerge w:val="continue"/>
                  <w:tcBorders>
                    <w:tl2br w:val="nil"/>
                    <w:tr2bl w:val="nil"/>
                  </w:tcBorders>
                  <w:noWrap w:val="0"/>
                  <w:vAlign w:val="center"/>
                </w:tcPr>
                <w:p w14:paraId="4DF2066A">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2508" w:type="pct"/>
                  <w:tcBorders>
                    <w:tl2br w:val="nil"/>
                    <w:tr2bl w:val="nil"/>
                  </w:tcBorders>
                  <w:noWrap w:val="0"/>
                  <w:vAlign w:val="top"/>
                </w:tcPr>
                <w:p w14:paraId="427E813C">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灌装机（不同型号）</w:t>
                  </w:r>
                </w:p>
              </w:tc>
              <w:tc>
                <w:tcPr>
                  <w:tcW w:w="1085" w:type="pct"/>
                  <w:tcBorders>
                    <w:tl2br w:val="nil"/>
                    <w:tr2bl w:val="nil"/>
                  </w:tcBorders>
                  <w:noWrap w:val="0"/>
                  <w:vAlign w:val="top"/>
                </w:tcPr>
                <w:p w14:paraId="568F443B">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w:t>
                  </w:r>
                  <w:r>
                    <w:rPr>
                      <w:rFonts w:hint="default" w:ascii="Times New Roman" w:hAnsi="Times New Roman" w:eastAsia="宋体" w:cs="Times New Roman"/>
                      <w:b w:val="0"/>
                      <w:bCs w:val="0"/>
                      <w:color w:val="auto"/>
                      <w:kern w:val="0"/>
                      <w:sz w:val="21"/>
                      <w:szCs w:val="21"/>
                      <w:highlight w:val="none"/>
                      <w:lang w:bidi="ar"/>
                    </w:rPr>
                    <w:t>台</w:t>
                  </w:r>
                </w:p>
              </w:tc>
            </w:tr>
            <w:tr w14:paraId="76E9C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08" w:type="pct"/>
                  <w:tcBorders>
                    <w:tl2br w:val="nil"/>
                    <w:tr2bl w:val="nil"/>
                  </w:tcBorders>
                  <w:noWrap w:val="0"/>
                  <w:vAlign w:val="center"/>
                </w:tcPr>
                <w:p w14:paraId="5806E8EF">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19</w:t>
                  </w:r>
                </w:p>
              </w:tc>
              <w:tc>
                <w:tcPr>
                  <w:tcW w:w="697" w:type="pct"/>
                  <w:tcBorders>
                    <w:tl2br w:val="nil"/>
                    <w:tr2bl w:val="nil"/>
                  </w:tcBorders>
                  <w:noWrap w:val="0"/>
                  <w:vAlign w:val="center"/>
                </w:tcPr>
                <w:p w14:paraId="4565CB71">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纯水制备</w:t>
                  </w:r>
                </w:p>
              </w:tc>
              <w:tc>
                <w:tcPr>
                  <w:tcW w:w="2508" w:type="pct"/>
                  <w:tcBorders>
                    <w:tl2br w:val="nil"/>
                    <w:tr2bl w:val="nil"/>
                  </w:tcBorders>
                  <w:noWrap w:val="0"/>
                  <w:vAlign w:val="top"/>
                </w:tcPr>
                <w:p w14:paraId="75B2B133">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纯水设备（制备率约70%）</w:t>
                  </w:r>
                </w:p>
              </w:tc>
              <w:tc>
                <w:tcPr>
                  <w:tcW w:w="1085" w:type="pct"/>
                  <w:tcBorders>
                    <w:tl2br w:val="nil"/>
                    <w:tr2bl w:val="nil"/>
                  </w:tcBorders>
                  <w:noWrap w:val="0"/>
                  <w:vAlign w:val="top"/>
                </w:tcPr>
                <w:p w14:paraId="0DA1B73A">
                  <w:pPr>
                    <w:widowControl/>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r>
          </w:tbl>
          <w:p w14:paraId="243A5E3D">
            <w:pPr>
              <w:spacing w:line="360" w:lineRule="auto"/>
              <w:ind w:firstLine="480" w:firstLineChars="200"/>
              <w:rPr>
                <w:rFonts w:hint="default"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本项目产品需进行实验室检测，实验室设备见下表：</w:t>
            </w:r>
          </w:p>
          <w:p w14:paraId="407C39F2">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表2-5  实验室设备一览表</w:t>
            </w:r>
          </w:p>
          <w:tbl>
            <w:tblPr>
              <w:tblStyle w:val="28"/>
              <w:tblW w:w="4996" w:type="pct"/>
              <w:jc w:val="center"/>
              <w:tblLayout w:type="fixed"/>
              <w:tblCellMar>
                <w:top w:w="0" w:type="dxa"/>
                <w:left w:w="108" w:type="dxa"/>
                <w:bottom w:w="0" w:type="dxa"/>
                <w:right w:w="108" w:type="dxa"/>
              </w:tblCellMar>
            </w:tblPr>
            <w:tblGrid>
              <w:gridCol w:w="955"/>
              <w:gridCol w:w="3168"/>
              <w:gridCol w:w="2054"/>
              <w:gridCol w:w="955"/>
              <w:gridCol w:w="955"/>
            </w:tblGrid>
            <w:tr w14:paraId="6F09B914">
              <w:tblPrEx>
                <w:tblCellMar>
                  <w:top w:w="0" w:type="dxa"/>
                  <w:left w:w="108" w:type="dxa"/>
                  <w:bottom w:w="0" w:type="dxa"/>
                  <w:right w:w="108" w:type="dxa"/>
                </w:tblCellMar>
              </w:tblPrEx>
              <w:trPr>
                <w:trHeight w:val="0" w:hRule="atLeast"/>
                <w:jc w:val="center"/>
              </w:trPr>
              <w:tc>
                <w:tcPr>
                  <w:tcW w:w="590" w:type="pct"/>
                  <w:tcBorders>
                    <w:top w:val="single" w:color="auto" w:sz="8" w:space="0"/>
                    <w:left w:val="single" w:color="auto" w:sz="8" w:space="0"/>
                    <w:bottom w:val="single" w:color="auto" w:sz="8" w:space="0"/>
                    <w:right w:val="nil"/>
                  </w:tcBorders>
                  <w:noWrap w:val="0"/>
                  <w:vAlign w:val="center"/>
                </w:tcPr>
                <w:p w14:paraId="10F1687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序号</w:t>
                  </w:r>
                </w:p>
              </w:tc>
              <w:tc>
                <w:tcPr>
                  <w:tcW w:w="1958" w:type="pct"/>
                  <w:tcBorders>
                    <w:top w:val="single" w:color="auto" w:sz="8" w:space="0"/>
                    <w:left w:val="single" w:color="auto" w:sz="8" w:space="0"/>
                    <w:bottom w:val="single" w:color="auto" w:sz="4" w:space="0"/>
                    <w:right w:val="single" w:color="auto" w:sz="4" w:space="0"/>
                  </w:tcBorders>
                  <w:noWrap w:val="0"/>
                  <w:vAlign w:val="center"/>
                </w:tcPr>
                <w:p w14:paraId="584428F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名  称</w:t>
                  </w:r>
                </w:p>
              </w:tc>
              <w:tc>
                <w:tcPr>
                  <w:tcW w:w="1269" w:type="pct"/>
                  <w:tcBorders>
                    <w:top w:val="single" w:color="auto" w:sz="8" w:space="0"/>
                    <w:left w:val="nil"/>
                    <w:bottom w:val="single" w:color="auto" w:sz="4" w:space="0"/>
                    <w:right w:val="single" w:color="auto" w:sz="4" w:space="0"/>
                  </w:tcBorders>
                  <w:noWrap w:val="0"/>
                  <w:vAlign w:val="center"/>
                </w:tcPr>
                <w:p w14:paraId="1A52E90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型  号</w:t>
                  </w:r>
                </w:p>
              </w:tc>
              <w:tc>
                <w:tcPr>
                  <w:tcW w:w="590" w:type="pct"/>
                  <w:tcBorders>
                    <w:top w:val="single" w:color="auto" w:sz="8" w:space="0"/>
                    <w:left w:val="nil"/>
                    <w:bottom w:val="single" w:color="auto" w:sz="4" w:space="0"/>
                    <w:right w:val="single" w:color="auto" w:sz="4" w:space="0"/>
                  </w:tcBorders>
                  <w:noWrap w:val="0"/>
                  <w:vAlign w:val="center"/>
                </w:tcPr>
                <w:p w14:paraId="3863EE1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数量</w:t>
                  </w:r>
                </w:p>
              </w:tc>
              <w:tc>
                <w:tcPr>
                  <w:tcW w:w="590" w:type="pct"/>
                  <w:tcBorders>
                    <w:top w:val="single" w:color="auto" w:sz="8" w:space="0"/>
                    <w:left w:val="nil"/>
                    <w:bottom w:val="single" w:color="auto" w:sz="4" w:space="0"/>
                    <w:right w:val="single" w:color="auto" w:sz="4" w:space="0"/>
                  </w:tcBorders>
                  <w:noWrap w:val="0"/>
                  <w:vAlign w:val="center"/>
                </w:tcPr>
                <w:p w14:paraId="5C28145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单位</w:t>
                  </w:r>
                </w:p>
              </w:tc>
            </w:tr>
            <w:tr w14:paraId="5D7651AF">
              <w:tblPrEx>
                <w:tblCellMar>
                  <w:top w:w="0" w:type="dxa"/>
                  <w:left w:w="108" w:type="dxa"/>
                  <w:bottom w:w="0" w:type="dxa"/>
                  <w:right w:w="108" w:type="dxa"/>
                </w:tblCellMar>
              </w:tblPrEx>
              <w:trPr>
                <w:trHeight w:val="0" w:hRule="atLeast"/>
                <w:jc w:val="center"/>
              </w:trPr>
              <w:tc>
                <w:tcPr>
                  <w:tcW w:w="590" w:type="pct"/>
                  <w:tcBorders>
                    <w:top w:val="nil"/>
                    <w:left w:val="single" w:color="auto" w:sz="8" w:space="0"/>
                    <w:bottom w:val="single" w:color="auto" w:sz="8" w:space="0"/>
                    <w:right w:val="nil"/>
                  </w:tcBorders>
                  <w:noWrap w:val="0"/>
                  <w:vAlign w:val="center"/>
                </w:tcPr>
                <w:p w14:paraId="4BDE768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1958" w:type="pct"/>
                  <w:tcBorders>
                    <w:top w:val="nil"/>
                    <w:left w:val="single" w:color="auto" w:sz="8" w:space="0"/>
                    <w:bottom w:val="single" w:color="auto" w:sz="4" w:space="0"/>
                    <w:right w:val="single" w:color="auto" w:sz="4" w:space="0"/>
                  </w:tcBorders>
                  <w:noWrap w:val="0"/>
                  <w:vAlign w:val="center"/>
                </w:tcPr>
                <w:p w14:paraId="4A6DA0F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电子秤</w:t>
                  </w:r>
                </w:p>
              </w:tc>
              <w:tc>
                <w:tcPr>
                  <w:tcW w:w="1269" w:type="pct"/>
                  <w:tcBorders>
                    <w:top w:val="nil"/>
                    <w:left w:val="nil"/>
                    <w:bottom w:val="single" w:color="auto" w:sz="4" w:space="0"/>
                    <w:right w:val="single" w:color="auto" w:sz="4" w:space="0"/>
                  </w:tcBorders>
                  <w:noWrap w:val="0"/>
                  <w:vAlign w:val="center"/>
                </w:tcPr>
                <w:p w14:paraId="4857276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DT500A</w:t>
                  </w:r>
                </w:p>
              </w:tc>
              <w:tc>
                <w:tcPr>
                  <w:tcW w:w="590" w:type="pct"/>
                  <w:tcBorders>
                    <w:top w:val="nil"/>
                    <w:left w:val="nil"/>
                    <w:bottom w:val="single" w:color="auto" w:sz="4" w:space="0"/>
                    <w:right w:val="single" w:color="auto" w:sz="4" w:space="0"/>
                  </w:tcBorders>
                  <w:noWrap w:val="0"/>
                  <w:vAlign w:val="center"/>
                </w:tcPr>
                <w:p w14:paraId="2C13B3C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nil"/>
                    <w:left w:val="nil"/>
                    <w:bottom w:val="single" w:color="auto" w:sz="4" w:space="0"/>
                    <w:right w:val="single" w:color="auto" w:sz="4" w:space="0"/>
                  </w:tcBorders>
                  <w:noWrap w:val="0"/>
                  <w:vAlign w:val="center"/>
                </w:tcPr>
                <w:p w14:paraId="30060B7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5AE009A1">
              <w:tblPrEx>
                <w:tblCellMar>
                  <w:top w:w="0" w:type="dxa"/>
                  <w:left w:w="108" w:type="dxa"/>
                  <w:bottom w:w="0" w:type="dxa"/>
                  <w:right w:w="108" w:type="dxa"/>
                </w:tblCellMar>
              </w:tblPrEx>
              <w:trPr>
                <w:trHeight w:val="0" w:hRule="atLeast"/>
                <w:jc w:val="center"/>
              </w:trPr>
              <w:tc>
                <w:tcPr>
                  <w:tcW w:w="590" w:type="pct"/>
                  <w:tcBorders>
                    <w:top w:val="nil"/>
                    <w:left w:val="single" w:color="auto" w:sz="8" w:space="0"/>
                    <w:bottom w:val="single" w:color="auto" w:sz="8" w:space="0"/>
                    <w:right w:val="nil"/>
                  </w:tcBorders>
                  <w:noWrap w:val="0"/>
                  <w:vAlign w:val="center"/>
                </w:tcPr>
                <w:p w14:paraId="795FBC6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2</w:t>
                  </w:r>
                </w:p>
              </w:tc>
              <w:tc>
                <w:tcPr>
                  <w:tcW w:w="1958" w:type="pct"/>
                  <w:tcBorders>
                    <w:top w:val="nil"/>
                    <w:left w:val="single" w:color="auto" w:sz="8" w:space="0"/>
                    <w:bottom w:val="single" w:color="auto" w:sz="4" w:space="0"/>
                    <w:right w:val="single" w:color="auto" w:sz="4" w:space="0"/>
                  </w:tcBorders>
                  <w:noWrap w:val="0"/>
                  <w:vAlign w:val="center"/>
                </w:tcPr>
                <w:p w14:paraId="530A454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真空干燥箱</w:t>
                  </w:r>
                </w:p>
              </w:tc>
              <w:tc>
                <w:tcPr>
                  <w:tcW w:w="1269" w:type="pct"/>
                  <w:tcBorders>
                    <w:top w:val="nil"/>
                    <w:left w:val="nil"/>
                    <w:bottom w:val="single" w:color="auto" w:sz="4" w:space="0"/>
                    <w:right w:val="single" w:color="auto" w:sz="4" w:space="0"/>
                  </w:tcBorders>
                  <w:noWrap w:val="0"/>
                  <w:vAlign w:val="center"/>
                </w:tcPr>
                <w:p w14:paraId="5C0E9DA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DZF-6050型</w:t>
                  </w:r>
                </w:p>
              </w:tc>
              <w:tc>
                <w:tcPr>
                  <w:tcW w:w="590" w:type="pct"/>
                  <w:tcBorders>
                    <w:top w:val="nil"/>
                    <w:left w:val="nil"/>
                    <w:bottom w:val="single" w:color="auto" w:sz="4" w:space="0"/>
                    <w:right w:val="single" w:color="auto" w:sz="4" w:space="0"/>
                  </w:tcBorders>
                  <w:noWrap w:val="0"/>
                  <w:vAlign w:val="center"/>
                </w:tcPr>
                <w:p w14:paraId="06FCCE9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nil"/>
                    <w:left w:val="nil"/>
                    <w:bottom w:val="single" w:color="auto" w:sz="4" w:space="0"/>
                    <w:right w:val="single" w:color="auto" w:sz="4" w:space="0"/>
                  </w:tcBorders>
                  <w:noWrap w:val="0"/>
                  <w:vAlign w:val="center"/>
                </w:tcPr>
                <w:p w14:paraId="35EDD8A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1D8CB587">
              <w:tblPrEx>
                <w:tblCellMar>
                  <w:top w:w="0" w:type="dxa"/>
                  <w:left w:w="108" w:type="dxa"/>
                  <w:bottom w:w="0" w:type="dxa"/>
                  <w:right w:w="108" w:type="dxa"/>
                </w:tblCellMar>
              </w:tblPrEx>
              <w:trPr>
                <w:trHeight w:val="0" w:hRule="atLeast"/>
                <w:jc w:val="center"/>
              </w:trPr>
              <w:tc>
                <w:tcPr>
                  <w:tcW w:w="590" w:type="pct"/>
                  <w:tcBorders>
                    <w:top w:val="nil"/>
                    <w:left w:val="single" w:color="auto" w:sz="8" w:space="0"/>
                    <w:bottom w:val="single" w:color="auto" w:sz="8" w:space="0"/>
                    <w:right w:val="nil"/>
                  </w:tcBorders>
                  <w:noWrap w:val="0"/>
                  <w:vAlign w:val="center"/>
                </w:tcPr>
                <w:p w14:paraId="3B3BA8A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3</w:t>
                  </w:r>
                </w:p>
              </w:tc>
              <w:tc>
                <w:tcPr>
                  <w:tcW w:w="1958" w:type="pct"/>
                  <w:tcBorders>
                    <w:top w:val="nil"/>
                    <w:left w:val="single" w:color="auto" w:sz="8" w:space="0"/>
                    <w:bottom w:val="single" w:color="auto" w:sz="4" w:space="0"/>
                    <w:right w:val="single" w:color="auto" w:sz="4" w:space="0"/>
                  </w:tcBorders>
                  <w:noWrap w:val="0"/>
                  <w:vAlign w:val="center"/>
                </w:tcPr>
                <w:p w14:paraId="4C32D95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电热真空干燥箱</w:t>
                  </w:r>
                </w:p>
              </w:tc>
              <w:tc>
                <w:tcPr>
                  <w:tcW w:w="1269" w:type="pct"/>
                  <w:tcBorders>
                    <w:top w:val="nil"/>
                    <w:left w:val="nil"/>
                    <w:bottom w:val="single" w:color="auto" w:sz="4" w:space="0"/>
                    <w:right w:val="single" w:color="auto" w:sz="4" w:space="0"/>
                  </w:tcBorders>
                  <w:noWrap w:val="0"/>
                  <w:vAlign w:val="center"/>
                </w:tcPr>
                <w:p w14:paraId="14CE2B9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ZK072B</w:t>
                  </w:r>
                </w:p>
              </w:tc>
              <w:tc>
                <w:tcPr>
                  <w:tcW w:w="590" w:type="pct"/>
                  <w:tcBorders>
                    <w:top w:val="nil"/>
                    <w:left w:val="nil"/>
                    <w:bottom w:val="single" w:color="auto" w:sz="4" w:space="0"/>
                    <w:right w:val="single" w:color="auto" w:sz="4" w:space="0"/>
                  </w:tcBorders>
                  <w:noWrap w:val="0"/>
                  <w:vAlign w:val="center"/>
                </w:tcPr>
                <w:p w14:paraId="52B34584">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nil"/>
                    <w:left w:val="nil"/>
                    <w:bottom w:val="single" w:color="auto" w:sz="4" w:space="0"/>
                    <w:right w:val="single" w:color="auto" w:sz="4" w:space="0"/>
                  </w:tcBorders>
                  <w:noWrap w:val="0"/>
                  <w:vAlign w:val="center"/>
                </w:tcPr>
                <w:p w14:paraId="72EFE58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33660E80">
              <w:tblPrEx>
                <w:tblCellMar>
                  <w:top w:w="0" w:type="dxa"/>
                  <w:left w:w="108" w:type="dxa"/>
                  <w:bottom w:w="0" w:type="dxa"/>
                  <w:right w:w="108" w:type="dxa"/>
                </w:tblCellMar>
              </w:tblPrEx>
              <w:trPr>
                <w:trHeight w:val="0" w:hRule="atLeast"/>
                <w:jc w:val="center"/>
              </w:trPr>
              <w:tc>
                <w:tcPr>
                  <w:tcW w:w="590" w:type="pct"/>
                  <w:tcBorders>
                    <w:top w:val="nil"/>
                    <w:left w:val="single" w:color="auto" w:sz="8" w:space="0"/>
                    <w:bottom w:val="single" w:color="auto" w:sz="8" w:space="0"/>
                    <w:right w:val="nil"/>
                  </w:tcBorders>
                  <w:noWrap w:val="0"/>
                  <w:vAlign w:val="center"/>
                </w:tcPr>
                <w:p w14:paraId="571C6FD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4</w:t>
                  </w:r>
                </w:p>
              </w:tc>
              <w:tc>
                <w:tcPr>
                  <w:tcW w:w="1958" w:type="pct"/>
                  <w:tcBorders>
                    <w:top w:val="nil"/>
                    <w:left w:val="single" w:color="auto" w:sz="8" w:space="0"/>
                    <w:bottom w:val="single" w:color="auto" w:sz="4" w:space="0"/>
                    <w:right w:val="single" w:color="auto" w:sz="4" w:space="0"/>
                  </w:tcBorders>
                  <w:noWrap w:val="0"/>
                  <w:vAlign w:val="center"/>
                </w:tcPr>
                <w:p w14:paraId="1BE5DD7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循环式多用真空泵</w:t>
                  </w:r>
                </w:p>
              </w:tc>
              <w:tc>
                <w:tcPr>
                  <w:tcW w:w="1269" w:type="pct"/>
                  <w:tcBorders>
                    <w:top w:val="nil"/>
                    <w:left w:val="nil"/>
                    <w:bottom w:val="single" w:color="auto" w:sz="4" w:space="0"/>
                    <w:right w:val="single" w:color="auto" w:sz="4" w:space="0"/>
                  </w:tcBorders>
                  <w:noWrap w:val="0"/>
                  <w:vAlign w:val="center"/>
                </w:tcPr>
                <w:p w14:paraId="46F1F74F">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8HB-Ⅲ</w:t>
                  </w:r>
                </w:p>
              </w:tc>
              <w:tc>
                <w:tcPr>
                  <w:tcW w:w="590" w:type="pct"/>
                  <w:tcBorders>
                    <w:top w:val="nil"/>
                    <w:left w:val="nil"/>
                    <w:bottom w:val="single" w:color="auto" w:sz="4" w:space="0"/>
                    <w:right w:val="single" w:color="auto" w:sz="4" w:space="0"/>
                  </w:tcBorders>
                  <w:noWrap w:val="0"/>
                  <w:vAlign w:val="center"/>
                </w:tcPr>
                <w:p w14:paraId="26C2576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nil"/>
                    <w:left w:val="nil"/>
                    <w:bottom w:val="single" w:color="auto" w:sz="4" w:space="0"/>
                    <w:right w:val="single" w:color="auto" w:sz="4" w:space="0"/>
                  </w:tcBorders>
                  <w:noWrap w:val="0"/>
                  <w:vAlign w:val="center"/>
                </w:tcPr>
                <w:p w14:paraId="02DF56C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1C3653CC">
              <w:tblPrEx>
                <w:tblCellMar>
                  <w:top w:w="0" w:type="dxa"/>
                  <w:left w:w="108" w:type="dxa"/>
                  <w:bottom w:w="0" w:type="dxa"/>
                  <w:right w:w="108" w:type="dxa"/>
                </w:tblCellMar>
              </w:tblPrEx>
              <w:trPr>
                <w:trHeight w:val="0" w:hRule="atLeast"/>
                <w:jc w:val="center"/>
              </w:trPr>
              <w:tc>
                <w:tcPr>
                  <w:tcW w:w="590" w:type="pct"/>
                  <w:tcBorders>
                    <w:top w:val="nil"/>
                    <w:left w:val="single" w:color="auto" w:sz="8" w:space="0"/>
                    <w:bottom w:val="single" w:color="auto" w:sz="8" w:space="0"/>
                    <w:right w:val="nil"/>
                  </w:tcBorders>
                  <w:noWrap w:val="0"/>
                  <w:vAlign w:val="center"/>
                </w:tcPr>
                <w:p w14:paraId="0EEB141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5</w:t>
                  </w:r>
                </w:p>
              </w:tc>
              <w:tc>
                <w:tcPr>
                  <w:tcW w:w="1958" w:type="pct"/>
                  <w:tcBorders>
                    <w:top w:val="nil"/>
                    <w:left w:val="single" w:color="auto" w:sz="8" w:space="0"/>
                    <w:bottom w:val="single" w:color="auto" w:sz="4" w:space="0"/>
                    <w:right w:val="single" w:color="auto" w:sz="4" w:space="0"/>
                  </w:tcBorders>
                  <w:noWrap w:val="0"/>
                  <w:vAlign w:val="center"/>
                </w:tcPr>
                <w:p w14:paraId="6D89461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粉碎机</w:t>
                  </w:r>
                </w:p>
              </w:tc>
              <w:tc>
                <w:tcPr>
                  <w:tcW w:w="1269" w:type="pct"/>
                  <w:tcBorders>
                    <w:top w:val="nil"/>
                    <w:left w:val="nil"/>
                    <w:bottom w:val="single" w:color="auto" w:sz="4" w:space="0"/>
                    <w:right w:val="single" w:color="auto" w:sz="4" w:space="0"/>
                  </w:tcBorders>
                  <w:noWrap w:val="0"/>
                  <w:vAlign w:val="center"/>
                </w:tcPr>
                <w:p w14:paraId="7145D9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90" w:type="pct"/>
                  <w:tcBorders>
                    <w:top w:val="nil"/>
                    <w:left w:val="nil"/>
                    <w:bottom w:val="single" w:color="auto" w:sz="4" w:space="0"/>
                    <w:right w:val="single" w:color="auto" w:sz="4" w:space="0"/>
                  </w:tcBorders>
                  <w:noWrap w:val="0"/>
                  <w:vAlign w:val="center"/>
                </w:tcPr>
                <w:p w14:paraId="0CD6E3D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nil"/>
                    <w:left w:val="nil"/>
                    <w:bottom w:val="single" w:color="auto" w:sz="4" w:space="0"/>
                    <w:right w:val="single" w:color="auto" w:sz="4" w:space="0"/>
                  </w:tcBorders>
                  <w:noWrap w:val="0"/>
                  <w:vAlign w:val="center"/>
                </w:tcPr>
                <w:p w14:paraId="729F73F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1A4AB43D">
              <w:tblPrEx>
                <w:tblCellMar>
                  <w:top w:w="0" w:type="dxa"/>
                  <w:left w:w="108" w:type="dxa"/>
                  <w:bottom w:w="0" w:type="dxa"/>
                  <w:right w:w="108" w:type="dxa"/>
                </w:tblCellMar>
              </w:tblPrEx>
              <w:trPr>
                <w:trHeight w:val="0" w:hRule="atLeast"/>
                <w:jc w:val="center"/>
              </w:trPr>
              <w:tc>
                <w:tcPr>
                  <w:tcW w:w="590" w:type="pct"/>
                  <w:tcBorders>
                    <w:top w:val="nil"/>
                    <w:left w:val="single" w:color="auto" w:sz="8" w:space="0"/>
                    <w:bottom w:val="single" w:color="auto" w:sz="8" w:space="0"/>
                    <w:right w:val="nil"/>
                  </w:tcBorders>
                  <w:noWrap w:val="0"/>
                  <w:vAlign w:val="center"/>
                </w:tcPr>
                <w:p w14:paraId="1727542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6</w:t>
                  </w:r>
                </w:p>
              </w:tc>
              <w:tc>
                <w:tcPr>
                  <w:tcW w:w="1958" w:type="pct"/>
                  <w:tcBorders>
                    <w:top w:val="nil"/>
                    <w:left w:val="single" w:color="auto" w:sz="8" w:space="0"/>
                    <w:bottom w:val="single" w:color="auto" w:sz="4" w:space="0"/>
                    <w:right w:val="single" w:color="auto" w:sz="4" w:space="0"/>
                  </w:tcBorders>
                  <w:noWrap w:val="0"/>
                  <w:vAlign w:val="center"/>
                </w:tcPr>
                <w:p w14:paraId="0FA12FC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电子天平</w:t>
                  </w:r>
                </w:p>
              </w:tc>
              <w:tc>
                <w:tcPr>
                  <w:tcW w:w="1269" w:type="pct"/>
                  <w:tcBorders>
                    <w:top w:val="nil"/>
                    <w:left w:val="nil"/>
                    <w:bottom w:val="single" w:color="auto" w:sz="4" w:space="0"/>
                    <w:right w:val="single" w:color="auto" w:sz="4" w:space="0"/>
                  </w:tcBorders>
                  <w:noWrap w:val="0"/>
                  <w:vAlign w:val="center"/>
                </w:tcPr>
                <w:p w14:paraId="6139AC5D">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A200S</w:t>
                  </w:r>
                </w:p>
              </w:tc>
              <w:tc>
                <w:tcPr>
                  <w:tcW w:w="590" w:type="pct"/>
                  <w:tcBorders>
                    <w:top w:val="nil"/>
                    <w:left w:val="nil"/>
                    <w:bottom w:val="single" w:color="auto" w:sz="4" w:space="0"/>
                    <w:right w:val="single" w:color="auto" w:sz="4" w:space="0"/>
                  </w:tcBorders>
                  <w:noWrap w:val="0"/>
                  <w:vAlign w:val="center"/>
                </w:tcPr>
                <w:p w14:paraId="68B9800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nil"/>
                    <w:left w:val="nil"/>
                    <w:bottom w:val="single" w:color="auto" w:sz="4" w:space="0"/>
                    <w:right w:val="single" w:color="auto" w:sz="4" w:space="0"/>
                  </w:tcBorders>
                  <w:noWrap w:val="0"/>
                  <w:vAlign w:val="center"/>
                </w:tcPr>
                <w:p w14:paraId="2A590F2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313791D4">
              <w:tblPrEx>
                <w:tblCellMar>
                  <w:top w:w="0" w:type="dxa"/>
                  <w:left w:w="108" w:type="dxa"/>
                  <w:bottom w:w="0" w:type="dxa"/>
                  <w:right w:w="108" w:type="dxa"/>
                </w:tblCellMar>
              </w:tblPrEx>
              <w:trPr>
                <w:trHeight w:val="0" w:hRule="atLeast"/>
                <w:jc w:val="center"/>
              </w:trPr>
              <w:tc>
                <w:tcPr>
                  <w:tcW w:w="590" w:type="pct"/>
                  <w:tcBorders>
                    <w:top w:val="nil"/>
                    <w:left w:val="single" w:color="auto" w:sz="8" w:space="0"/>
                    <w:bottom w:val="single" w:color="auto" w:sz="8" w:space="0"/>
                    <w:right w:val="nil"/>
                  </w:tcBorders>
                  <w:noWrap w:val="0"/>
                  <w:vAlign w:val="center"/>
                </w:tcPr>
                <w:p w14:paraId="2400603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7</w:t>
                  </w:r>
                </w:p>
              </w:tc>
              <w:tc>
                <w:tcPr>
                  <w:tcW w:w="1958" w:type="pct"/>
                  <w:tcBorders>
                    <w:top w:val="nil"/>
                    <w:left w:val="single" w:color="auto" w:sz="8" w:space="0"/>
                    <w:bottom w:val="single" w:color="auto" w:sz="8" w:space="0"/>
                    <w:right w:val="single" w:color="auto" w:sz="4" w:space="0"/>
                  </w:tcBorders>
                  <w:noWrap w:val="0"/>
                  <w:vAlign w:val="center"/>
                </w:tcPr>
                <w:p w14:paraId="52CD1CC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玻璃器皿</w:t>
                  </w:r>
                </w:p>
              </w:tc>
              <w:tc>
                <w:tcPr>
                  <w:tcW w:w="1269" w:type="pct"/>
                  <w:tcBorders>
                    <w:top w:val="nil"/>
                    <w:left w:val="nil"/>
                    <w:bottom w:val="single" w:color="auto" w:sz="8" w:space="0"/>
                    <w:right w:val="single" w:color="auto" w:sz="4" w:space="0"/>
                  </w:tcBorders>
                  <w:noWrap w:val="0"/>
                  <w:vAlign w:val="center"/>
                </w:tcPr>
                <w:p w14:paraId="245639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90" w:type="pct"/>
                  <w:tcBorders>
                    <w:top w:val="nil"/>
                    <w:left w:val="nil"/>
                    <w:bottom w:val="single" w:color="auto" w:sz="8" w:space="0"/>
                    <w:right w:val="single" w:color="auto" w:sz="4" w:space="0"/>
                  </w:tcBorders>
                  <w:noWrap w:val="0"/>
                  <w:vAlign w:val="center"/>
                </w:tcPr>
                <w:p w14:paraId="59DD81D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若干</w:t>
                  </w:r>
                </w:p>
              </w:tc>
              <w:tc>
                <w:tcPr>
                  <w:tcW w:w="590" w:type="pct"/>
                  <w:tcBorders>
                    <w:top w:val="nil"/>
                    <w:left w:val="nil"/>
                    <w:bottom w:val="single" w:color="auto" w:sz="8" w:space="0"/>
                    <w:right w:val="single" w:color="auto" w:sz="4" w:space="0"/>
                  </w:tcBorders>
                  <w:noWrap w:val="0"/>
                  <w:vAlign w:val="center"/>
                </w:tcPr>
                <w:p w14:paraId="77B4DFA2">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套</w:t>
                  </w:r>
                </w:p>
              </w:tc>
            </w:tr>
            <w:tr w14:paraId="490EBCAD">
              <w:tblPrEx>
                <w:tblCellMar>
                  <w:top w:w="0" w:type="dxa"/>
                  <w:left w:w="108" w:type="dxa"/>
                  <w:bottom w:w="0" w:type="dxa"/>
                  <w:right w:w="108" w:type="dxa"/>
                </w:tblCellMar>
              </w:tblPrEx>
              <w:trPr>
                <w:trHeight w:val="0" w:hRule="atLeast"/>
                <w:jc w:val="center"/>
              </w:trPr>
              <w:tc>
                <w:tcPr>
                  <w:tcW w:w="590" w:type="pct"/>
                  <w:tcBorders>
                    <w:top w:val="single" w:color="auto" w:sz="8" w:space="0"/>
                    <w:left w:val="single" w:color="auto" w:sz="8" w:space="0"/>
                    <w:bottom w:val="single" w:color="auto" w:sz="8" w:space="0"/>
                    <w:right w:val="single" w:color="auto" w:sz="8" w:space="0"/>
                  </w:tcBorders>
                  <w:noWrap w:val="0"/>
                  <w:vAlign w:val="center"/>
                </w:tcPr>
                <w:p w14:paraId="7C271006">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8</w:t>
                  </w:r>
                </w:p>
              </w:tc>
              <w:tc>
                <w:tcPr>
                  <w:tcW w:w="1958" w:type="pct"/>
                  <w:tcBorders>
                    <w:top w:val="single" w:color="auto" w:sz="8" w:space="0"/>
                    <w:left w:val="single" w:color="auto" w:sz="8" w:space="0"/>
                    <w:bottom w:val="single" w:color="auto" w:sz="8" w:space="0"/>
                    <w:right w:val="single" w:color="auto" w:sz="8" w:space="0"/>
                  </w:tcBorders>
                  <w:noWrap w:val="0"/>
                  <w:vAlign w:val="center"/>
                </w:tcPr>
                <w:p w14:paraId="6F3F367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通风设备</w:t>
                  </w:r>
                </w:p>
              </w:tc>
              <w:tc>
                <w:tcPr>
                  <w:tcW w:w="1269" w:type="pct"/>
                  <w:tcBorders>
                    <w:top w:val="single" w:color="auto" w:sz="8" w:space="0"/>
                    <w:left w:val="single" w:color="auto" w:sz="8" w:space="0"/>
                    <w:bottom w:val="single" w:color="auto" w:sz="8" w:space="0"/>
                    <w:right w:val="single" w:color="auto" w:sz="8" w:space="0"/>
                  </w:tcBorders>
                  <w:noWrap w:val="0"/>
                  <w:vAlign w:val="center"/>
                </w:tcPr>
                <w:p w14:paraId="6DBDFD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055772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7600B90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套</w:t>
                  </w:r>
                </w:p>
              </w:tc>
            </w:tr>
            <w:tr w14:paraId="587AD415">
              <w:tblPrEx>
                <w:tblCellMar>
                  <w:top w:w="0" w:type="dxa"/>
                  <w:left w:w="108" w:type="dxa"/>
                  <w:bottom w:w="0" w:type="dxa"/>
                  <w:right w:w="108" w:type="dxa"/>
                </w:tblCellMar>
              </w:tblPrEx>
              <w:trPr>
                <w:trHeight w:val="0" w:hRule="atLeast"/>
                <w:jc w:val="center"/>
              </w:trPr>
              <w:tc>
                <w:tcPr>
                  <w:tcW w:w="590" w:type="pct"/>
                  <w:tcBorders>
                    <w:top w:val="single" w:color="auto" w:sz="8" w:space="0"/>
                    <w:left w:val="single" w:color="auto" w:sz="8" w:space="0"/>
                    <w:bottom w:val="single" w:color="auto" w:sz="8" w:space="0"/>
                    <w:right w:val="single" w:color="auto" w:sz="8" w:space="0"/>
                  </w:tcBorders>
                  <w:noWrap w:val="0"/>
                  <w:vAlign w:val="center"/>
                </w:tcPr>
                <w:p w14:paraId="47DB2AC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9</w:t>
                  </w:r>
                </w:p>
              </w:tc>
              <w:tc>
                <w:tcPr>
                  <w:tcW w:w="1958" w:type="pct"/>
                  <w:tcBorders>
                    <w:top w:val="single" w:color="auto" w:sz="8" w:space="0"/>
                    <w:left w:val="single" w:color="auto" w:sz="8" w:space="0"/>
                    <w:bottom w:val="single" w:color="auto" w:sz="8" w:space="0"/>
                    <w:right w:val="single" w:color="auto" w:sz="8" w:space="0"/>
                  </w:tcBorders>
                  <w:noWrap w:val="0"/>
                  <w:vAlign w:val="center"/>
                </w:tcPr>
                <w:p w14:paraId="7C9D9E83">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数显糖度计</w:t>
                  </w:r>
                </w:p>
              </w:tc>
              <w:tc>
                <w:tcPr>
                  <w:tcW w:w="1269" w:type="pct"/>
                  <w:tcBorders>
                    <w:top w:val="single" w:color="auto" w:sz="8" w:space="0"/>
                    <w:left w:val="single" w:color="auto" w:sz="8" w:space="0"/>
                    <w:bottom w:val="single" w:color="auto" w:sz="8" w:space="0"/>
                    <w:right w:val="single" w:color="auto" w:sz="8" w:space="0"/>
                  </w:tcBorders>
                  <w:noWrap w:val="0"/>
                  <w:vAlign w:val="center"/>
                </w:tcPr>
                <w:p w14:paraId="7EDA10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29FDCA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4E075A0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41E0D4C1">
              <w:tblPrEx>
                <w:tblCellMar>
                  <w:top w:w="0" w:type="dxa"/>
                  <w:left w:w="108" w:type="dxa"/>
                  <w:bottom w:w="0" w:type="dxa"/>
                  <w:right w:w="108" w:type="dxa"/>
                </w:tblCellMar>
              </w:tblPrEx>
              <w:trPr>
                <w:trHeight w:val="0" w:hRule="atLeast"/>
                <w:jc w:val="center"/>
              </w:trPr>
              <w:tc>
                <w:tcPr>
                  <w:tcW w:w="590" w:type="pct"/>
                  <w:tcBorders>
                    <w:top w:val="single" w:color="auto" w:sz="8" w:space="0"/>
                    <w:left w:val="single" w:color="auto" w:sz="8" w:space="0"/>
                    <w:bottom w:val="single" w:color="auto" w:sz="8" w:space="0"/>
                    <w:right w:val="single" w:color="auto" w:sz="8" w:space="0"/>
                  </w:tcBorders>
                  <w:noWrap w:val="0"/>
                  <w:vAlign w:val="center"/>
                </w:tcPr>
                <w:p w14:paraId="28A9CA3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10</w:t>
                  </w:r>
                </w:p>
              </w:tc>
              <w:tc>
                <w:tcPr>
                  <w:tcW w:w="1958" w:type="pct"/>
                  <w:tcBorders>
                    <w:top w:val="single" w:color="auto" w:sz="8" w:space="0"/>
                    <w:left w:val="single" w:color="auto" w:sz="8" w:space="0"/>
                    <w:bottom w:val="single" w:color="auto" w:sz="8" w:space="0"/>
                    <w:right w:val="single" w:color="auto" w:sz="8" w:space="0"/>
                  </w:tcBorders>
                  <w:noWrap w:val="0"/>
                  <w:vAlign w:val="center"/>
                </w:tcPr>
                <w:p w14:paraId="10DBD70C">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电子色度检测仪</w:t>
                  </w:r>
                </w:p>
              </w:tc>
              <w:tc>
                <w:tcPr>
                  <w:tcW w:w="1269" w:type="pct"/>
                  <w:tcBorders>
                    <w:top w:val="single" w:color="auto" w:sz="8" w:space="0"/>
                    <w:left w:val="single" w:color="auto" w:sz="8" w:space="0"/>
                    <w:bottom w:val="single" w:color="auto" w:sz="8" w:space="0"/>
                    <w:right w:val="single" w:color="auto" w:sz="8" w:space="0"/>
                  </w:tcBorders>
                  <w:noWrap w:val="0"/>
                  <w:vAlign w:val="center"/>
                </w:tcPr>
                <w:p w14:paraId="148E575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HD-SD</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1C9D7F6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05D8626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套</w:t>
                  </w:r>
                </w:p>
              </w:tc>
            </w:tr>
            <w:tr w14:paraId="330CDCA8">
              <w:tblPrEx>
                <w:tblCellMar>
                  <w:top w:w="0" w:type="dxa"/>
                  <w:left w:w="108" w:type="dxa"/>
                  <w:bottom w:w="0" w:type="dxa"/>
                  <w:right w:w="108" w:type="dxa"/>
                </w:tblCellMar>
              </w:tblPrEx>
              <w:trPr>
                <w:trHeight w:val="0" w:hRule="atLeast"/>
                <w:jc w:val="center"/>
              </w:trPr>
              <w:tc>
                <w:tcPr>
                  <w:tcW w:w="590" w:type="pct"/>
                  <w:tcBorders>
                    <w:top w:val="single" w:color="auto" w:sz="8" w:space="0"/>
                    <w:left w:val="single" w:color="auto" w:sz="8" w:space="0"/>
                    <w:bottom w:val="single" w:color="auto" w:sz="8" w:space="0"/>
                    <w:right w:val="single" w:color="auto" w:sz="8" w:space="0"/>
                  </w:tcBorders>
                  <w:noWrap w:val="0"/>
                  <w:vAlign w:val="center"/>
                </w:tcPr>
                <w:p w14:paraId="6453B5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11</w:t>
                  </w:r>
                </w:p>
              </w:tc>
              <w:tc>
                <w:tcPr>
                  <w:tcW w:w="1958" w:type="pct"/>
                  <w:tcBorders>
                    <w:top w:val="single" w:color="auto" w:sz="8" w:space="0"/>
                    <w:left w:val="single" w:color="auto" w:sz="8" w:space="0"/>
                    <w:bottom w:val="single" w:color="auto" w:sz="8" w:space="0"/>
                    <w:right w:val="single" w:color="auto" w:sz="8" w:space="0"/>
                  </w:tcBorders>
                  <w:noWrap w:val="0"/>
                  <w:vAlign w:val="center"/>
                </w:tcPr>
                <w:p w14:paraId="7265E4E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PH酸碱度在线检测仪</w:t>
                  </w:r>
                </w:p>
              </w:tc>
              <w:tc>
                <w:tcPr>
                  <w:tcW w:w="1269" w:type="pct"/>
                  <w:tcBorders>
                    <w:top w:val="single" w:color="auto" w:sz="8" w:space="0"/>
                    <w:left w:val="single" w:color="auto" w:sz="8" w:space="0"/>
                    <w:bottom w:val="single" w:color="auto" w:sz="8" w:space="0"/>
                    <w:right w:val="single" w:color="auto" w:sz="8" w:space="0"/>
                  </w:tcBorders>
                  <w:noWrap w:val="0"/>
                  <w:vAlign w:val="center"/>
                </w:tcPr>
                <w:p w14:paraId="0D1716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312E330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187359CA">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619E9D06">
              <w:tblPrEx>
                <w:tblCellMar>
                  <w:top w:w="0" w:type="dxa"/>
                  <w:left w:w="108" w:type="dxa"/>
                  <w:bottom w:w="0" w:type="dxa"/>
                  <w:right w:w="108" w:type="dxa"/>
                </w:tblCellMar>
              </w:tblPrEx>
              <w:trPr>
                <w:trHeight w:val="0" w:hRule="atLeast"/>
                <w:jc w:val="center"/>
              </w:trPr>
              <w:tc>
                <w:tcPr>
                  <w:tcW w:w="590" w:type="pct"/>
                  <w:tcBorders>
                    <w:top w:val="single" w:color="auto" w:sz="8" w:space="0"/>
                    <w:left w:val="single" w:color="auto" w:sz="8" w:space="0"/>
                    <w:bottom w:val="single" w:color="auto" w:sz="8" w:space="0"/>
                    <w:right w:val="single" w:color="auto" w:sz="8" w:space="0"/>
                  </w:tcBorders>
                  <w:noWrap w:val="0"/>
                  <w:vAlign w:val="center"/>
                </w:tcPr>
                <w:p w14:paraId="34EBE3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12</w:t>
                  </w:r>
                </w:p>
              </w:tc>
              <w:tc>
                <w:tcPr>
                  <w:tcW w:w="1958" w:type="pct"/>
                  <w:tcBorders>
                    <w:top w:val="single" w:color="auto" w:sz="8" w:space="0"/>
                    <w:left w:val="single" w:color="auto" w:sz="8" w:space="0"/>
                    <w:bottom w:val="single" w:color="auto" w:sz="8" w:space="0"/>
                    <w:right w:val="single" w:color="auto" w:sz="8" w:space="0"/>
                  </w:tcBorders>
                  <w:noWrap w:val="0"/>
                  <w:vAlign w:val="center"/>
                </w:tcPr>
                <w:p w14:paraId="797A1FA8">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酒精浓度计</w:t>
                  </w:r>
                </w:p>
              </w:tc>
              <w:tc>
                <w:tcPr>
                  <w:tcW w:w="1269" w:type="pct"/>
                  <w:tcBorders>
                    <w:top w:val="single" w:color="auto" w:sz="8" w:space="0"/>
                    <w:left w:val="single" w:color="auto" w:sz="8" w:space="0"/>
                    <w:bottom w:val="single" w:color="auto" w:sz="8" w:space="0"/>
                    <w:right w:val="single" w:color="auto" w:sz="8" w:space="0"/>
                  </w:tcBorders>
                  <w:noWrap w:val="0"/>
                  <w:vAlign w:val="center"/>
                </w:tcPr>
                <w:p w14:paraId="1FCD7F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77CE25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single" w:color="auto" w:sz="8" w:space="0"/>
                    <w:left w:val="single" w:color="auto" w:sz="8" w:space="0"/>
                    <w:bottom w:val="single" w:color="auto" w:sz="8" w:space="0"/>
                    <w:right w:val="single" w:color="auto" w:sz="8" w:space="0"/>
                  </w:tcBorders>
                  <w:noWrap w:val="0"/>
                  <w:vAlign w:val="center"/>
                </w:tcPr>
                <w:p w14:paraId="2C5AAC9B">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r w14:paraId="331A8D26">
              <w:tblPrEx>
                <w:tblCellMar>
                  <w:top w:w="0" w:type="dxa"/>
                  <w:left w:w="108" w:type="dxa"/>
                  <w:bottom w:w="0" w:type="dxa"/>
                  <w:right w:w="108" w:type="dxa"/>
                </w:tblCellMar>
              </w:tblPrEx>
              <w:trPr>
                <w:trHeight w:val="0" w:hRule="atLeast"/>
                <w:jc w:val="center"/>
              </w:trPr>
              <w:tc>
                <w:tcPr>
                  <w:tcW w:w="590" w:type="pct"/>
                  <w:tcBorders>
                    <w:top w:val="single" w:color="auto" w:sz="8" w:space="0"/>
                    <w:left w:val="single" w:color="auto" w:sz="8" w:space="0"/>
                    <w:bottom w:val="single" w:color="auto" w:sz="4" w:space="0"/>
                    <w:right w:val="single" w:color="auto" w:sz="8" w:space="0"/>
                  </w:tcBorders>
                  <w:noWrap w:val="0"/>
                  <w:vAlign w:val="center"/>
                </w:tcPr>
                <w:p w14:paraId="3E2783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13</w:t>
                  </w:r>
                </w:p>
              </w:tc>
              <w:tc>
                <w:tcPr>
                  <w:tcW w:w="1958" w:type="pct"/>
                  <w:tcBorders>
                    <w:top w:val="single" w:color="auto" w:sz="8" w:space="0"/>
                    <w:left w:val="single" w:color="auto" w:sz="8" w:space="0"/>
                    <w:bottom w:val="single" w:color="auto" w:sz="4" w:space="0"/>
                    <w:right w:val="single" w:color="auto" w:sz="8" w:space="0"/>
                  </w:tcBorders>
                  <w:noWrap w:val="0"/>
                  <w:vAlign w:val="center"/>
                </w:tcPr>
                <w:p w14:paraId="373608D5">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浊度检测仪</w:t>
                  </w:r>
                </w:p>
              </w:tc>
              <w:tc>
                <w:tcPr>
                  <w:tcW w:w="1269" w:type="pct"/>
                  <w:tcBorders>
                    <w:top w:val="single" w:color="auto" w:sz="8" w:space="0"/>
                    <w:left w:val="single" w:color="auto" w:sz="8" w:space="0"/>
                    <w:bottom w:val="single" w:color="auto" w:sz="4" w:space="0"/>
                    <w:right w:val="single" w:color="auto" w:sz="8" w:space="0"/>
                  </w:tcBorders>
                  <w:noWrap w:val="0"/>
                  <w:vAlign w:val="center"/>
                </w:tcPr>
                <w:p w14:paraId="3CB982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w:t>
                  </w:r>
                </w:p>
              </w:tc>
              <w:tc>
                <w:tcPr>
                  <w:tcW w:w="590" w:type="pct"/>
                  <w:tcBorders>
                    <w:top w:val="single" w:color="auto" w:sz="8" w:space="0"/>
                    <w:left w:val="single" w:color="auto" w:sz="8" w:space="0"/>
                    <w:bottom w:val="single" w:color="auto" w:sz="4" w:space="0"/>
                    <w:right w:val="single" w:color="auto" w:sz="8" w:space="0"/>
                  </w:tcBorders>
                  <w:noWrap w:val="0"/>
                  <w:vAlign w:val="center"/>
                </w:tcPr>
                <w:p w14:paraId="4D616D2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1</w:t>
                  </w:r>
                </w:p>
              </w:tc>
              <w:tc>
                <w:tcPr>
                  <w:tcW w:w="590" w:type="pct"/>
                  <w:tcBorders>
                    <w:top w:val="single" w:color="auto" w:sz="8" w:space="0"/>
                    <w:left w:val="single" w:color="auto" w:sz="8" w:space="0"/>
                    <w:bottom w:val="single" w:color="auto" w:sz="4" w:space="0"/>
                    <w:right w:val="single" w:color="auto" w:sz="8" w:space="0"/>
                  </w:tcBorders>
                  <w:noWrap w:val="0"/>
                  <w:vAlign w:val="center"/>
                </w:tcPr>
                <w:p w14:paraId="258B6097">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台</w:t>
                  </w:r>
                </w:p>
              </w:tc>
            </w:tr>
          </w:tbl>
          <w:p w14:paraId="26D02CF3">
            <w:pPr>
              <w:spacing w:line="360" w:lineRule="auto"/>
              <w:ind w:firstLine="482" w:firstLineChars="200"/>
              <w:rPr>
                <w:b/>
                <w:bCs/>
                <w:color w:val="auto"/>
                <w:sz w:val="24"/>
                <w:highlight w:val="none"/>
              </w:rPr>
            </w:pPr>
            <w:r>
              <w:rPr>
                <w:rFonts w:hint="eastAsia"/>
                <w:b/>
                <w:bCs/>
                <w:color w:val="auto"/>
                <w:sz w:val="24"/>
                <w:highlight w:val="none"/>
              </w:rPr>
              <w:t>五</w:t>
            </w:r>
            <w:r>
              <w:rPr>
                <w:rFonts w:hint="eastAsia"/>
                <w:b/>
                <w:bCs/>
                <w:color w:val="auto"/>
                <w:sz w:val="24"/>
                <w:highlight w:val="none"/>
                <w:lang w:bidi="ar"/>
              </w:rPr>
              <w:t>、</w:t>
            </w:r>
            <w:r>
              <w:rPr>
                <w:b/>
                <w:bCs/>
                <w:color w:val="auto"/>
                <w:sz w:val="24"/>
                <w:highlight w:val="none"/>
                <w:lang w:bidi="ar"/>
              </w:rPr>
              <w:t>劳动定员与工作制度</w:t>
            </w:r>
          </w:p>
          <w:p w14:paraId="5A6DD47B">
            <w:pPr>
              <w:snapToGrid w:val="0"/>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项目运营期有</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名员工，厂内设食宿。每天</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班，每班</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rPr>
              <w:t>小时工作制，</w:t>
            </w:r>
            <w:r>
              <w:rPr>
                <w:rFonts w:hint="eastAsia" w:ascii="Times New Roman" w:hAnsi="Times New Roman" w:cs="Times New Roman"/>
                <w:color w:val="auto"/>
                <w:sz w:val="24"/>
                <w:highlight w:val="none"/>
                <w:lang w:eastAsia="zh-CN"/>
              </w:rPr>
              <w:t>因原料山茱萸为鲜果，具有季节限制，项目山茱萸干果加工年生产</w:t>
            </w:r>
            <w:r>
              <w:rPr>
                <w:rFonts w:hint="eastAsia" w:ascii="Times New Roman" w:hAnsi="Times New Roman" w:cs="Times New Roman"/>
                <w:color w:val="auto"/>
                <w:sz w:val="24"/>
                <w:highlight w:val="none"/>
                <w:lang w:val="en-US" w:eastAsia="zh-CN"/>
              </w:rPr>
              <w:t>60</w:t>
            </w:r>
            <w:r>
              <w:rPr>
                <w:rFonts w:hint="eastAsia" w:cs="Times New Roman"/>
                <w:color w:val="auto"/>
                <w:sz w:val="24"/>
                <w:highlight w:val="none"/>
                <w:lang w:val="en-US" w:eastAsia="zh-CN"/>
              </w:rPr>
              <w:t>天</w:t>
            </w:r>
            <w:r>
              <w:rPr>
                <w:rFonts w:hint="eastAsia" w:ascii="Times New Roman" w:hAnsi="Times New Roman" w:cs="Times New Roman"/>
                <w:color w:val="auto"/>
                <w:sz w:val="24"/>
                <w:highlight w:val="none"/>
                <w:lang w:val="en-US" w:eastAsia="zh-CN"/>
              </w:rPr>
              <w:t>，深加工产品（饮品）</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eastAsia="zh-CN"/>
              </w:rPr>
              <w:t>生产</w:t>
            </w:r>
            <w:r>
              <w:rPr>
                <w:rFonts w:hint="eastAsia" w:ascii="Times New Roman" w:hAnsi="Times New Roman" w:cs="Times New Roman"/>
                <w:color w:val="auto"/>
                <w:sz w:val="24"/>
                <w:highlight w:val="none"/>
                <w:lang w:val="en-US" w:eastAsia="zh-CN"/>
              </w:rPr>
              <w:t>150</w:t>
            </w:r>
            <w:r>
              <w:rPr>
                <w:rFonts w:hint="eastAsia" w:cs="Times New Roman"/>
                <w:color w:val="auto"/>
                <w:sz w:val="24"/>
                <w:highlight w:val="none"/>
                <w:lang w:eastAsia="zh-CN"/>
              </w:rPr>
              <w:t>天</w:t>
            </w:r>
            <w:r>
              <w:rPr>
                <w:rFonts w:hint="default" w:ascii="Times New Roman" w:hAnsi="Times New Roman" w:cs="Times New Roman"/>
                <w:color w:val="auto"/>
                <w:sz w:val="24"/>
                <w:highlight w:val="none"/>
              </w:rPr>
              <w:t>。</w:t>
            </w:r>
          </w:p>
          <w:p w14:paraId="6A2BD612">
            <w:pPr>
              <w:adjustRightInd w:val="0"/>
              <w:snapToGrid w:val="0"/>
              <w:spacing w:line="360" w:lineRule="auto"/>
              <w:ind w:firstLine="482" w:firstLineChars="200"/>
              <w:jc w:val="left"/>
              <w:rPr>
                <w:b/>
                <w:color w:val="auto"/>
                <w:sz w:val="24"/>
                <w:highlight w:val="none"/>
              </w:rPr>
            </w:pPr>
            <w:r>
              <w:rPr>
                <w:rFonts w:hint="eastAsia"/>
                <w:b/>
                <w:bCs/>
                <w:color w:val="auto"/>
                <w:sz w:val="24"/>
                <w:highlight w:val="none"/>
                <w:lang w:bidi="ar"/>
              </w:rPr>
              <w:t>六</w:t>
            </w:r>
            <w:r>
              <w:rPr>
                <w:b/>
                <w:bCs/>
                <w:color w:val="auto"/>
                <w:sz w:val="24"/>
                <w:highlight w:val="none"/>
                <w:lang w:bidi="ar"/>
              </w:rPr>
              <w:t>、</w:t>
            </w:r>
            <w:r>
              <w:rPr>
                <w:rFonts w:hint="eastAsia"/>
                <w:b/>
                <w:color w:val="auto"/>
                <w:sz w:val="24"/>
                <w:highlight w:val="none"/>
              </w:rPr>
              <w:t>项目平面布置情况</w:t>
            </w:r>
          </w:p>
          <w:p w14:paraId="4BA7285C">
            <w:pPr>
              <w:adjustRightInd w:val="0"/>
              <w:snapToGrid w:val="0"/>
              <w:spacing w:line="360" w:lineRule="auto"/>
              <w:ind w:firstLine="480" w:firstLineChars="200"/>
              <w:jc w:val="left"/>
              <w:rPr>
                <w:rFonts w:hint="default"/>
                <w:bCs/>
                <w:color w:val="auto"/>
                <w:sz w:val="24"/>
                <w:highlight w:val="none"/>
                <w:lang w:val="en-US" w:eastAsia="zh-CN"/>
              </w:rPr>
            </w:pPr>
            <w:r>
              <w:rPr>
                <w:rFonts w:hint="eastAsia"/>
                <w:bCs/>
                <w:color w:val="auto"/>
                <w:sz w:val="24"/>
                <w:highlight w:val="none"/>
              </w:rPr>
              <w:t>本项目位于洋县经济技术开发区内（地理位置图见附图</w:t>
            </w:r>
            <w:r>
              <w:rPr>
                <w:rFonts w:hint="eastAsia"/>
                <w:bCs/>
                <w:color w:val="auto"/>
                <w:sz w:val="24"/>
                <w:highlight w:val="none"/>
                <w:lang w:val="en-US" w:eastAsia="zh-CN"/>
              </w:rPr>
              <w:t>2</w:t>
            </w:r>
            <w:r>
              <w:rPr>
                <w:rFonts w:hint="eastAsia"/>
                <w:bCs/>
                <w:color w:val="auto"/>
                <w:sz w:val="24"/>
                <w:highlight w:val="none"/>
              </w:rPr>
              <w:t>），厂区可划分为</w:t>
            </w:r>
            <w:r>
              <w:rPr>
                <w:rFonts w:hint="eastAsia"/>
                <w:bCs/>
                <w:color w:val="auto"/>
                <w:sz w:val="24"/>
                <w:highlight w:val="none"/>
                <w:lang w:eastAsia="zh-CN"/>
              </w:rPr>
              <w:t>生产区和生活区</w:t>
            </w:r>
            <w:r>
              <w:rPr>
                <w:rFonts w:hint="eastAsia"/>
                <w:bCs/>
                <w:color w:val="auto"/>
                <w:sz w:val="24"/>
                <w:highlight w:val="none"/>
                <w:lang w:val="en-US" w:eastAsia="zh-CN"/>
              </w:rPr>
              <w:t>2个板块，其中生活区位于厂区南侧，设置综合楼一栋（4F），用于厂区员工生活办公；生产区位于厂区北侧及东侧，最北侧拟设置5F生产厂房2栋（4#、5#），拟后期用于建设药食同源生产；再向南设置3F生产厂房2栋（1#、2#），拟用于本次山茱萸有机产品加工；厂区东侧设置2栋5F生产厂房（6#、7#），拟后期用于建设药食同源生产，本次仅规划建设厂房；厂区中部设置晾晒场及停车区。</w:t>
            </w:r>
          </w:p>
          <w:p w14:paraId="0B40AA02">
            <w:pPr>
              <w:adjustRightInd w:val="0"/>
              <w:snapToGrid w:val="0"/>
              <w:spacing w:line="360" w:lineRule="auto"/>
              <w:ind w:firstLine="480" w:firstLineChars="200"/>
              <w:jc w:val="left"/>
              <w:rPr>
                <w:rFonts w:hint="eastAsia"/>
                <w:bCs/>
                <w:color w:val="auto"/>
                <w:sz w:val="24"/>
                <w:highlight w:val="none"/>
                <w:lang w:val="en-US" w:eastAsia="zh-CN"/>
              </w:rPr>
            </w:pPr>
            <w:r>
              <w:rPr>
                <w:rFonts w:hint="eastAsia"/>
                <w:bCs/>
                <w:color w:val="auto"/>
                <w:sz w:val="24"/>
                <w:highlight w:val="none"/>
                <w:lang w:val="en-US" w:eastAsia="zh-CN"/>
              </w:rPr>
              <w:t>各种车间和设施的分区规划，各单元排列有序，便于管理。从有利于生产运输、有利于安全生产的原则出发，将各种车间和建筑设施按其环境卫生条件的需要次序进行平面布置。生产区与生活区之间保持了一定间距，且各建筑物周边均栽种密集的绿植。</w:t>
            </w:r>
          </w:p>
          <w:p w14:paraId="2E94A7AE">
            <w:pPr>
              <w:adjustRightInd w:val="0"/>
              <w:snapToGrid w:val="0"/>
              <w:spacing w:line="360" w:lineRule="auto"/>
              <w:ind w:firstLine="480" w:firstLineChars="200"/>
              <w:jc w:val="left"/>
              <w:rPr>
                <w:rFonts w:hint="eastAsia"/>
                <w:bCs/>
                <w:color w:val="auto"/>
                <w:sz w:val="24"/>
                <w:highlight w:val="none"/>
              </w:rPr>
            </w:pPr>
            <w:r>
              <w:rPr>
                <w:rFonts w:hint="eastAsia"/>
                <w:bCs/>
                <w:color w:val="auto"/>
                <w:sz w:val="24"/>
                <w:highlight w:val="none"/>
              </w:rPr>
              <w:t>厂区总平面布置情况见附图</w:t>
            </w:r>
            <w:r>
              <w:rPr>
                <w:rFonts w:hint="eastAsia"/>
                <w:bCs/>
                <w:color w:val="auto"/>
                <w:sz w:val="24"/>
                <w:highlight w:val="none"/>
                <w:lang w:val="en-US" w:eastAsia="zh-CN"/>
              </w:rPr>
              <w:t>3</w:t>
            </w:r>
            <w:r>
              <w:rPr>
                <w:rFonts w:hint="eastAsia"/>
                <w:bCs/>
                <w:color w:val="auto"/>
                <w:sz w:val="24"/>
                <w:highlight w:val="none"/>
              </w:rPr>
              <w:t>。</w:t>
            </w:r>
          </w:p>
          <w:p w14:paraId="07FBA873">
            <w:pPr>
              <w:adjustRightInd w:val="0"/>
              <w:snapToGrid w:val="0"/>
              <w:spacing w:line="360" w:lineRule="auto"/>
              <w:ind w:firstLine="482" w:firstLineChars="200"/>
              <w:rPr>
                <w:rFonts w:hint="eastAsia" w:eastAsia="宋体"/>
                <w:b/>
                <w:color w:val="auto"/>
                <w:sz w:val="24"/>
                <w:highlight w:val="none"/>
                <w:lang w:eastAsia="zh-CN"/>
              </w:rPr>
            </w:pPr>
            <w:r>
              <w:rPr>
                <w:rFonts w:hint="eastAsia"/>
                <w:b/>
                <w:bCs/>
                <w:color w:val="auto"/>
                <w:sz w:val="24"/>
                <w:highlight w:val="none"/>
                <w:lang w:bidi="ar"/>
              </w:rPr>
              <w:t>七</w:t>
            </w:r>
            <w:r>
              <w:rPr>
                <w:rFonts w:hint="eastAsia"/>
                <w:b/>
                <w:color w:val="auto"/>
                <w:sz w:val="24"/>
                <w:highlight w:val="none"/>
              </w:rPr>
              <w:t>、</w:t>
            </w:r>
            <w:r>
              <w:rPr>
                <w:b/>
                <w:color w:val="auto"/>
                <w:sz w:val="24"/>
                <w:highlight w:val="none"/>
              </w:rPr>
              <w:t>项目</w:t>
            </w:r>
            <w:r>
              <w:rPr>
                <w:rFonts w:hint="eastAsia"/>
                <w:b/>
                <w:color w:val="auto"/>
                <w:sz w:val="24"/>
                <w:highlight w:val="none"/>
                <w:lang w:eastAsia="zh-CN"/>
              </w:rPr>
              <w:t>水平衡</w:t>
            </w:r>
          </w:p>
          <w:p w14:paraId="27D8AB41">
            <w:pPr>
              <w:pStyle w:val="3"/>
              <w:spacing w:line="360" w:lineRule="auto"/>
              <w:ind w:firstLine="480" w:firstLineChars="200"/>
              <w:rPr>
                <w:rFonts w:eastAsia="宋体"/>
                <w:bCs/>
                <w:color w:val="auto"/>
                <w:sz w:val="24"/>
                <w:highlight w:val="none"/>
              </w:rPr>
            </w:pPr>
            <w:r>
              <w:rPr>
                <w:rFonts w:hint="eastAsia" w:eastAsia="宋体"/>
                <w:bCs/>
                <w:color w:val="auto"/>
                <w:sz w:val="24"/>
                <w:highlight w:val="none"/>
              </w:rPr>
              <w:t>项目用水为生产用水及职工生活用水。其中生产用水包括纯水制备用水及反冲洗水、鲜果清洗用水、</w:t>
            </w:r>
            <w:r>
              <w:rPr>
                <w:rFonts w:hint="eastAsia" w:eastAsia="宋体"/>
                <w:bCs/>
                <w:color w:val="auto"/>
                <w:sz w:val="24"/>
                <w:highlight w:val="none"/>
                <w:lang w:eastAsia="zh-CN"/>
              </w:rPr>
              <w:t>工艺用水、</w:t>
            </w:r>
            <w:r>
              <w:rPr>
                <w:rFonts w:hint="eastAsia" w:eastAsia="宋体"/>
                <w:bCs/>
                <w:color w:val="auto"/>
                <w:sz w:val="24"/>
                <w:highlight w:val="none"/>
              </w:rPr>
              <w:t>设备清洗水、化验室用水，由</w:t>
            </w:r>
            <w:r>
              <w:rPr>
                <w:rFonts w:hint="eastAsia" w:eastAsia="宋体"/>
                <w:bCs/>
                <w:color w:val="auto"/>
                <w:sz w:val="24"/>
                <w:highlight w:val="none"/>
                <w:lang w:eastAsia="zh-CN"/>
              </w:rPr>
              <w:t>经开区</w:t>
            </w:r>
            <w:r>
              <w:rPr>
                <w:rFonts w:hint="eastAsia" w:eastAsia="宋体"/>
                <w:bCs/>
                <w:color w:val="auto"/>
                <w:sz w:val="24"/>
                <w:highlight w:val="none"/>
              </w:rPr>
              <w:t>供水管网提供。</w:t>
            </w:r>
          </w:p>
          <w:p w14:paraId="66EA82A2">
            <w:pPr>
              <w:pStyle w:val="3"/>
              <w:spacing w:line="360" w:lineRule="auto"/>
              <w:ind w:firstLine="480" w:firstLineChars="200"/>
              <w:rPr>
                <w:rFonts w:hint="eastAsia" w:eastAsia="宋体"/>
                <w:bCs/>
                <w:color w:val="auto"/>
                <w:sz w:val="24"/>
                <w:highlight w:val="none"/>
              </w:rPr>
            </w:pPr>
            <w:r>
              <w:rPr>
                <w:rFonts w:hint="eastAsia" w:eastAsia="宋体"/>
                <w:bCs/>
                <w:color w:val="auto"/>
                <w:sz w:val="24"/>
                <w:highlight w:val="none"/>
              </w:rPr>
              <w:t>①工艺用水</w:t>
            </w:r>
          </w:p>
          <w:p w14:paraId="2AA49D37">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项目工艺用水主要为</w:t>
            </w:r>
            <w:r>
              <w:rPr>
                <w:rFonts w:hint="eastAsia" w:ascii="Times New Roman" w:hAnsi="Times New Roman" w:eastAsia="宋体" w:cs="Times New Roman"/>
                <w:bCs/>
                <w:color w:val="auto"/>
                <w:sz w:val="24"/>
                <w:highlight w:val="none"/>
                <w:lang w:val="en-US" w:eastAsia="zh-CN"/>
              </w:rPr>
              <w:t>山茱萸饮品、茱萸酒、山茱萸醋等</w:t>
            </w:r>
            <w:r>
              <w:rPr>
                <w:rFonts w:hint="eastAsia" w:ascii="Times New Roman" w:hAnsi="Times New Roman" w:eastAsia="宋体" w:cs="Times New Roman"/>
                <w:bCs/>
                <w:color w:val="auto"/>
                <w:sz w:val="24"/>
                <w:highlight w:val="none"/>
              </w:rPr>
              <w:t>调产品配工序用纯水。调配用水量为</w:t>
            </w:r>
            <w:r>
              <w:rPr>
                <w:rFonts w:hint="eastAsia" w:ascii="Times New Roman" w:hAnsi="Times New Roman" w:eastAsia="宋体" w:cs="Times New Roman"/>
                <w:bCs/>
                <w:color w:val="auto"/>
                <w:sz w:val="24"/>
                <w:highlight w:val="none"/>
                <w:lang w:val="en-US" w:eastAsia="zh-CN"/>
              </w:rPr>
              <w:t>10</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/a，全部进入产品，无外排。</w:t>
            </w:r>
          </w:p>
          <w:p w14:paraId="2117F983">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eastAsia="宋体"/>
                <w:bCs/>
                <w:color w:val="auto"/>
                <w:sz w:val="24"/>
                <w:highlight w:val="none"/>
              </w:rPr>
              <w:t>②</w:t>
            </w:r>
            <w:r>
              <w:rPr>
                <w:rFonts w:hint="eastAsia" w:ascii="Times New Roman" w:hAnsi="Times New Roman" w:eastAsia="宋体" w:cs="Times New Roman"/>
                <w:bCs/>
                <w:color w:val="auto"/>
                <w:sz w:val="24"/>
                <w:highlight w:val="none"/>
              </w:rPr>
              <w:t>设备清洗用水及排水</w:t>
            </w:r>
          </w:p>
          <w:p w14:paraId="5AFEEBEE">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w:t>
            </w:r>
            <w:r>
              <w:rPr>
                <w:rFonts w:hint="eastAsia" w:ascii="Times New Roman" w:hAnsi="Times New Roman" w:eastAsia="宋体" w:cs="Times New Roman"/>
                <w:bCs/>
                <w:color w:val="auto"/>
                <w:sz w:val="24"/>
                <w:highlight w:val="none"/>
                <w:lang w:eastAsia="zh-CN"/>
              </w:rPr>
              <w:t>深加工</w:t>
            </w:r>
            <w:r>
              <w:rPr>
                <w:rFonts w:hint="eastAsia" w:ascii="Times New Roman" w:hAnsi="Times New Roman" w:eastAsia="宋体" w:cs="Times New Roman"/>
                <w:bCs/>
                <w:color w:val="auto"/>
                <w:sz w:val="24"/>
                <w:highlight w:val="none"/>
              </w:rPr>
              <w:t>生产线</w:t>
            </w:r>
            <w:r>
              <w:rPr>
                <w:rFonts w:hint="eastAsia" w:ascii="Times New Roman" w:hAnsi="Times New Roman" w:eastAsia="宋体" w:cs="Times New Roman"/>
                <w:bCs/>
                <w:color w:val="auto"/>
                <w:sz w:val="24"/>
                <w:highlight w:val="none"/>
                <w:lang w:eastAsia="zh-CN"/>
              </w:rPr>
              <w:t>产品批次更换及每年生产结束时</w:t>
            </w:r>
            <w:r>
              <w:rPr>
                <w:rFonts w:hint="eastAsia" w:ascii="Times New Roman" w:hAnsi="Times New Roman" w:eastAsia="宋体" w:cs="Times New Roman"/>
                <w:bCs/>
                <w:color w:val="auto"/>
                <w:sz w:val="24"/>
                <w:highlight w:val="none"/>
              </w:rPr>
              <w:t>需用纯水对设备</w:t>
            </w:r>
            <w:r>
              <w:rPr>
                <w:rFonts w:hint="eastAsia" w:ascii="Times New Roman" w:hAnsi="Times New Roman" w:eastAsia="宋体" w:cs="Times New Roman"/>
                <w:bCs/>
                <w:color w:val="auto"/>
                <w:sz w:val="24"/>
                <w:highlight w:val="none"/>
                <w:lang w:eastAsia="zh-CN"/>
              </w:rPr>
              <w:t>对应产品种类的进料口</w:t>
            </w:r>
            <w:r>
              <w:rPr>
                <w:rFonts w:hint="eastAsia" w:ascii="Times New Roman" w:hAnsi="Times New Roman" w:eastAsia="宋体" w:cs="Times New Roman"/>
                <w:bCs/>
                <w:color w:val="auto"/>
                <w:sz w:val="24"/>
                <w:highlight w:val="none"/>
              </w:rPr>
              <w:t>进行清洗，清洗用水量约为</w:t>
            </w:r>
            <w:r>
              <w:rPr>
                <w:rFonts w:hint="eastAsia" w:ascii="Times New Roman" w:hAnsi="Times New Roman" w:eastAsia="宋体" w:cs="Times New Roman"/>
                <w:bCs/>
                <w:color w:val="auto"/>
                <w:sz w:val="24"/>
                <w:highlight w:val="none"/>
                <w:lang w:val="en-US" w:eastAsia="zh-CN"/>
              </w:rPr>
              <w:t>10</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/a，产污系数取</w:t>
            </w:r>
            <w:r>
              <w:rPr>
                <w:rFonts w:hint="eastAsia" w:ascii="Times New Roman" w:hAnsi="Times New Roman" w:eastAsia="宋体" w:cs="Times New Roman"/>
                <w:bCs/>
                <w:color w:val="auto"/>
                <w:sz w:val="24"/>
                <w:highlight w:val="none"/>
                <w:lang w:val="en-US" w:eastAsia="zh-CN"/>
              </w:rPr>
              <w:t>0.9</w:t>
            </w:r>
            <w:r>
              <w:rPr>
                <w:rFonts w:hint="eastAsia" w:ascii="Times New Roman" w:hAnsi="Times New Roman" w:eastAsia="宋体" w:cs="Times New Roman"/>
                <w:bCs/>
                <w:color w:val="auto"/>
                <w:sz w:val="24"/>
                <w:highlight w:val="none"/>
              </w:rPr>
              <w:t>，则设备清洗废水为</w:t>
            </w:r>
            <w:r>
              <w:rPr>
                <w:rFonts w:hint="eastAsia" w:ascii="Times New Roman" w:hAnsi="Times New Roman" w:eastAsia="宋体" w:cs="Times New Roman"/>
                <w:bCs/>
                <w:color w:val="auto"/>
                <w:sz w:val="24"/>
                <w:highlight w:val="none"/>
                <w:lang w:val="en-US" w:eastAsia="zh-CN"/>
              </w:rPr>
              <w:t>9</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p>
          <w:p w14:paraId="639BCD1E">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③</w:t>
            </w:r>
            <w:r>
              <w:rPr>
                <w:rFonts w:hint="eastAsia" w:eastAsia="宋体"/>
                <w:bCs/>
                <w:color w:val="auto"/>
                <w:sz w:val="24"/>
                <w:highlight w:val="none"/>
              </w:rPr>
              <w:t>纯水制备及反冲洗用水及排水</w:t>
            </w:r>
          </w:p>
          <w:p w14:paraId="65161D4F">
            <w:pPr>
              <w:pStyle w:val="3"/>
              <w:spacing w:line="360" w:lineRule="auto"/>
              <w:ind w:firstLine="480" w:firstLineChars="200"/>
              <w:rPr>
                <w:rFonts w:hint="eastAsia" w:eastAsia="宋体"/>
                <w:bCs/>
                <w:color w:val="auto"/>
                <w:sz w:val="24"/>
                <w:highlight w:val="none"/>
              </w:rPr>
            </w:pPr>
            <w:r>
              <w:rPr>
                <w:rFonts w:hint="eastAsia" w:eastAsia="宋体"/>
                <w:bCs/>
                <w:color w:val="auto"/>
                <w:sz w:val="24"/>
                <w:highlight w:val="none"/>
              </w:rPr>
              <w:t>项目生产过程中</w:t>
            </w:r>
            <w:r>
              <w:rPr>
                <w:rFonts w:hint="eastAsia" w:eastAsia="宋体"/>
                <w:bCs/>
                <w:color w:val="auto"/>
                <w:sz w:val="24"/>
                <w:highlight w:val="none"/>
                <w:lang w:eastAsia="zh-CN"/>
              </w:rPr>
              <w:t>部分产品</w:t>
            </w:r>
            <w:r>
              <w:rPr>
                <w:rFonts w:hint="eastAsia" w:eastAsia="宋体"/>
                <w:bCs/>
                <w:color w:val="auto"/>
                <w:sz w:val="24"/>
                <w:highlight w:val="none"/>
              </w:rPr>
              <w:t>调配、设备清洗使用纯水。此外，纯水制备设备中的反渗透膜需要定期反冲洗以保持制备能力，每月反冲洗1次，单次用水量为1.5m</w:t>
            </w:r>
            <w:r>
              <w:rPr>
                <w:rFonts w:hint="eastAsia" w:eastAsia="宋体"/>
                <w:bCs/>
                <w:color w:val="auto"/>
                <w:sz w:val="24"/>
                <w:highlight w:val="none"/>
                <w:vertAlign w:val="superscript"/>
              </w:rPr>
              <w:t>3</w:t>
            </w:r>
            <w:r>
              <w:rPr>
                <w:rFonts w:hint="eastAsia" w:eastAsia="宋体"/>
                <w:bCs/>
                <w:color w:val="auto"/>
                <w:sz w:val="24"/>
                <w:highlight w:val="none"/>
              </w:rPr>
              <w:t>，则反冲洗水量为</w:t>
            </w:r>
            <w:r>
              <w:rPr>
                <w:rFonts w:hint="eastAsia" w:eastAsia="宋体"/>
                <w:bCs/>
                <w:color w:val="auto"/>
                <w:sz w:val="24"/>
                <w:highlight w:val="none"/>
                <w:lang w:val="en-US" w:eastAsia="zh-CN"/>
              </w:rPr>
              <w:t>7.5</w:t>
            </w:r>
            <w:r>
              <w:rPr>
                <w:rFonts w:hint="eastAsia" w:eastAsia="宋体"/>
                <w:bCs/>
                <w:color w:val="auto"/>
                <w:sz w:val="24"/>
                <w:highlight w:val="none"/>
              </w:rPr>
              <w:t>m</w:t>
            </w:r>
            <w:r>
              <w:rPr>
                <w:rFonts w:hint="eastAsia" w:eastAsia="宋体"/>
                <w:bCs/>
                <w:color w:val="auto"/>
                <w:sz w:val="24"/>
                <w:highlight w:val="none"/>
                <w:vertAlign w:val="superscript"/>
              </w:rPr>
              <w:t>3</w:t>
            </w:r>
            <w:r>
              <w:rPr>
                <w:rFonts w:hint="eastAsia" w:eastAsia="宋体"/>
                <w:bCs/>
                <w:color w:val="auto"/>
                <w:sz w:val="24"/>
                <w:highlight w:val="none"/>
              </w:rPr>
              <w:t>/a。项目纯水合计用量</w:t>
            </w:r>
            <w:r>
              <w:rPr>
                <w:rFonts w:hint="eastAsia" w:eastAsia="宋体"/>
                <w:bCs/>
                <w:color w:val="auto"/>
                <w:sz w:val="24"/>
                <w:highlight w:val="none"/>
                <w:lang w:val="en-US" w:eastAsia="zh-CN"/>
              </w:rPr>
              <w:t>20</w:t>
            </w:r>
            <w:r>
              <w:rPr>
                <w:rFonts w:hint="eastAsia" w:eastAsia="宋体"/>
                <w:bCs/>
                <w:color w:val="auto"/>
                <w:sz w:val="24"/>
                <w:highlight w:val="none"/>
              </w:rPr>
              <w:t>m</w:t>
            </w:r>
            <w:r>
              <w:rPr>
                <w:rFonts w:hint="eastAsia" w:eastAsia="宋体"/>
                <w:bCs/>
                <w:color w:val="auto"/>
                <w:sz w:val="24"/>
                <w:highlight w:val="none"/>
                <w:vertAlign w:val="superscript"/>
              </w:rPr>
              <w:t>3</w:t>
            </w:r>
            <w:r>
              <w:rPr>
                <w:rFonts w:hint="eastAsia" w:eastAsia="宋体"/>
                <w:bCs/>
                <w:color w:val="auto"/>
                <w:sz w:val="24"/>
                <w:highlight w:val="none"/>
              </w:rPr>
              <w:t>/a，纯水制备效率为70%，新鲜水用量为</w:t>
            </w:r>
            <w:r>
              <w:rPr>
                <w:rFonts w:hint="eastAsia" w:eastAsia="宋体"/>
                <w:bCs/>
                <w:color w:val="auto"/>
                <w:sz w:val="24"/>
                <w:highlight w:val="none"/>
                <w:lang w:val="en-US" w:eastAsia="zh-CN"/>
              </w:rPr>
              <w:t>28.6</w:t>
            </w:r>
            <w:r>
              <w:rPr>
                <w:rFonts w:hint="eastAsia" w:eastAsia="宋体"/>
                <w:bCs/>
                <w:color w:val="auto"/>
                <w:sz w:val="24"/>
                <w:highlight w:val="none"/>
              </w:rPr>
              <w:t>m</w:t>
            </w:r>
            <w:r>
              <w:rPr>
                <w:rFonts w:hint="eastAsia" w:eastAsia="宋体"/>
                <w:bCs/>
                <w:color w:val="auto"/>
                <w:sz w:val="24"/>
                <w:highlight w:val="none"/>
                <w:vertAlign w:val="superscript"/>
              </w:rPr>
              <w:t>3</w:t>
            </w:r>
            <w:r>
              <w:rPr>
                <w:rFonts w:hint="eastAsia" w:eastAsia="宋体"/>
                <w:bCs/>
                <w:color w:val="auto"/>
                <w:sz w:val="24"/>
                <w:highlight w:val="none"/>
              </w:rPr>
              <w:t>/a，浓水</w:t>
            </w:r>
            <w:r>
              <w:rPr>
                <w:rFonts w:hint="eastAsia" w:eastAsia="宋体"/>
                <w:bCs/>
                <w:color w:val="auto"/>
                <w:sz w:val="24"/>
                <w:highlight w:val="none"/>
                <w:lang w:eastAsia="zh-CN"/>
              </w:rPr>
              <w:t>产生</w:t>
            </w:r>
            <w:r>
              <w:rPr>
                <w:rFonts w:hint="eastAsia" w:eastAsia="宋体"/>
                <w:bCs/>
                <w:color w:val="auto"/>
                <w:sz w:val="24"/>
                <w:highlight w:val="none"/>
              </w:rPr>
              <w:t>量为</w:t>
            </w:r>
            <w:r>
              <w:rPr>
                <w:rFonts w:hint="eastAsia" w:eastAsia="宋体"/>
                <w:bCs/>
                <w:color w:val="auto"/>
                <w:sz w:val="24"/>
                <w:highlight w:val="none"/>
                <w:lang w:val="en-US" w:eastAsia="zh-CN"/>
              </w:rPr>
              <w:t>8.6</w:t>
            </w:r>
            <w:r>
              <w:rPr>
                <w:rFonts w:hint="eastAsia" w:eastAsia="宋体"/>
                <w:bCs/>
                <w:color w:val="auto"/>
                <w:sz w:val="24"/>
                <w:highlight w:val="none"/>
              </w:rPr>
              <w:t>m</w:t>
            </w:r>
            <w:r>
              <w:rPr>
                <w:rFonts w:hint="eastAsia" w:eastAsia="宋体"/>
                <w:bCs/>
                <w:color w:val="auto"/>
                <w:sz w:val="24"/>
                <w:highlight w:val="none"/>
                <w:vertAlign w:val="superscript"/>
              </w:rPr>
              <w:t>3</w:t>
            </w:r>
            <w:r>
              <w:rPr>
                <w:rFonts w:hint="eastAsia" w:eastAsia="宋体"/>
                <w:bCs/>
                <w:color w:val="auto"/>
                <w:sz w:val="24"/>
                <w:highlight w:val="none"/>
              </w:rPr>
              <w:t>/a。</w:t>
            </w:r>
          </w:p>
          <w:p w14:paraId="7999E94A">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④检验用水及排水</w:t>
            </w:r>
          </w:p>
          <w:p w14:paraId="575ED525">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项目设置化验室1间，用于对产品进行抽样检验，用水主要为试剂配制及实验器皿清洗用水，用水量约为</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rPr>
              <w:t>L/d，即</w:t>
            </w:r>
            <w:r>
              <w:rPr>
                <w:rFonts w:hint="eastAsia" w:ascii="Times New Roman" w:hAnsi="Times New Roman" w:eastAsia="宋体" w:cs="Times New Roman"/>
                <w:bCs/>
                <w:color w:val="auto"/>
                <w:sz w:val="24"/>
                <w:highlight w:val="none"/>
                <w:lang w:val="en-US" w:eastAsia="zh-CN"/>
              </w:rPr>
              <w:t>0.15</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/a，产污系数取0.8，</w:t>
            </w:r>
            <w:r>
              <w:rPr>
                <w:rFonts w:hint="eastAsia" w:ascii="Times New Roman" w:hAnsi="Times New Roman" w:eastAsia="宋体" w:cs="Times New Roman"/>
                <w:bCs/>
                <w:color w:val="auto"/>
                <w:sz w:val="24"/>
                <w:highlight w:val="none"/>
                <w:lang w:eastAsia="zh-CN"/>
              </w:rPr>
              <w:t>则检验废液产生量为</w:t>
            </w:r>
            <w:r>
              <w:rPr>
                <w:rFonts w:hint="eastAsia" w:ascii="Times New Roman" w:hAnsi="Times New Roman" w:eastAsia="宋体" w:cs="Times New Roman"/>
                <w:bCs/>
                <w:color w:val="auto"/>
                <w:sz w:val="24"/>
                <w:highlight w:val="none"/>
                <w:lang w:val="en-US" w:eastAsia="zh-CN"/>
              </w:rPr>
              <w:t>0.12</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eastAsia="zh-CN"/>
              </w:rPr>
              <w:t>检验</w:t>
            </w:r>
            <w:r>
              <w:rPr>
                <w:rFonts w:hint="eastAsia" w:ascii="Times New Roman" w:hAnsi="Times New Roman" w:eastAsia="宋体" w:cs="Times New Roman"/>
                <w:bCs/>
                <w:color w:val="auto"/>
                <w:sz w:val="24"/>
                <w:highlight w:val="none"/>
              </w:rPr>
              <w:t>废液</w:t>
            </w:r>
            <w:r>
              <w:rPr>
                <w:rFonts w:hint="eastAsia" w:ascii="Times New Roman" w:hAnsi="Times New Roman" w:eastAsia="宋体" w:cs="Times New Roman"/>
                <w:bCs/>
                <w:color w:val="auto"/>
                <w:sz w:val="24"/>
                <w:highlight w:val="none"/>
                <w:lang w:eastAsia="zh-CN"/>
              </w:rPr>
              <w:t>交由有资质单位处置</w:t>
            </w:r>
            <w:r>
              <w:rPr>
                <w:rFonts w:hint="eastAsia" w:ascii="Times New Roman" w:hAnsi="Times New Roman" w:eastAsia="宋体" w:cs="Times New Roman"/>
                <w:bCs/>
                <w:color w:val="auto"/>
                <w:sz w:val="24"/>
                <w:highlight w:val="none"/>
              </w:rPr>
              <w:t>。</w:t>
            </w:r>
          </w:p>
          <w:p w14:paraId="50B95655">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⑤电</w:t>
            </w:r>
            <w:r>
              <w:rPr>
                <w:rFonts w:hint="eastAsia" w:ascii="Times New Roman" w:hAnsi="Times New Roman" w:eastAsia="宋体" w:cs="Times New Roman"/>
                <w:bCs/>
                <w:color w:val="auto"/>
                <w:sz w:val="24"/>
                <w:highlight w:val="none"/>
                <w:lang w:eastAsia="zh-CN"/>
              </w:rPr>
              <w:t>锅炉</w:t>
            </w:r>
            <w:r>
              <w:rPr>
                <w:rFonts w:hint="eastAsia" w:ascii="Times New Roman" w:hAnsi="Times New Roman" w:eastAsia="宋体" w:cs="Times New Roman"/>
                <w:bCs/>
                <w:color w:val="auto"/>
                <w:sz w:val="24"/>
                <w:highlight w:val="none"/>
              </w:rPr>
              <w:t>用水及排水</w:t>
            </w:r>
          </w:p>
          <w:p w14:paraId="46467904">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项目设有电</w:t>
            </w:r>
            <w:r>
              <w:rPr>
                <w:rFonts w:hint="eastAsia" w:ascii="Times New Roman" w:hAnsi="Times New Roman" w:eastAsia="宋体" w:cs="Times New Roman"/>
                <w:bCs/>
                <w:color w:val="auto"/>
                <w:sz w:val="24"/>
                <w:highlight w:val="none"/>
                <w:lang w:eastAsia="zh-CN"/>
              </w:rPr>
              <w:t>锅炉</w:t>
            </w:r>
            <w:r>
              <w:rPr>
                <w:rFonts w:hint="eastAsia" w:ascii="Times New Roman" w:hAnsi="Times New Roman" w:eastAsia="宋体" w:cs="Times New Roman"/>
                <w:bCs/>
                <w:color w:val="auto"/>
                <w:sz w:val="24"/>
                <w:highlight w:val="none"/>
              </w:rPr>
              <w:t>1台，用于为</w:t>
            </w:r>
            <w:r>
              <w:rPr>
                <w:rFonts w:hint="eastAsia" w:ascii="Times New Roman" w:hAnsi="Times New Roman" w:eastAsia="宋体" w:cs="Times New Roman"/>
                <w:bCs/>
                <w:color w:val="auto"/>
                <w:sz w:val="24"/>
                <w:highlight w:val="none"/>
                <w:lang w:eastAsia="zh-CN"/>
              </w:rPr>
              <w:t>产品烘干</w:t>
            </w:r>
            <w:r>
              <w:rPr>
                <w:rFonts w:hint="eastAsia" w:ascii="Times New Roman" w:hAnsi="Times New Roman" w:eastAsia="宋体" w:cs="Times New Roman"/>
                <w:bCs/>
                <w:color w:val="auto"/>
                <w:sz w:val="24"/>
                <w:highlight w:val="none"/>
              </w:rPr>
              <w:t>、巴氏消毒提供蒸汽。</w:t>
            </w:r>
            <w:r>
              <w:rPr>
                <w:rFonts w:hint="eastAsia" w:ascii="Times New Roman" w:hAnsi="Times New Roman" w:eastAsia="宋体" w:cs="Times New Roman"/>
                <w:bCs/>
                <w:color w:val="auto"/>
                <w:sz w:val="24"/>
                <w:highlight w:val="none"/>
                <w:lang w:eastAsia="zh-CN"/>
              </w:rPr>
              <w:t>电锅炉</w:t>
            </w:r>
            <w:r>
              <w:rPr>
                <w:rFonts w:hint="eastAsia" w:ascii="Times New Roman" w:hAnsi="Times New Roman" w:eastAsia="宋体" w:cs="Times New Roman"/>
                <w:bCs/>
                <w:color w:val="auto"/>
                <w:sz w:val="24"/>
                <w:highlight w:val="none"/>
              </w:rPr>
              <w:t>定期排污清洗以保证持久稳定运行，排污量约为蒸</w:t>
            </w:r>
            <w:r>
              <w:rPr>
                <w:rFonts w:hint="eastAsia" w:ascii="Times New Roman" w:hAnsi="Times New Roman" w:eastAsia="宋体" w:cs="Times New Roman"/>
                <w:bCs/>
                <w:color w:val="auto"/>
                <w:sz w:val="24"/>
                <w:highlight w:val="none"/>
                <w:lang w:eastAsia="zh-CN"/>
              </w:rPr>
              <w:t>汽</w:t>
            </w:r>
            <w:r>
              <w:rPr>
                <w:rFonts w:hint="eastAsia" w:ascii="Times New Roman" w:hAnsi="Times New Roman" w:eastAsia="宋体" w:cs="Times New Roman"/>
                <w:bCs/>
                <w:color w:val="auto"/>
                <w:sz w:val="24"/>
                <w:highlight w:val="none"/>
              </w:rPr>
              <w:t>量的1.5%，项目合计蒸汽用量</w:t>
            </w:r>
            <w:r>
              <w:rPr>
                <w:rFonts w:hint="eastAsia" w:ascii="Times New Roman" w:hAnsi="Times New Roman" w:eastAsia="宋体" w:cs="Times New Roman"/>
                <w:bCs/>
                <w:color w:val="auto"/>
                <w:sz w:val="24"/>
                <w:highlight w:val="none"/>
                <w:lang w:val="en-US" w:eastAsia="zh-CN"/>
              </w:rPr>
              <w:t>3</w:t>
            </w:r>
            <w:r>
              <w:rPr>
                <w:rFonts w:hint="eastAsia" w:ascii="Times New Roman" w:hAnsi="Times New Roman" w:eastAsia="宋体" w:cs="Times New Roman"/>
                <w:bCs/>
                <w:color w:val="auto"/>
                <w:sz w:val="24"/>
                <w:highlight w:val="none"/>
              </w:rPr>
              <w:t>0m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/a，则</w:t>
            </w:r>
            <w:r>
              <w:rPr>
                <w:rFonts w:hint="eastAsia" w:ascii="Times New Roman" w:hAnsi="Times New Roman" w:eastAsia="宋体" w:cs="Times New Roman"/>
                <w:bCs/>
                <w:color w:val="auto"/>
                <w:sz w:val="24"/>
                <w:highlight w:val="none"/>
                <w:lang w:eastAsia="zh-CN"/>
              </w:rPr>
              <w:t>电锅炉</w:t>
            </w:r>
            <w:r>
              <w:rPr>
                <w:rFonts w:hint="eastAsia" w:ascii="Times New Roman" w:hAnsi="Times New Roman" w:eastAsia="宋体" w:cs="Times New Roman"/>
                <w:bCs/>
                <w:color w:val="auto"/>
                <w:sz w:val="24"/>
                <w:highlight w:val="none"/>
              </w:rPr>
              <w:t>排污水量为0.</w:t>
            </w:r>
            <w:r>
              <w:rPr>
                <w:rFonts w:hint="eastAsia" w:ascii="Times New Roman" w:hAnsi="Times New Roman" w:eastAsia="宋体" w:cs="Times New Roman"/>
                <w:bCs/>
                <w:color w:val="auto"/>
                <w:sz w:val="24"/>
                <w:highlight w:val="none"/>
                <w:lang w:val="en-US" w:eastAsia="zh-CN"/>
              </w:rPr>
              <w:t>45</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rPr>
              <w:t>合计</w:t>
            </w:r>
            <w:r>
              <w:rPr>
                <w:rFonts w:hint="eastAsia" w:ascii="Times New Roman" w:hAnsi="Times New Roman" w:eastAsia="宋体" w:cs="Times New Roman"/>
                <w:bCs/>
                <w:color w:val="auto"/>
                <w:sz w:val="24"/>
                <w:highlight w:val="none"/>
                <w:lang w:eastAsia="zh-CN"/>
              </w:rPr>
              <w:t>锅炉</w:t>
            </w:r>
            <w:r>
              <w:rPr>
                <w:rFonts w:hint="eastAsia" w:ascii="Times New Roman" w:hAnsi="Times New Roman" w:eastAsia="宋体" w:cs="Times New Roman"/>
                <w:bCs/>
                <w:color w:val="auto"/>
                <w:sz w:val="24"/>
                <w:highlight w:val="none"/>
              </w:rPr>
              <w:t>用</w:t>
            </w:r>
            <w:r>
              <w:rPr>
                <w:rFonts w:hint="eastAsia" w:ascii="Times New Roman" w:hAnsi="Times New Roman" w:eastAsia="宋体" w:cs="Times New Roman"/>
                <w:bCs/>
                <w:color w:val="auto"/>
                <w:sz w:val="24"/>
                <w:highlight w:val="none"/>
                <w:lang w:eastAsia="zh-CN"/>
              </w:rPr>
              <w:t>水</w:t>
            </w:r>
            <w:r>
              <w:rPr>
                <w:rFonts w:hint="eastAsia" w:ascii="Times New Roman" w:hAnsi="Times New Roman" w:eastAsia="宋体" w:cs="Times New Roman"/>
                <w:bCs/>
                <w:color w:val="auto"/>
                <w:sz w:val="24"/>
                <w:highlight w:val="none"/>
              </w:rPr>
              <w:t>量为</w:t>
            </w:r>
            <w:r>
              <w:rPr>
                <w:rFonts w:hint="eastAsia" w:ascii="Times New Roman" w:hAnsi="Times New Roman" w:eastAsia="宋体" w:cs="Times New Roman"/>
                <w:bCs/>
                <w:color w:val="auto"/>
                <w:sz w:val="24"/>
                <w:highlight w:val="none"/>
                <w:lang w:val="en-US" w:eastAsia="zh-CN"/>
              </w:rPr>
              <w:t>30.45</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p>
          <w:p w14:paraId="767F94DE">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⑥消毒用水</w:t>
            </w:r>
          </w:p>
          <w:p w14:paraId="2E4D7020">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项目设有巴氏消毒机1台，用于</w:t>
            </w:r>
            <w:r>
              <w:rPr>
                <w:rFonts w:hint="eastAsia" w:ascii="Times New Roman" w:hAnsi="Times New Roman" w:eastAsia="宋体" w:cs="Times New Roman"/>
                <w:bCs/>
                <w:color w:val="auto"/>
                <w:sz w:val="24"/>
                <w:highlight w:val="none"/>
                <w:lang w:eastAsia="zh-CN"/>
              </w:rPr>
              <w:t>山茱萸深加工产品的杀菌</w:t>
            </w:r>
            <w:r>
              <w:rPr>
                <w:rFonts w:hint="eastAsia" w:ascii="Times New Roman" w:hAnsi="Times New Roman" w:eastAsia="宋体" w:cs="Times New Roman"/>
                <w:bCs/>
                <w:color w:val="auto"/>
                <w:sz w:val="24"/>
                <w:highlight w:val="none"/>
              </w:rPr>
              <w:t>处理，巴氏消毒机使用电能，介质为蒸汽，蒸汽与</w:t>
            </w:r>
            <w:r>
              <w:rPr>
                <w:rFonts w:hint="eastAsia" w:ascii="Times New Roman" w:hAnsi="Times New Roman" w:eastAsia="宋体" w:cs="Times New Roman"/>
                <w:bCs/>
                <w:color w:val="auto"/>
                <w:sz w:val="24"/>
                <w:highlight w:val="none"/>
                <w:lang w:eastAsia="zh-CN"/>
              </w:rPr>
              <w:t>产品</w:t>
            </w:r>
            <w:r>
              <w:rPr>
                <w:rFonts w:hint="eastAsia" w:ascii="Times New Roman" w:hAnsi="Times New Roman" w:eastAsia="宋体" w:cs="Times New Roman"/>
                <w:bCs/>
                <w:color w:val="auto"/>
                <w:sz w:val="24"/>
                <w:highlight w:val="none"/>
              </w:rPr>
              <w:t>直接接触。蒸汽使用量约为</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rPr>
              <w:t>0m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r>
              <w:rPr>
                <w:rFonts w:hint="eastAsia" w:ascii="Times New Roman" w:hAnsi="Times New Roman" w:eastAsia="宋体" w:cs="Times New Roman"/>
                <w:bCs/>
                <w:color w:val="auto"/>
                <w:sz w:val="24"/>
                <w:highlight w:val="none"/>
                <w:lang w:eastAsia="zh-CN"/>
              </w:rPr>
              <w:t>最终蒸发消耗</w:t>
            </w:r>
            <w:r>
              <w:rPr>
                <w:rFonts w:hint="eastAsia" w:ascii="Times New Roman" w:hAnsi="Times New Roman" w:eastAsia="宋体" w:cs="Times New Roman"/>
                <w:bCs/>
                <w:color w:val="auto"/>
                <w:sz w:val="24"/>
                <w:highlight w:val="none"/>
              </w:rPr>
              <w:t>。</w:t>
            </w:r>
          </w:p>
          <w:p w14:paraId="1F0FF608">
            <w:pPr>
              <w:pStyle w:val="3"/>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⑦</w:t>
            </w:r>
            <w:r>
              <w:rPr>
                <w:rFonts w:hint="eastAsia" w:ascii="Times New Roman" w:hAnsi="Times New Roman" w:eastAsia="宋体" w:cs="Times New Roman"/>
                <w:bCs/>
                <w:color w:val="auto"/>
                <w:sz w:val="24"/>
                <w:highlight w:val="none"/>
              </w:rPr>
              <w:t>鲜果清洗用水及排水</w:t>
            </w:r>
          </w:p>
          <w:p w14:paraId="2632FF8C">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项目外购鲜果进场后需要对表面尘土进行清洗，</w:t>
            </w:r>
            <w:r>
              <w:rPr>
                <w:rFonts w:hint="eastAsia" w:ascii="Times New Roman" w:hAnsi="Times New Roman" w:eastAsia="宋体" w:cs="Times New Roman"/>
                <w:bCs/>
                <w:color w:val="auto"/>
                <w:sz w:val="24"/>
                <w:highlight w:val="none"/>
                <w:lang w:eastAsia="zh-CN"/>
              </w:rPr>
              <w:t>根据建设单位提供数据，</w:t>
            </w:r>
            <w:r>
              <w:rPr>
                <w:rFonts w:hint="eastAsia" w:ascii="Times New Roman" w:hAnsi="Times New Roman" w:eastAsia="宋体" w:cs="Times New Roman"/>
                <w:bCs/>
                <w:color w:val="auto"/>
                <w:sz w:val="24"/>
                <w:highlight w:val="none"/>
              </w:rPr>
              <w:t>冲洗水量为0.</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/t鲜果，项目年使用鲜果</w:t>
            </w:r>
            <w:r>
              <w:rPr>
                <w:rFonts w:hint="eastAsia" w:ascii="Times New Roman" w:hAnsi="Times New Roman" w:eastAsia="宋体" w:cs="Times New Roman"/>
                <w:bCs/>
                <w:color w:val="auto"/>
                <w:sz w:val="24"/>
                <w:highlight w:val="none"/>
                <w:lang w:val="en-US" w:eastAsia="zh-CN"/>
              </w:rPr>
              <w:t>5000</w:t>
            </w:r>
            <w:r>
              <w:rPr>
                <w:rFonts w:hint="eastAsia" w:ascii="Times New Roman" w:hAnsi="Times New Roman" w:eastAsia="宋体" w:cs="Times New Roman"/>
                <w:bCs/>
                <w:color w:val="auto"/>
                <w:sz w:val="24"/>
                <w:highlight w:val="none"/>
              </w:rPr>
              <w:t>t，则需清洗水</w:t>
            </w:r>
            <w:r>
              <w:rPr>
                <w:rFonts w:hint="eastAsia" w:ascii="Times New Roman" w:hAnsi="Times New Roman" w:eastAsia="宋体" w:cs="Times New Roman"/>
                <w:bCs/>
                <w:color w:val="auto"/>
                <w:sz w:val="24"/>
                <w:highlight w:val="none"/>
                <w:lang w:val="en-US" w:eastAsia="zh-CN"/>
              </w:rPr>
              <w:t>500</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/a，产污系数取0.</w:t>
            </w:r>
            <w:r>
              <w:rPr>
                <w:rFonts w:hint="eastAsia" w:ascii="Times New Roman" w:hAnsi="Times New Roman" w:eastAsia="宋体" w:cs="Times New Roman"/>
                <w:bCs/>
                <w:color w:val="auto"/>
                <w:sz w:val="24"/>
                <w:highlight w:val="none"/>
                <w:lang w:val="en-US" w:eastAsia="zh-CN"/>
              </w:rPr>
              <w:t>9</w:t>
            </w:r>
            <w:r>
              <w:rPr>
                <w:rFonts w:hint="eastAsia" w:ascii="Times New Roman" w:hAnsi="Times New Roman" w:eastAsia="宋体" w:cs="Times New Roman"/>
                <w:bCs/>
                <w:color w:val="auto"/>
                <w:sz w:val="24"/>
                <w:highlight w:val="none"/>
              </w:rPr>
              <w:t>，则鲜果清洗废水为</w:t>
            </w:r>
            <w:r>
              <w:rPr>
                <w:rFonts w:hint="eastAsia" w:ascii="Times New Roman" w:hAnsi="Times New Roman" w:eastAsia="宋体" w:cs="Times New Roman"/>
                <w:bCs/>
                <w:color w:val="auto"/>
                <w:sz w:val="24"/>
                <w:highlight w:val="none"/>
                <w:lang w:val="en-US" w:eastAsia="zh-CN"/>
              </w:rPr>
              <w:t>450</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/a。清洗</w:t>
            </w:r>
            <w:r>
              <w:rPr>
                <w:rFonts w:hint="eastAsia" w:ascii="Times New Roman" w:hAnsi="Times New Roman" w:eastAsia="宋体" w:cs="Times New Roman"/>
                <w:bCs/>
                <w:color w:val="auto"/>
                <w:sz w:val="24"/>
                <w:highlight w:val="none"/>
                <w:lang w:eastAsia="zh-CN"/>
              </w:rPr>
              <w:t>废水经沉淀混合</w:t>
            </w:r>
            <w:r>
              <w:rPr>
                <w:rFonts w:hint="eastAsia" w:ascii="Times New Roman" w:hAnsi="Times New Roman" w:eastAsia="宋体" w:cs="Times New Roman"/>
                <w:bCs/>
                <w:color w:val="auto"/>
                <w:sz w:val="24"/>
                <w:highlight w:val="none"/>
              </w:rPr>
              <w:t>处理后</w:t>
            </w:r>
            <w:r>
              <w:rPr>
                <w:rFonts w:hint="eastAsia" w:ascii="Times New Roman" w:hAnsi="Times New Roman" w:eastAsia="宋体" w:cs="Times New Roman"/>
                <w:bCs/>
                <w:color w:val="auto"/>
                <w:sz w:val="24"/>
                <w:highlight w:val="none"/>
                <w:lang w:eastAsia="zh-CN"/>
              </w:rPr>
              <w:t>经污水管网排入污水处理厂处置</w:t>
            </w:r>
            <w:r>
              <w:rPr>
                <w:rFonts w:hint="eastAsia" w:ascii="Times New Roman" w:hAnsi="Times New Roman" w:eastAsia="宋体" w:cs="Times New Roman"/>
                <w:bCs/>
                <w:color w:val="auto"/>
                <w:sz w:val="24"/>
                <w:highlight w:val="none"/>
              </w:rPr>
              <w:t>。</w:t>
            </w:r>
          </w:p>
          <w:p w14:paraId="5787CB96">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⑧职工生活用水及排水</w:t>
            </w:r>
          </w:p>
          <w:p w14:paraId="3ABCCBE2">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项目共有职工</w:t>
            </w:r>
            <w:r>
              <w:rPr>
                <w:rFonts w:hint="eastAsia" w:ascii="Times New Roman" w:hAnsi="Times New Roman" w:eastAsia="宋体" w:cs="Times New Roman"/>
                <w:bCs/>
                <w:color w:val="auto"/>
                <w:sz w:val="24"/>
                <w:highlight w:val="none"/>
                <w:lang w:val="en-US" w:eastAsia="zh-CN"/>
              </w:rPr>
              <w:t>26</w:t>
            </w:r>
            <w:r>
              <w:rPr>
                <w:rFonts w:hint="eastAsia" w:ascii="Times New Roman" w:hAnsi="Times New Roman" w:eastAsia="宋体" w:cs="Times New Roman"/>
                <w:bCs/>
                <w:color w:val="auto"/>
                <w:sz w:val="24"/>
                <w:highlight w:val="none"/>
              </w:rPr>
              <w:t>人，年工作</w:t>
            </w:r>
            <w:r>
              <w:rPr>
                <w:rFonts w:hint="eastAsia" w:ascii="Times New Roman" w:hAnsi="Times New Roman" w:eastAsia="宋体" w:cs="Times New Roman"/>
                <w:bCs/>
                <w:color w:val="auto"/>
                <w:sz w:val="24"/>
                <w:highlight w:val="none"/>
                <w:lang w:val="en-US" w:eastAsia="zh-CN"/>
              </w:rPr>
              <w:t>150</w:t>
            </w:r>
            <w:r>
              <w:rPr>
                <w:rFonts w:hint="eastAsia" w:ascii="Times New Roman" w:hAnsi="Times New Roman" w:eastAsia="宋体" w:cs="Times New Roman"/>
                <w:bCs/>
                <w:color w:val="auto"/>
                <w:sz w:val="24"/>
                <w:highlight w:val="none"/>
              </w:rPr>
              <w:t>天，用水量按50L/d·人计算，则职工生活用水量为</w:t>
            </w:r>
            <w:r>
              <w:rPr>
                <w:rFonts w:hint="eastAsia" w:ascii="Times New Roman" w:hAnsi="Times New Roman" w:eastAsia="宋体" w:cs="Times New Roman"/>
                <w:bCs/>
                <w:color w:val="auto"/>
                <w:sz w:val="24"/>
                <w:highlight w:val="none"/>
                <w:lang w:val="en-US" w:eastAsia="zh-CN"/>
              </w:rPr>
              <w:t>1.3m</w:t>
            </w:r>
            <w:r>
              <w:rPr>
                <w:rFonts w:hint="eastAsia" w:ascii="Times New Roman" w:hAnsi="Times New Roman" w:eastAsia="宋体" w:cs="Times New Roman"/>
                <w:bCs/>
                <w:color w:val="auto"/>
                <w:sz w:val="24"/>
                <w:highlight w:val="none"/>
                <w:vertAlign w:val="superscript"/>
                <w:lang w:val="en-US" w:eastAsia="zh-CN"/>
              </w:rPr>
              <w:t>3</w:t>
            </w:r>
            <w:r>
              <w:rPr>
                <w:rFonts w:hint="eastAsia" w:ascii="Times New Roman" w:hAnsi="Times New Roman" w:eastAsia="宋体" w:cs="Times New Roman"/>
                <w:bCs/>
                <w:color w:val="auto"/>
                <w:sz w:val="24"/>
                <w:highlight w:val="none"/>
                <w:lang w:val="en-US" w:eastAsia="zh-CN"/>
              </w:rPr>
              <w:t>/d，78</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/a，产污系数取0.8，则生活污水为</w:t>
            </w:r>
            <w:r>
              <w:rPr>
                <w:rFonts w:hint="eastAsia" w:ascii="Times New Roman" w:hAnsi="Times New Roman" w:eastAsia="宋体" w:cs="Times New Roman"/>
                <w:bCs/>
                <w:color w:val="auto"/>
                <w:sz w:val="24"/>
                <w:highlight w:val="none"/>
                <w:lang w:val="en-US" w:eastAsia="zh-CN"/>
              </w:rPr>
              <w:t>156</w:t>
            </w:r>
            <w:r>
              <w:rPr>
                <w:rFonts w:hint="eastAsia" w:ascii="Times New Roman" w:hAnsi="Times New Roman" w:eastAsia="宋体" w:cs="Times New Roman"/>
                <w:bCs/>
                <w:color w:val="auto"/>
                <w:sz w:val="24"/>
                <w:highlight w:val="none"/>
              </w:rPr>
              <w:t>m</w:t>
            </w:r>
            <w:r>
              <w:rPr>
                <w:rFonts w:hint="eastAsia" w:ascii="Times New Roman" w:hAnsi="Times New Roman" w:eastAsia="宋体" w:cs="Times New Roman"/>
                <w:bCs/>
                <w:color w:val="auto"/>
                <w:sz w:val="24"/>
                <w:highlight w:val="none"/>
                <w:vertAlign w:val="superscript"/>
              </w:rPr>
              <w:t>3</w:t>
            </w:r>
            <w:r>
              <w:rPr>
                <w:rFonts w:hint="eastAsia" w:ascii="Times New Roman" w:hAnsi="Times New Roman" w:eastAsia="宋体" w:cs="Times New Roman"/>
                <w:bCs/>
                <w:color w:val="auto"/>
                <w:sz w:val="24"/>
                <w:highlight w:val="none"/>
              </w:rPr>
              <w:t>/a。</w:t>
            </w:r>
          </w:p>
          <w:p w14:paraId="398B5A3C">
            <w:pPr>
              <w:pStyle w:val="3"/>
              <w:spacing w:line="360" w:lineRule="auto"/>
              <w:ind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项目生活污水经化粪池收集处理后进入洋县污水处理厂处理；纯水设备浓水、反冲洗废水、锅炉废水直接经管网排入洋县污水处理厂处理；生产设备清洗废水、鲜果清洗废水等生产废水经地下式收集沉淀池收集后再经陕西朱鹮酒业有限公司厂区污水处理设施处理达标后排入洋县污水处理厂深度处理。</w:t>
            </w:r>
          </w:p>
          <w:p w14:paraId="4736B502">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项目运营期水平衡见下图：</w:t>
            </w:r>
          </w:p>
          <w:p w14:paraId="7F7301BE">
            <w:pPr>
              <w:rPr>
                <w:rFonts w:hint="eastAsia"/>
                <w:bCs/>
                <w:color w:val="auto"/>
                <w:sz w:val="24"/>
                <w:highlight w:val="none"/>
              </w:rPr>
            </w:pPr>
          </w:p>
          <w:p w14:paraId="78C49CD5">
            <w:pPr>
              <w:pStyle w:val="44"/>
              <w:rPr>
                <w:bCs/>
                <w:color w:val="auto"/>
                <w:highlight w:val="none"/>
              </w:rPr>
            </w:pPr>
            <w:r>
              <w:rPr>
                <w:bCs/>
                <w:color w:val="auto"/>
                <w:highlight w:val="none"/>
              </w:rPr>
              <w:object>
                <v:shape id="_x0000_i1025" o:spt="75" type="#_x0000_t75" style="height:239.8pt;width:404.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54DD69FB">
            <w:pPr>
              <w:pStyle w:val="43"/>
              <w:spacing w:before="120" w:beforeLines="50"/>
              <w:jc w:val="center"/>
              <w:rPr>
                <w:rFonts w:hint="eastAsia" w:ascii="Times New Roman" w:eastAsia="宋体" w:cs="Times New Roman"/>
                <w:b/>
                <w:color w:val="auto"/>
                <w:sz w:val="21"/>
                <w:szCs w:val="21"/>
                <w:highlight w:val="none"/>
                <w:lang w:eastAsia="zh-CN"/>
              </w:rPr>
            </w:pPr>
            <w:r>
              <w:rPr>
                <w:rFonts w:ascii="Times New Roman" w:cs="Times New Roman"/>
                <w:b/>
                <w:color w:val="auto"/>
                <w:sz w:val="21"/>
                <w:szCs w:val="21"/>
                <w:highlight w:val="none"/>
              </w:rPr>
              <w:t>图</w:t>
            </w:r>
            <w:r>
              <w:rPr>
                <w:rFonts w:hint="eastAsia" w:ascii="Times New Roman" w:cs="Times New Roman"/>
                <w:b/>
                <w:color w:val="auto"/>
                <w:sz w:val="21"/>
                <w:szCs w:val="21"/>
                <w:highlight w:val="none"/>
              </w:rPr>
              <w:t>2-</w:t>
            </w:r>
            <w:r>
              <w:rPr>
                <w:rFonts w:ascii="Times New Roman" w:cs="Times New Roman"/>
                <w:b/>
                <w:color w:val="auto"/>
                <w:sz w:val="21"/>
                <w:szCs w:val="21"/>
                <w:highlight w:val="none"/>
              </w:rPr>
              <w:t>1  本项目水平衡图</w:t>
            </w:r>
            <w:r>
              <w:rPr>
                <w:rFonts w:hint="eastAsia" w:ascii="Times New Roman" w:cs="Times New Roman"/>
                <w:b/>
                <w:color w:val="auto"/>
                <w:sz w:val="21"/>
                <w:szCs w:val="21"/>
                <w:highlight w:val="none"/>
              </w:rPr>
              <w:t xml:space="preserve">     单位：m</w:t>
            </w:r>
            <w:r>
              <w:rPr>
                <w:rFonts w:hint="eastAsia" w:ascii="Times New Roman" w:cs="Times New Roman"/>
                <w:b/>
                <w:color w:val="auto"/>
                <w:sz w:val="21"/>
                <w:szCs w:val="21"/>
                <w:highlight w:val="none"/>
                <w:vertAlign w:val="superscript"/>
              </w:rPr>
              <w:t>3</w:t>
            </w:r>
            <w:r>
              <w:rPr>
                <w:rFonts w:hint="eastAsia" w:ascii="Times New Roman" w:cs="Times New Roman"/>
                <w:b/>
                <w:color w:val="auto"/>
                <w:sz w:val="21"/>
                <w:szCs w:val="21"/>
                <w:highlight w:val="none"/>
              </w:rPr>
              <w:t>/</w:t>
            </w:r>
            <w:r>
              <w:rPr>
                <w:rFonts w:hint="eastAsia" w:ascii="Times New Roman" w:cs="Times New Roman"/>
                <w:b/>
                <w:color w:val="auto"/>
                <w:sz w:val="21"/>
                <w:szCs w:val="21"/>
                <w:highlight w:val="none"/>
                <w:lang w:val="en-US" w:eastAsia="zh-CN"/>
              </w:rPr>
              <w:t>a</w:t>
            </w:r>
          </w:p>
          <w:p w14:paraId="2A3A7F6C">
            <w:pPr>
              <w:pStyle w:val="17"/>
              <w:keepNext w:val="0"/>
              <w:keepLines w:val="0"/>
              <w:pageBreakBefore w:val="0"/>
              <w:widowControl w:val="0"/>
              <w:kinsoku/>
              <w:wordWrap/>
              <w:overflowPunct/>
              <w:topLinePunct w:val="0"/>
              <w:autoSpaceDE/>
              <w:autoSpaceDN/>
              <w:bidi w:val="0"/>
              <w:adjustRightInd w:val="0"/>
              <w:snapToGrid/>
              <w:spacing w:before="0" w:line="360" w:lineRule="auto"/>
              <w:ind w:left="0" w:right="0" w:firstLine="474" w:firstLineChars="200"/>
              <w:textAlignment w:val="baseline"/>
              <w:rPr>
                <w:rFonts w:ascii="Times New Roman" w:eastAsia="宋体"/>
                <w:b/>
                <w:color w:val="auto"/>
                <w:spacing w:val="0"/>
                <w:kern w:val="2"/>
                <w:sz w:val="24"/>
                <w:szCs w:val="24"/>
                <w:highlight w:val="none"/>
              </w:rPr>
            </w:pPr>
            <w:r>
              <w:rPr>
                <w:rFonts w:ascii="Times New Roman" w:eastAsia="宋体"/>
                <w:b/>
                <w:color w:val="auto"/>
                <w:sz w:val="24"/>
                <w:highlight w:val="none"/>
              </w:rPr>
              <w:t>八</w:t>
            </w:r>
            <w:r>
              <w:rPr>
                <w:rFonts w:ascii="Times New Roman" w:eastAsia="宋体"/>
                <w:b/>
                <w:color w:val="auto"/>
                <w:spacing w:val="0"/>
                <w:kern w:val="2"/>
                <w:sz w:val="24"/>
                <w:szCs w:val="24"/>
                <w:highlight w:val="none"/>
              </w:rPr>
              <w:t>、项目物料平衡</w:t>
            </w:r>
          </w:p>
          <w:p w14:paraId="766CA8F4">
            <w:pPr>
              <w:pStyle w:val="10"/>
              <w:keepNext/>
              <w:widowControl/>
              <w:adjustRightInd w:val="0"/>
              <w:snapToGrid w:val="0"/>
              <w:spacing w:before="120" w:beforeLines="50"/>
              <w:rPr>
                <w:rFonts w:hint="eastAsia"/>
                <w:b/>
                <w:color w:val="auto"/>
                <w:szCs w:val="21"/>
                <w:highlight w:val="none"/>
              </w:rPr>
            </w:pPr>
            <w:r>
              <w:rPr>
                <w:b/>
                <w:color w:val="auto"/>
                <w:szCs w:val="21"/>
                <w:highlight w:val="none"/>
              </w:rPr>
              <w:t>表</w:t>
            </w:r>
            <w:r>
              <w:rPr>
                <w:rFonts w:hint="eastAsia"/>
                <w:b/>
                <w:color w:val="auto"/>
                <w:szCs w:val="21"/>
                <w:highlight w:val="none"/>
              </w:rPr>
              <w:t>2-</w:t>
            </w:r>
            <w:r>
              <w:rPr>
                <w:rFonts w:hint="eastAsia"/>
                <w:b/>
                <w:color w:val="auto"/>
                <w:szCs w:val="21"/>
                <w:highlight w:val="none"/>
                <w:lang w:val="en-US" w:eastAsia="zh-CN"/>
              </w:rPr>
              <w:t>6</w:t>
            </w:r>
            <w:r>
              <w:rPr>
                <w:b/>
                <w:color w:val="auto"/>
                <w:szCs w:val="21"/>
                <w:highlight w:val="none"/>
              </w:rPr>
              <w:t xml:space="preserve">  </w:t>
            </w:r>
            <w:r>
              <w:rPr>
                <w:rFonts w:hint="eastAsia"/>
                <w:b/>
                <w:color w:val="auto"/>
                <w:szCs w:val="21"/>
                <w:highlight w:val="none"/>
              </w:rPr>
              <w:t>本</w:t>
            </w:r>
            <w:r>
              <w:rPr>
                <w:b/>
                <w:color w:val="auto"/>
                <w:szCs w:val="21"/>
                <w:highlight w:val="none"/>
              </w:rPr>
              <w:t>项目</w:t>
            </w:r>
            <w:r>
              <w:rPr>
                <w:rFonts w:hint="eastAsia"/>
                <w:b/>
                <w:color w:val="auto"/>
                <w:szCs w:val="21"/>
                <w:highlight w:val="none"/>
              </w:rPr>
              <w:t>物料平衡</w:t>
            </w:r>
            <w:r>
              <w:rPr>
                <w:b/>
                <w:color w:val="auto"/>
                <w:szCs w:val="21"/>
                <w:highlight w:val="none"/>
              </w:rPr>
              <w:t>表</w:t>
            </w:r>
            <w:r>
              <w:rPr>
                <w:rFonts w:hint="eastAsia"/>
                <w:b/>
                <w:color w:val="auto"/>
                <w:szCs w:val="21"/>
                <w:highlight w:val="none"/>
              </w:rPr>
              <w:t xml:space="preserve">    单位：t/a</w:t>
            </w:r>
          </w:p>
          <w:tbl>
            <w:tblPr>
              <w:tblStyle w:val="28"/>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712"/>
              <w:gridCol w:w="2499"/>
              <w:gridCol w:w="1856"/>
            </w:tblGrid>
            <w:tr w14:paraId="2A5B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34" w:type="dxa"/>
                  <w:noWrap w:val="0"/>
                  <w:vAlign w:val="center"/>
                </w:tcPr>
                <w:p w14:paraId="6239EF6E">
                  <w:pPr>
                    <w:tabs>
                      <w:tab w:val="left" w:pos="2418"/>
                      <w:tab w:val="left" w:pos="4203"/>
                      <w:tab w:val="left" w:pos="5708"/>
                      <w:tab w:val="left" w:pos="7213"/>
                      <w:tab w:val="left" w:pos="8718"/>
                    </w:tabs>
                    <w:adjustRightInd w:val="0"/>
                    <w:snapToGrid w:val="0"/>
                    <w:jc w:val="center"/>
                    <w:rPr>
                      <w:rFonts w:hint="eastAsia"/>
                      <w:bCs/>
                      <w:color w:val="auto"/>
                      <w:szCs w:val="21"/>
                      <w:highlight w:val="none"/>
                    </w:rPr>
                  </w:pPr>
                  <w:r>
                    <w:rPr>
                      <w:rFonts w:hint="eastAsia"/>
                      <w:bCs/>
                      <w:color w:val="auto"/>
                      <w:szCs w:val="21"/>
                      <w:highlight w:val="none"/>
                    </w:rPr>
                    <w:t>原料</w:t>
                  </w:r>
                </w:p>
              </w:tc>
              <w:tc>
                <w:tcPr>
                  <w:tcW w:w="1712" w:type="dxa"/>
                  <w:noWrap w:val="0"/>
                  <w:vAlign w:val="center"/>
                </w:tcPr>
                <w:p w14:paraId="410420D9">
                  <w:pPr>
                    <w:tabs>
                      <w:tab w:val="left" w:pos="2418"/>
                      <w:tab w:val="left" w:pos="4203"/>
                      <w:tab w:val="left" w:pos="5708"/>
                      <w:tab w:val="left" w:pos="7213"/>
                      <w:tab w:val="left" w:pos="8718"/>
                    </w:tabs>
                    <w:adjustRightInd w:val="0"/>
                    <w:snapToGrid w:val="0"/>
                    <w:jc w:val="center"/>
                    <w:rPr>
                      <w:bCs/>
                      <w:color w:val="auto"/>
                      <w:szCs w:val="21"/>
                      <w:highlight w:val="none"/>
                    </w:rPr>
                  </w:pPr>
                  <w:r>
                    <w:rPr>
                      <w:bCs/>
                      <w:color w:val="auto"/>
                      <w:szCs w:val="21"/>
                      <w:highlight w:val="none"/>
                    </w:rPr>
                    <w:t>输入</w:t>
                  </w:r>
                </w:p>
              </w:tc>
              <w:tc>
                <w:tcPr>
                  <w:tcW w:w="4355" w:type="dxa"/>
                  <w:gridSpan w:val="2"/>
                  <w:noWrap w:val="0"/>
                  <w:vAlign w:val="center"/>
                </w:tcPr>
                <w:p w14:paraId="5ACDEF37">
                  <w:pPr>
                    <w:tabs>
                      <w:tab w:val="left" w:pos="2418"/>
                      <w:tab w:val="left" w:pos="4203"/>
                      <w:tab w:val="left" w:pos="5708"/>
                      <w:tab w:val="left" w:pos="7213"/>
                      <w:tab w:val="left" w:pos="8718"/>
                    </w:tabs>
                    <w:adjustRightInd w:val="0"/>
                    <w:snapToGrid w:val="0"/>
                    <w:jc w:val="center"/>
                    <w:rPr>
                      <w:bCs/>
                      <w:color w:val="auto"/>
                      <w:szCs w:val="21"/>
                      <w:highlight w:val="none"/>
                    </w:rPr>
                  </w:pPr>
                  <w:r>
                    <w:rPr>
                      <w:bCs/>
                      <w:color w:val="auto"/>
                      <w:szCs w:val="21"/>
                      <w:highlight w:val="none"/>
                    </w:rPr>
                    <w:t>输出</w:t>
                  </w:r>
                </w:p>
              </w:tc>
            </w:tr>
            <w:tr w14:paraId="2A5F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101" w:type="dxa"/>
                  <w:gridSpan w:val="4"/>
                  <w:noWrap w:val="0"/>
                  <w:vAlign w:val="center"/>
                </w:tcPr>
                <w:p w14:paraId="1D4A33DE">
                  <w:pPr>
                    <w:tabs>
                      <w:tab w:val="left" w:pos="2418"/>
                      <w:tab w:val="left" w:pos="4203"/>
                      <w:tab w:val="left" w:pos="5708"/>
                      <w:tab w:val="left" w:pos="7213"/>
                      <w:tab w:val="left" w:pos="8718"/>
                    </w:tabs>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干果加工生产线</w:t>
                  </w:r>
                </w:p>
              </w:tc>
            </w:tr>
            <w:tr w14:paraId="3F86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034" w:type="dxa"/>
                  <w:vMerge w:val="restart"/>
                  <w:noWrap w:val="0"/>
                  <w:vAlign w:val="center"/>
                </w:tcPr>
                <w:p w14:paraId="12E2D543">
                  <w:pPr>
                    <w:tabs>
                      <w:tab w:val="left" w:pos="2418"/>
                      <w:tab w:val="left" w:pos="4203"/>
                      <w:tab w:val="left" w:pos="5708"/>
                      <w:tab w:val="left" w:pos="7213"/>
                      <w:tab w:val="left" w:pos="8718"/>
                    </w:tabs>
                    <w:adjustRightInd w:val="0"/>
                    <w:snapToGrid w:val="0"/>
                    <w:jc w:val="center"/>
                    <w:rPr>
                      <w:rFonts w:hint="eastAsia" w:eastAsia="宋体"/>
                      <w:bCs/>
                      <w:color w:val="auto"/>
                      <w:kern w:val="2"/>
                      <w:sz w:val="21"/>
                      <w:szCs w:val="21"/>
                      <w:highlight w:val="none"/>
                      <w:lang w:val="en-US" w:eastAsia="zh-CN" w:bidi="ar-SA"/>
                    </w:rPr>
                  </w:pPr>
                  <w:r>
                    <w:rPr>
                      <w:rFonts w:hint="eastAsia"/>
                      <w:bCs/>
                      <w:color w:val="auto"/>
                      <w:szCs w:val="21"/>
                      <w:highlight w:val="none"/>
                      <w:lang w:eastAsia="zh-CN"/>
                    </w:rPr>
                    <w:t>山茱萸鲜果（含水率</w:t>
                  </w:r>
                  <w:r>
                    <w:rPr>
                      <w:rFonts w:hint="eastAsia"/>
                      <w:bCs/>
                      <w:color w:val="auto"/>
                      <w:szCs w:val="21"/>
                      <w:highlight w:val="none"/>
                      <w:lang w:val="en-US" w:eastAsia="zh-CN"/>
                    </w:rPr>
                    <w:t>30%</w:t>
                  </w:r>
                  <w:r>
                    <w:rPr>
                      <w:rFonts w:hint="eastAsia"/>
                      <w:bCs/>
                      <w:color w:val="auto"/>
                      <w:szCs w:val="21"/>
                      <w:highlight w:val="none"/>
                      <w:lang w:eastAsia="zh-CN"/>
                    </w:rPr>
                    <w:t>）</w:t>
                  </w:r>
                </w:p>
              </w:tc>
              <w:tc>
                <w:tcPr>
                  <w:tcW w:w="1712" w:type="dxa"/>
                  <w:vMerge w:val="restart"/>
                  <w:noWrap w:val="0"/>
                  <w:vAlign w:val="center"/>
                </w:tcPr>
                <w:p w14:paraId="4E5A938E">
                  <w:pPr>
                    <w:tabs>
                      <w:tab w:val="left" w:pos="2418"/>
                      <w:tab w:val="left" w:pos="4203"/>
                      <w:tab w:val="left" w:pos="5708"/>
                      <w:tab w:val="left" w:pos="7213"/>
                      <w:tab w:val="left" w:pos="8718"/>
                    </w:tabs>
                    <w:adjustRightInd w:val="0"/>
                    <w:snapToGrid w:val="0"/>
                    <w:jc w:val="center"/>
                    <w:rPr>
                      <w:rFonts w:hint="eastAsia" w:eastAsia="宋体"/>
                      <w:bCs/>
                      <w:color w:val="auto"/>
                      <w:kern w:val="2"/>
                      <w:sz w:val="21"/>
                      <w:szCs w:val="21"/>
                      <w:highlight w:val="none"/>
                      <w:lang w:val="en-US" w:eastAsia="zh-CN" w:bidi="ar-SA"/>
                    </w:rPr>
                  </w:pPr>
                  <w:r>
                    <w:rPr>
                      <w:rFonts w:hint="eastAsia"/>
                      <w:bCs/>
                      <w:color w:val="auto"/>
                      <w:szCs w:val="21"/>
                      <w:highlight w:val="none"/>
                      <w:lang w:val="en-US" w:eastAsia="zh-CN"/>
                    </w:rPr>
                    <w:t>5000</w:t>
                  </w:r>
                </w:p>
              </w:tc>
              <w:tc>
                <w:tcPr>
                  <w:tcW w:w="2499" w:type="dxa"/>
                  <w:noWrap w:val="0"/>
                  <w:vAlign w:val="center"/>
                </w:tcPr>
                <w:p w14:paraId="1236EF80">
                  <w:pPr>
                    <w:tabs>
                      <w:tab w:val="left" w:pos="615"/>
                    </w:tabs>
                    <w:adjustRightInd w:val="0"/>
                    <w:snapToGrid w:val="0"/>
                    <w:jc w:val="center"/>
                    <w:rPr>
                      <w:rFonts w:hint="eastAsia"/>
                      <w:bCs/>
                      <w:color w:val="auto"/>
                      <w:szCs w:val="21"/>
                      <w:highlight w:val="none"/>
                      <w:lang w:eastAsia="zh-CN"/>
                    </w:rPr>
                  </w:pPr>
                  <w:r>
                    <w:rPr>
                      <w:rFonts w:hint="eastAsia"/>
                      <w:bCs/>
                      <w:color w:val="auto"/>
                      <w:szCs w:val="21"/>
                      <w:highlight w:val="none"/>
                      <w:lang w:eastAsia="zh-CN"/>
                    </w:rPr>
                    <w:t>干山茱萸（中上等果）</w:t>
                  </w:r>
                </w:p>
              </w:tc>
              <w:tc>
                <w:tcPr>
                  <w:tcW w:w="1856" w:type="dxa"/>
                  <w:noWrap w:val="0"/>
                  <w:vAlign w:val="center"/>
                </w:tcPr>
                <w:p w14:paraId="7FBF003A">
                  <w:pPr>
                    <w:tabs>
                      <w:tab w:val="left" w:pos="615"/>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1623.75</w:t>
                  </w:r>
                </w:p>
              </w:tc>
            </w:tr>
            <w:tr w14:paraId="7836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034" w:type="dxa"/>
                  <w:vMerge w:val="continue"/>
                  <w:noWrap w:val="0"/>
                  <w:vAlign w:val="center"/>
                </w:tcPr>
                <w:p w14:paraId="3D29814E">
                  <w:pPr>
                    <w:tabs>
                      <w:tab w:val="left" w:pos="2418"/>
                      <w:tab w:val="left" w:pos="4203"/>
                      <w:tab w:val="left" w:pos="5708"/>
                      <w:tab w:val="left" w:pos="7213"/>
                      <w:tab w:val="left" w:pos="8718"/>
                    </w:tabs>
                    <w:adjustRightInd w:val="0"/>
                    <w:snapToGrid w:val="0"/>
                    <w:jc w:val="center"/>
                    <w:rPr>
                      <w:rFonts w:hint="eastAsia"/>
                      <w:bCs/>
                      <w:color w:val="auto"/>
                      <w:szCs w:val="21"/>
                      <w:highlight w:val="none"/>
                      <w:lang w:eastAsia="zh-CN"/>
                    </w:rPr>
                  </w:pPr>
                </w:p>
              </w:tc>
              <w:tc>
                <w:tcPr>
                  <w:tcW w:w="1712" w:type="dxa"/>
                  <w:vMerge w:val="continue"/>
                  <w:noWrap w:val="0"/>
                  <w:vAlign w:val="center"/>
                </w:tcPr>
                <w:p w14:paraId="60DFD240">
                  <w:pPr>
                    <w:tabs>
                      <w:tab w:val="left" w:pos="2418"/>
                      <w:tab w:val="left" w:pos="4203"/>
                      <w:tab w:val="left" w:pos="5708"/>
                      <w:tab w:val="left" w:pos="7213"/>
                      <w:tab w:val="left" w:pos="8718"/>
                    </w:tabs>
                    <w:adjustRightInd w:val="0"/>
                    <w:snapToGrid w:val="0"/>
                    <w:jc w:val="center"/>
                    <w:rPr>
                      <w:rFonts w:hint="eastAsia"/>
                      <w:bCs/>
                      <w:color w:val="auto"/>
                      <w:szCs w:val="21"/>
                      <w:highlight w:val="none"/>
                      <w:lang w:val="en-US" w:eastAsia="zh-CN"/>
                    </w:rPr>
                  </w:pPr>
                </w:p>
              </w:tc>
              <w:tc>
                <w:tcPr>
                  <w:tcW w:w="2499" w:type="dxa"/>
                  <w:noWrap w:val="0"/>
                  <w:vAlign w:val="center"/>
                </w:tcPr>
                <w:p w14:paraId="0B4FB92C">
                  <w:pPr>
                    <w:tabs>
                      <w:tab w:val="left" w:pos="2418"/>
                      <w:tab w:val="left" w:pos="4203"/>
                      <w:tab w:val="left" w:pos="5708"/>
                      <w:tab w:val="left" w:pos="7213"/>
                      <w:tab w:val="left" w:pos="8718"/>
                    </w:tabs>
                    <w:adjustRightInd w:val="0"/>
                    <w:snapToGrid w:val="0"/>
                    <w:jc w:val="center"/>
                    <w:rPr>
                      <w:rFonts w:hint="eastAsia" w:eastAsia="宋体"/>
                      <w:bCs/>
                      <w:color w:val="auto"/>
                      <w:kern w:val="2"/>
                      <w:sz w:val="21"/>
                      <w:szCs w:val="21"/>
                      <w:highlight w:val="none"/>
                      <w:lang w:val="en-US" w:eastAsia="zh-CN" w:bidi="ar-SA"/>
                    </w:rPr>
                  </w:pPr>
                  <w:r>
                    <w:rPr>
                      <w:rFonts w:hint="eastAsia" w:eastAsia="宋体"/>
                      <w:bCs/>
                      <w:color w:val="auto"/>
                      <w:kern w:val="2"/>
                      <w:sz w:val="21"/>
                      <w:szCs w:val="21"/>
                      <w:highlight w:val="none"/>
                      <w:lang w:val="en-US" w:eastAsia="zh-CN" w:bidi="ar-SA"/>
                    </w:rPr>
                    <w:t>中下等果</w:t>
                  </w:r>
                </w:p>
              </w:tc>
              <w:tc>
                <w:tcPr>
                  <w:tcW w:w="1856" w:type="dxa"/>
                  <w:noWrap w:val="0"/>
                  <w:vAlign w:val="center"/>
                </w:tcPr>
                <w:p w14:paraId="5B3D25F9">
                  <w:pPr>
                    <w:tabs>
                      <w:tab w:val="left" w:pos="2418"/>
                      <w:tab w:val="left" w:pos="4203"/>
                      <w:tab w:val="left" w:pos="5708"/>
                      <w:tab w:val="left" w:pos="7213"/>
                      <w:tab w:val="left" w:pos="8718"/>
                    </w:tabs>
                    <w:adjustRightInd w:val="0"/>
                    <w:snapToGrid w:val="0"/>
                    <w:jc w:val="center"/>
                    <w:rPr>
                      <w:rFonts w:hint="default"/>
                      <w:bCs/>
                      <w:color w:val="auto"/>
                      <w:kern w:val="2"/>
                      <w:sz w:val="21"/>
                      <w:szCs w:val="21"/>
                      <w:highlight w:val="none"/>
                      <w:lang w:val="en-US" w:eastAsia="zh-CN" w:bidi="ar-SA"/>
                    </w:rPr>
                  </w:pPr>
                  <w:r>
                    <w:rPr>
                      <w:rFonts w:hint="eastAsia"/>
                      <w:bCs/>
                      <w:color w:val="auto"/>
                      <w:szCs w:val="21"/>
                      <w:highlight w:val="none"/>
                      <w:lang w:val="en-US" w:eastAsia="zh-CN"/>
                    </w:rPr>
                    <w:t>2123.75</w:t>
                  </w:r>
                </w:p>
              </w:tc>
            </w:tr>
            <w:tr w14:paraId="6055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034" w:type="dxa"/>
                  <w:vMerge w:val="continue"/>
                  <w:noWrap w:val="0"/>
                  <w:vAlign w:val="center"/>
                </w:tcPr>
                <w:p w14:paraId="6F06D6AC">
                  <w:pPr>
                    <w:tabs>
                      <w:tab w:val="left" w:pos="2418"/>
                      <w:tab w:val="left" w:pos="4203"/>
                      <w:tab w:val="left" w:pos="5708"/>
                      <w:tab w:val="left" w:pos="7213"/>
                      <w:tab w:val="left" w:pos="8718"/>
                    </w:tabs>
                    <w:adjustRightInd w:val="0"/>
                    <w:snapToGrid w:val="0"/>
                    <w:jc w:val="center"/>
                    <w:rPr>
                      <w:rFonts w:hint="eastAsia"/>
                      <w:bCs/>
                      <w:color w:val="auto"/>
                      <w:szCs w:val="21"/>
                      <w:highlight w:val="none"/>
                      <w:lang w:eastAsia="zh-CN"/>
                    </w:rPr>
                  </w:pPr>
                </w:p>
              </w:tc>
              <w:tc>
                <w:tcPr>
                  <w:tcW w:w="1712" w:type="dxa"/>
                  <w:vMerge w:val="continue"/>
                  <w:noWrap w:val="0"/>
                  <w:vAlign w:val="center"/>
                </w:tcPr>
                <w:p w14:paraId="3EC7C7E8">
                  <w:pPr>
                    <w:tabs>
                      <w:tab w:val="left" w:pos="2418"/>
                      <w:tab w:val="left" w:pos="4203"/>
                      <w:tab w:val="left" w:pos="5708"/>
                      <w:tab w:val="left" w:pos="7213"/>
                      <w:tab w:val="left" w:pos="8718"/>
                    </w:tabs>
                    <w:adjustRightInd w:val="0"/>
                    <w:snapToGrid w:val="0"/>
                    <w:jc w:val="center"/>
                    <w:rPr>
                      <w:rFonts w:hint="eastAsia"/>
                      <w:bCs/>
                      <w:color w:val="auto"/>
                      <w:szCs w:val="21"/>
                      <w:highlight w:val="none"/>
                      <w:lang w:val="en-US" w:eastAsia="zh-CN"/>
                    </w:rPr>
                  </w:pPr>
                </w:p>
              </w:tc>
              <w:tc>
                <w:tcPr>
                  <w:tcW w:w="2499" w:type="dxa"/>
                  <w:noWrap w:val="0"/>
                  <w:vAlign w:val="center"/>
                </w:tcPr>
                <w:p w14:paraId="4650C36E">
                  <w:pPr>
                    <w:tabs>
                      <w:tab w:val="left" w:pos="615"/>
                    </w:tabs>
                    <w:adjustRightInd w:val="0"/>
                    <w:snapToGrid w:val="0"/>
                    <w:jc w:val="center"/>
                    <w:rPr>
                      <w:rFonts w:hint="eastAsia"/>
                      <w:bCs/>
                      <w:color w:val="auto"/>
                      <w:szCs w:val="21"/>
                      <w:highlight w:val="none"/>
                      <w:lang w:eastAsia="zh-CN"/>
                    </w:rPr>
                  </w:pPr>
                  <w:r>
                    <w:rPr>
                      <w:rFonts w:hint="eastAsia" w:eastAsia="宋体"/>
                      <w:bCs/>
                      <w:color w:val="auto"/>
                      <w:szCs w:val="21"/>
                      <w:highlight w:val="none"/>
                      <w:lang w:eastAsia="zh-CN"/>
                    </w:rPr>
                    <w:t>挥发水分</w:t>
                  </w:r>
                </w:p>
              </w:tc>
              <w:tc>
                <w:tcPr>
                  <w:tcW w:w="1856" w:type="dxa"/>
                  <w:noWrap w:val="0"/>
                  <w:vAlign w:val="center"/>
                </w:tcPr>
                <w:p w14:paraId="0A7D56CA">
                  <w:pPr>
                    <w:tabs>
                      <w:tab w:val="left" w:pos="615"/>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500</w:t>
                  </w:r>
                </w:p>
              </w:tc>
            </w:tr>
            <w:tr w14:paraId="6D37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034" w:type="dxa"/>
                  <w:vMerge w:val="continue"/>
                  <w:noWrap w:val="0"/>
                  <w:vAlign w:val="center"/>
                </w:tcPr>
                <w:p w14:paraId="1CB54F82">
                  <w:pPr>
                    <w:tabs>
                      <w:tab w:val="left" w:pos="2418"/>
                      <w:tab w:val="left" w:pos="4203"/>
                      <w:tab w:val="left" w:pos="5708"/>
                      <w:tab w:val="left" w:pos="7213"/>
                      <w:tab w:val="left" w:pos="8718"/>
                    </w:tabs>
                    <w:adjustRightInd w:val="0"/>
                    <w:snapToGrid w:val="0"/>
                    <w:jc w:val="center"/>
                    <w:rPr>
                      <w:rFonts w:hint="eastAsia"/>
                      <w:bCs/>
                      <w:color w:val="auto"/>
                      <w:szCs w:val="21"/>
                      <w:highlight w:val="none"/>
                      <w:lang w:eastAsia="zh-CN"/>
                    </w:rPr>
                  </w:pPr>
                </w:p>
              </w:tc>
              <w:tc>
                <w:tcPr>
                  <w:tcW w:w="1712" w:type="dxa"/>
                  <w:vMerge w:val="continue"/>
                  <w:noWrap w:val="0"/>
                  <w:vAlign w:val="center"/>
                </w:tcPr>
                <w:p w14:paraId="1FE128CD">
                  <w:pPr>
                    <w:tabs>
                      <w:tab w:val="left" w:pos="2418"/>
                      <w:tab w:val="left" w:pos="4203"/>
                      <w:tab w:val="left" w:pos="5708"/>
                      <w:tab w:val="left" w:pos="7213"/>
                      <w:tab w:val="left" w:pos="8718"/>
                    </w:tabs>
                    <w:adjustRightInd w:val="0"/>
                    <w:snapToGrid w:val="0"/>
                    <w:jc w:val="center"/>
                    <w:rPr>
                      <w:rFonts w:hint="eastAsia"/>
                      <w:bCs/>
                      <w:color w:val="auto"/>
                      <w:szCs w:val="21"/>
                      <w:highlight w:val="none"/>
                      <w:lang w:val="en-US" w:eastAsia="zh-CN"/>
                    </w:rPr>
                  </w:pPr>
                </w:p>
              </w:tc>
              <w:tc>
                <w:tcPr>
                  <w:tcW w:w="2499" w:type="dxa"/>
                  <w:noWrap w:val="0"/>
                  <w:vAlign w:val="center"/>
                </w:tcPr>
                <w:p w14:paraId="1E2491E2">
                  <w:pPr>
                    <w:tabs>
                      <w:tab w:val="left" w:pos="615"/>
                    </w:tabs>
                    <w:adjustRightInd w:val="0"/>
                    <w:snapToGrid w:val="0"/>
                    <w:jc w:val="center"/>
                    <w:rPr>
                      <w:rFonts w:hint="eastAsia" w:eastAsia="宋体"/>
                      <w:bCs/>
                      <w:color w:val="auto"/>
                      <w:szCs w:val="21"/>
                      <w:highlight w:val="none"/>
                      <w:lang w:eastAsia="zh-CN"/>
                    </w:rPr>
                  </w:pPr>
                  <w:r>
                    <w:rPr>
                      <w:rFonts w:hint="eastAsia" w:eastAsia="宋体"/>
                      <w:bCs/>
                      <w:color w:val="auto"/>
                      <w:szCs w:val="21"/>
                      <w:highlight w:val="none"/>
                      <w:lang w:eastAsia="zh-CN"/>
                    </w:rPr>
                    <w:t>原料中杂质</w:t>
                  </w:r>
                </w:p>
              </w:tc>
              <w:tc>
                <w:tcPr>
                  <w:tcW w:w="1856" w:type="dxa"/>
                  <w:noWrap w:val="0"/>
                  <w:vAlign w:val="center"/>
                </w:tcPr>
                <w:p w14:paraId="001791FF">
                  <w:pPr>
                    <w:tabs>
                      <w:tab w:val="left" w:pos="615"/>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2.5</w:t>
                  </w:r>
                </w:p>
              </w:tc>
            </w:tr>
            <w:tr w14:paraId="53A1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034" w:type="dxa"/>
                  <w:vMerge w:val="continue"/>
                  <w:noWrap w:val="0"/>
                  <w:vAlign w:val="center"/>
                </w:tcPr>
                <w:p w14:paraId="1D3C3C51">
                  <w:pPr>
                    <w:tabs>
                      <w:tab w:val="left" w:pos="2418"/>
                      <w:tab w:val="left" w:pos="4203"/>
                      <w:tab w:val="left" w:pos="5708"/>
                      <w:tab w:val="left" w:pos="7213"/>
                      <w:tab w:val="left" w:pos="8718"/>
                    </w:tabs>
                    <w:adjustRightInd w:val="0"/>
                    <w:snapToGrid w:val="0"/>
                    <w:jc w:val="center"/>
                    <w:rPr>
                      <w:rFonts w:hint="eastAsia"/>
                      <w:bCs/>
                      <w:color w:val="auto"/>
                      <w:szCs w:val="21"/>
                      <w:highlight w:val="none"/>
                      <w:lang w:eastAsia="zh-CN"/>
                    </w:rPr>
                  </w:pPr>
                </w:p>
              </w:tc>
              <w:tc>
                <w:tcPr>
                  <w:tcW w:w="1712" w:type="dxa"/>
                  <w:vMerge w:val="continue"/>
                  <w:noWrap w:val="0"/>
                  <w:vAlign w:val="center"/>
                </w:tcPr>
                <w:p w14:paraId="4BB01BF2">
                  <w:pPr>
                    <w:tabs>
                      <w:tab w:val="left" w:pos="2418"/>
                      <w:tab w:val="left" w:pos="4203"/>
                      <w:tab w:val="left" w:pos="5708"/>
                      <w:tab w:val="left" w:pos="7213"/>
                      <w:tab w:val="left" w:pos="8718"/>
                    </w:tabs>
                    <w:adjustRightInd w:val="0"/>
                    <w:snapToGrid w:val="0"/>
                    <w:jc w:val="center"/>
                    <w:rPr>
                      <w:rFonts w:hint="eastAsia"/>
                      <w:bCs/>
                      <w:color w:val="auto"/>
                      <w:szCs w:val="21"/>
                      <w:highlight w:val="none"/>
                      <w:lang w:val="en-US" w:eastAsia="zh-CN"/>
                    </w:rPr>
                  </w:pPr>
                </w:p>
              </w:tc>
              <w:tc>
                <w:tcPr>
                  <w:tcW w:w="2499" w:type="dxa"/>
                  <w:noWrap w:val="0"/>
                  <w:vAlign w:val="center"/>
                </w:tcPr>
                <w:p w14:paraId="6D8F4240">
                  <w:pPr>
                    <w:tabs>
                      <w:tab w:val="left" w:pos="615"/>
                    </w:tabs>
                    <w:adjustRightInd w:val="0"/>
                    <w:snapToGrid w:val="0"/>
                    <w:jc w:val="center"/>
                    <w:rPr>
                      <w:rFonts w:hint="eastAsia" w:eastAsia="宋体"/>
                      <w:bCs/>
                      <w:color w:val="auto"/>
                      <w:szCs w:val="21"/>
                      <w:highlight w:val="none"/>
                      <w:lang w:eastAsia="zh-CN"/>
                    </w:rPr>
                  </w:pPr>
                  <w:r>
                    <w:rPr>
                      <w:rFonts w:hint="eastAsia" w:eastAsia="宋体"/>
                      <w:bCs/>
                      <w:color w:val="auto"/>
                      <w:szCs w:val="21"/>
                      <w:highlight w:val="none"/>
                      <w:lang w:eastAsia="zh-CN"/>
                    </w:rPr>
                    <w:t>果核</w:t>
                  </w:r>
                </w:p>
              </w:tc>
              <w:tc>
                <w:tcPr>
                  <w:tcW w:w="1856" w:type="dxa"/>
                  <w:noWrap w:val="0"/>
                  <w:vAlign w:val="center"/>
                </w:tcPr>
                <w:p w14:paraId="0BA4F43E">
                  <w:pPr>
                    <w:tabs>
                      <w:tab w:val="left" w:pos="615"/>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750</w:t>
                  </w:r>
                </w:p>
              </w:tc>
            </w:tr>
            <w:tr w14:paraId="2FB1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034" w:type="dxa"/>
                  <w:noWrap w:val="0"/>
                  <w:vAlign w:val="center"/>
                </w:tcPr>
                <w:p w14:paraId="25093723">
                  <w:pPr>
                    <w:tabs>
                      <w:tab w:val="left" w:pos="2418"/>
                      <w:tab w:val="left" w:pos="4203"/>
                      <w:tab w:val="left" w:pos="5708"/>
                      <w:tab w:val="left" w:pos="7213"/>
                      <w:tab w:val="left" w:pos="8718"/>
                    </w:tabs>
                    <w:adjustRightInd w:val="0"/>
                    <w:snapToGrid w:val="0"/>
                    <w:jc w:val="center"/>
                    <w:rPr>
                      <w:rFonts w:hint="eastAsia"/>
                      <w:bCs/>
                      <w:color w:val="auto"/>
                      <w:szCs w:val="21"/>
                      <w:highlight w:val="none"/>
                      <w:lang w:eastAsia="zh-CN"/>
                    </w:rPr>
                  </w:pPr>
                  <w:r>
                    <w:rPr>
                      <w:rFonts w:hint="eastAsia"/>
                      <w:bCs/>
                      <w:color w:val="auto"/>
                      <w:szCs w:val="21"/>
                      <w:highlight w:val="none"/>
                      <w:lang w:eastAsia="zh-CN"/>
                    </w:rPr>
                    <w:t>合计</w:t>
                  </w:r>
                </w:p>
              </w:tc>
              <w:tc>
                <w:tcPr>
                  <w:tcW w:w="1712" w:type="dxa"/>
                  <w:noWrap w:val="0"/>
                  <w:vAlign w:val="center"/>
                </w:tcPr>
                <w:p w14:paraId="0447A8FB">
                  <w:pPr>
                    <w:tabs>
                      <w:tab w:val="left" w:pos="2418"/>
                      <w:tab w:val="left" w:pos="4203"/>
                      <w:tab w:val="left" w:pos="5708"/>
                      <w:tab w:val="left" w:pos="7213"/>
                      <w:tab w:val="left" w:pos="8718"/>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5000</w:t>
                  </w:r>
                </w:p>
              </w:tc>
              <w:tc>
                <w:tcPr>
                  <w:tcW w:w="2499" w:type="dxa"/>
                  <w:noWrap w:val="0"/>
                  <w:vAlign w:val="center"/>
                </w:tcPr>
                <w:p w14:paraId="2CA5D4B2">
                  <w:pPr>
                    <w:tabs>
                      <w:tab w:val="left" w:pos="615"/>
                    </w:tabs>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w:t>
                  </w:r>
                </w:p>
              </w:tc>
              <w:tc>
                <w:tcPr>
                  <w:tcW w:w="1856" w:type="dxa"/>
                  <w:noWrap w:val="0"/>
                  <w:vAlign w:val="center"/>
                </w:tcPr>
                <w:p w14:paraId="629B3D79">
                  <w:pPr>
                    <w:tabs>
                      <w:tab w:val="left" w:pos="615"/>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5000</w:t>
                  </w:r>
                </w:p>
              </w:tc>
            </w:tr>
            <w:tr w14:paraId="6DD9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101" w:type="dxa"/>
                  <w:gridSpan w:val="4"/>
                  <w:noWrap w:val="0"/>
                  <w:vAlign w:val="center"/>
                </w:tcPr>
                <w:p w14:paraId="5B34CB79">
                  <w:pPr>
                    <w:tabs>
                      <w:tab w:val="left" w:pos="615"/>
                    </w:tabs>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深加工生产线</w:t>
                  </w:r>
                </w:p>
              </w:tc>
            </w:tr>
            <w:tr w14:paraId="1105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034" w:type="dxa"/>
                  <w:noWrap w:val="0"/>
                  <w:vAlign w:val="center"/>
                </w:tcPr>
                <w:p w14:paraId="5D2D8614">
                  <w:pPr>
                    <w:tabs>
                      <w:tab w:val="left" w:pos="2418"/>
                      <w:tab w:val="left" w:pos="4203"/>
                      <w:tab w:val="left" w:pos="5708"/>
                      <w:tab w:val="left" w:pos="7213"/>
                      <w:tab w:val="left" w:pos="8718"/>
                    </w:tabs>
                    <w:adjustRightInd w:val="0"/>
                    <w:snapToGrid w:val="0"/>
                    <w:jc w:val="center"/>
                    <w:rPr>
                      <w:rFonts w:hint="eastAsia" w:eastAsia="宋体"/>
                      <w:bCs/>
                      <w:color w:val="auto"/>
                      <w:szCs w:val="21"/>
                      <w:highlight w:val="none"/>
                      <w:lang w:eastAsia="zh-CN"/>
                    </w:rPr>
                  </w:pPr>
                  <w:r>
                    <w:rPr>
                      <w:rFonts w:hint="eastAsia" w:eastAsia="宋体"/>
                      <w:bCs/>
                      <w:color w:val="auto"/>
                      <w:szCs w:val="21"/>
                      <w:highlight w:val="none"/>
                      <w:lang w:eastAsia="zh-CN"/>
                    </w:rPr>
                    <w:t>去核后中下等果</w:t>
                  </w:r>
                </w:p>
              </w:tc>
              <w:tc>
                <w:tcPr>
                  <w:tcW w:w="1712" w:type="dxa"/>
                  <w:noWrap w:val="0"/>
                  <w:vAlign w:val="center"/>
                </w:tcPr>
                <w:p w14:paraId="7E35D9CA">
                  <w:pPr>
                    <w:tabs>
                      <w:tab w:val="left" w:pos="2418"/>
                      <w:tab w:val="left" w:pos="4203"/>
                      <w:tab w:val="left" w:pos="5708"/>
                      <w:tab w:val="left" w:pos="7213"/>
                      <w:tab w:val="left" w:pos="8718"/>
                    </w:tabs>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2123.75</w:t>
                  </w:r>
                </w:p>
              </w:tc>
              <w:tc>
                <w:tcPr>
                  <w:tcW w:w="2499" w:type="dxa"/>
                  <w:noWrap w:val="0"/>
                  <w:vAlign w:val="center"/>
                </w:tcPr>
                <w:p w14:paraId="775401C6">
                  <w:pPr>
                    <w:tabs>
                      <w:tab w:val="left" w:pos="2418"/>
                      <w:tab w:val="left" w:pos="4203"/>
                      <w:tab w:val="left" w:pos="5708"/>
                      <w:tab w:val="left" w:pos="7213"/>
                      <w:tab w:val="left" w:pos="8718"/>
                    </w:tabs>
                    <w:adjustRightInd w:val="0"/>
                    <w:snapToGrid w:val="0"/>
                    <w:jc w:val="center"/>
                    <w:rPr>
                      <w:rFonts w:hint="eastAsia"/>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山茱萸饮品</w:t>
                  </w:r>
                </w:p>
              </w:tc>
              <w:tc>
                <w:tcPr>
                  <w:tcW w:w="1856" w:type="dxa"/>
                  <w:noWrap w:val="0"/>
                  <w:vAlign w:val="center"/>
                </w:tcPr>
                <w:p w14:paraId="3C88FBFF">
                  <w:pPr>
                    <w:tabs>
                      <w:tab w:val="left" w:pos="615"/>
                    </w:tabs>
                    <w:adjustRightInd w:val="0"/>
                    <w:snapToGrid w:val="0"/>
                    <w:jc w:val="center"/>
                    <w:rPr>
                      <w:rFonts w:hint="default" w:eastAsia="宋体"/>
                      <w:bCs/>
                      <w:color w:val="auto"/>
                      <w:szCs w:val="21"/>
                      <w:highlight w:val="none"/>
                      <w:lang w:val="en-US" w:eastAsia="zh-CN"/>
                    </w:rPr>
                  </w:pPr>
                  <w:r>
                    <w:rPr>
                      <w:rFonts w:hint="eastAsia" w:eastAsia="宋体"/>
                      <w:bCs/>
                      <w:color w:val="auto"/>
                      <w:kern w:val="2"/>
                      <w:sz w:val="21"/>
                      <w:szCs w:val="21"/>
                      <w:highlight w:val="none"/>
                      <w:lang w:val="en-US" w:eastAsia="zh-CN" w:bidi="ar-SA"/>
                    </w:rPr>
                    <w:t>670.13</w:t>
                  </w:r>
                </w:p>
              </w:tc>
            </w:tr>
            <w:tr w14:paraId="7B5A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4" w:type="dxa"/>
                  <w:noWrap w:val="0"/>
                  <w:vAlign w:val="center"/>
                </w:tcPr>
                <w:p w14:paraId="51277C0B">
                  <w:pPr>
                    <w:tabs>
                      <w:tab w:val="left" w:pos="2418"/>
                      <w:tab w:val="left" w:pos="4203"/>
                      <w:tab w:val="left" w:pos="5708"/>
                      <w:tab w:val="left" w:pos="7213"/>
                      <w:tab w:val="left" w:pos="8718"/>
                    </w:tabs>
                    <w:adjustRightInd w:val="0"/>
                    <w:snapToGrid w:val="0"/>
                    <w:jc w:val="center"/>
                    <w:rPr>
                      <w:bCs/>
                      <w:color w:val="auto"/>
                      <w:szCs w:val="21"/>
                      <w:highlight w:val="none"/>
                    </w:rPr>
                  </w:pPr>
                  <w:r>
                    <w:rPr>
                      <w:rFonts w:hint="eastAsia"/>
                      <w:bCs/>
                      <w:color w:val="auto"/>
                      <w:szCs w:val="21"/>
                      <w:highlight w:val="none"/>
                    </w:rPr>
                    <w:t>水（仅为工艺用水）</w:t>
                  </w:r>
                </w:p>
              </w:tc>
              <w:tc>
                <w:tcPr>
                  <w:tcW w:w="1712" w:type="dxa"/>
                  <w:noWrap w:val="0"/>
                  <w:vAlign w:val="center"/>
                </w:tcPr>
                <w:p w14:paraId="5197054F">
                  <w:pPr>
                    <w:tabs>
                      <w:tab w:val="left" w:pos="2418"/>
                      <w:tab w:val="left" w:pos="4203"/>
                      <w:tab w:val="left" w:pos="5708"/>
                      <w:tab w:val="left" w:pos="7213"/>
                      <w:tab w:val="left" w:pos="8718"/>
                    </w:tabs>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10</w:t>
                  </w:r>
                </w:p>
              </w:tc>
              <w:tc>
                <w:tcPr>
                  <w:tcW w:w="2499" w:type="dxa"/>
                  <w:noWrap w:val="0"/>
                  <w:vAlign w:val="center"/>
                </w:tcPr>
                <w:p w14:paraId="4E9DB4F9">
                  <w:pPr>
                    <w:tabs>
                      <w:tab w:val="left" w:pos="615"/>
                    </w:tabs>
                    <w:snapToGrid w:val="0"/>
                    <w:spacing w:before="24" w:beforeLines="10" w:after="24" w:afterLines="10"/>
                    <w:jc w:val="center"/>
                    <w:rPr>
                      <w:rFonts w:hint="eastAsia"/>
                      <w:bCs/>
                      <w:color w:val="auto"/>
                      <w:kern w:val="2"/>
                      <w:sz w:val="21"/>
                      <w:szCs w:val="21"/>
                      <w:highlight w:val="none"/>
                      <w:lang w:val="en-US" w:eastAsia="zh-CN" w:bidi="ar-SA"/>
                    </w:rPr>
                  </w:pPr>
                  <w:r>
                    <w:rPr>
                      <w:rFonts w:hint="eastAsia"/>
                      <w:bCs/>
                      <w:color w:val="auto"/>
                      <w:szCs w:val="21"/>
                      <w:highlight w:val="none"/>
                    </w:rPr>
                    <w:t>茱萸酒</w:t>
                  </w:r>
                </w:p>
              </w:tc>
              <w:tc>
                <w:tcPr>
                  <w:tcW w:w="1856" w:type="dxa"/>
                  <w:noWrap w:val="0"/>
                  <w:vAlign w:val="center"/>
                </w:tcPr>
                <w:p w14:paraId="05B1787D">
                  <w:pPr>
                    <w:tabs>
                      <w:tab w:val="left" w:pos="2418"/>
                      <w:tab w:val="left" w:pos="4203"/>
                      <w:tab w:val="left" w:pos="5708"/>
                      <w:tab w:val="left" w:pos="7213"/>
                      <w:tab w:val="left" w:pos="8718"/>
                    </w:tabs>
                    <w:adjustRightInd w:val="0"/>
                    <w:snapToGrid w:val="0"/>
                    <w:jc w:val="center"/>
                    <w:rPr>
                      <w:rFonts w:hint="default" w:eastAsia="宋体"/>
                      <w:bCs/>
                      <w:color w:val="auto"/>
                      <w:kern w:val="2"/>
                      <w:sz w:val="21"/>
                      <w:szCs w:val="21"/>
                      <w:highlight w:val="none"/>
                      <w:lang w:val="en-US" w:eastAsia="zh-CN" w:bidi="ar-SA"/>
                    </w:rPr>
                  </w:pPr>
                  <w:r>
                    <w:rPr>
                      <w:rFonts w:hint="eastAsia" w:eastAsia="宋体"/>
                      <w:bCs/>
                      <w:color w:val="auto"/>
                      <w:kern w:val="2"/>
                      <w:sz w:val="21"/>
                      <w:szCs w:val="21"/>
                      <w:highlight w:val="none"/>
                      <w:lang w:val="en-US" w:eastAsia="zh-CN" w:bidi="ar-SA"/>
                    </w:rPr>
                    <w:t>670.12</w:t>
                  </w:r>
                </w:p>
              </w:tc>
            </w:tr>
            <w:tr w14:paraId="0B60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034" w:type="dxa"/>
                  <w:noWrap w:val="0"/>
                  <w:vAlign w:val="center"/>
                </w:tcPr>
                <w:p w14:paraId="53FDC34B">
                  <w:pPr>
                    <w:tabs>
                      <w:tab w:val="left" w:pos="2418"/>
                      <w:tab w:val="left" w:pos="4203"/>
                      <w:tab w:val="left" w:pos="5708"/>
                      <w:tab w:val="left" w:pos="7213"/>
                      <w:tab w:val="left" w:pos="8718"/>
                    </w:tabs>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食用酒</w:t>
                  </w:r>
                </w:p>
              </w:tc>
              <w:tc>
                <w:tcPr>
                  <w:tcW w:w="1712" w:type="dxa"/>
                  <w:noWrap w:val="0"/>
                  <w:vAlign w:val="center"/>
                </w:tcPr>
                <w:p w14:paraId="6F370F08">
                  <w:pPr>
                    <w:tabs>
                      <w:tab w:val="left" w:pos="2418"/>
                      <w:tab w:val="left" w:pos="4203"/>
                      <w:tab w:val="left" w:pos="5708"/>
                      <w:tab w:val="left" w:pos="7213"/>
                      <w:tab w:val="left" w:pos="8718"/>
                    </w:tabs>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30</w:t>
                  </w:r>
                </w:p>
              </w:tc>
              <w:tc>
                <w:tcPr>
                  <w:tcW w:w="2499" w:type="dxa"/>
                  <w:noWrap w:val="0"/>
                  <w:vAlign w:val="center"/>
                </w:tcPr>
                <w:p w14:paraId="334D6AE8">
                  <w:pPr>
                    <w:tabs>
                      <w:tab w:val="left" w:pos="2418"/>
                      <w:tab w:val="left" w:pos="4203"/>
                      <w:tab w:val="left" w:pos="5708"/>
                      <w:tab w:val="left" w:pos="7213"/>
                      <w:tab w:val="left" w:pos="8718"/>
                    </w:tabs>
                    <w:adjustRightInd w:val="0"/>
                    <w:snapToGrid w:val="0"/>
                    <w:jc w:val="center"/>
                    <w:rPr>
                      <w:rFonts w:hint="eastAsia" w:eastAsia="宋体"/>
                      <w:bCs/>
                      <w:color w:val="auto"/>
                      <w:kern w:val="2"/>
                      <w:sz w:val="21"/>
                      <w:szCs w:val="21"/>
                      <w:highlight w:val="none"/>
                      <w:lang w:val="en-US" w:eastAsia="zh-CN" w:bidi="ar-SA"/>
                    </w:rPr>
                  </w:pPr>
                  <w:r>
                    <w:rPr>
                      <w:rFonts w:hint="eastAsia" w:eastAsia="宋体"/>
                      <w:bCs/>
                      <w:color w:val="auto"/>
                      <w:szCs w:val="21"/>
                      <w:highlight w:val="none"/>
                      <w:lang w:eastAsia="zh-CN"/>
                    </w:rPr>
                    <w:t>山茱萸醋</w:t>
                  </w:r>
                </w:p>
              </w:tc>
              <w:tc>
                <w:tcPr>
                  <w:tcW w:w="1856" w:type="dxa"/>
                  <w:noWrap w:val="0"/>
                  <w:vAlign w:val="center"/>
                </w:tcPr>
                <w:p w14:paraId="5ABCFC79">
                  <w:pPr>
                    <w:tabs>
                      <w:tab w:val="left" w:pos="2418"/>
                      <w:tab w:val="left" w:pos="4203"/>
                      <w:tab w:val="left" w:pos="5708"/>
                      <w:tab w:val="left" w:pos="7213"/>
                      <w:tab w:val="left" w:pos="8718"/>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893.5</w:t>
                  </w:r>
                </w:p>
              </w:tc>
            </w:tr>
            <w:tr w14:paraId="1CA9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034" w:type="dxa"/>
                  <w:noWrap w:val="0"/>
                  <w:vAlign w:val="center"/>
                </w:tcPr>
                <w:p w14:paraId="71E1EA02">
                  <w:pPr>
                    <w:tabs>
                      <w:tab w:val="left" w:pos="2418"/>
                      <w:tab w:val="left" w:pos="4203"/>
                      <w:tab w:val="left" w:pos="5708"/>
                      <w:tab w:val="left" w:pos="7213"/>
                      <w:tab w:val="left" w:pos="8718"/>
                    </w:tabs>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食用醋</w:t>
                  </w:r>
                </w:p>
              </w:tc>
              <w:tc>
                <w:tcPr>
                  <w:tcW w:w="1712" w:type="dxa"/>
                  <w:noWrap w:val="0"/>
                  <w:vAlign w:val="center"/>
                </w:tcPr>
                <w:p w14:paraId="075E37D9">
                  <w:pPr>
                    <w:tabs>
                      <w:tab w:val="left" w:pos="2418"/>
                      <w:tab w:val="left" w:pos="4203"/>
                      <w:tab w:val="left" w:pos="5708"/>
                      <w:tab w:val="left" w:pos="7213"/>
                      <w:tab w:val="left" w:pos="8718"/>
                    </w:tabs>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40</w:t>
                  </w:r>
                </w:p>
              </w:tc>
              <w:tc>
                <w:tcPr>
                  <w:tcW w:w="2499" w:type="dxa"/>
                  <w:noWrap w:val="0"/>
                  <w:vAlign w:val="center"/>
                </w:tcPr>
                <w:p w14:paraId="0F602F85">
                  <w:pPr>
                    <w:tabs>
                      <w:tab w:val="left" w:pos="2418"/>
                      <w:tab w:val="left" w:pos="4203"/>
                      <w:tab w:val="left" w:pos="5708"/>
                      <w:tab w:val="left" w:pos="7213"/>
                      <w:tab w:val="left" w:pos="8718"/>
                    </w:tabs>
                    <w:adjustRightInd w:val="0"/>
                    <w:snapToGrid w:val="0"/>
                    <w:jc w:val="center"/>
                    <w:rPr>
                      <w:rFonts w:hint="default" w:eastAsia="宋体"/>
                      <w:bCs/>
                      <w:color w:val="auto"/>
                      <w:kern w:val="2"/>
                      <w:sz w:val="21"/>
                      <w:szCs w:val="21"/>
                      <w:highlight w:val="none"/>
                      <w:lang w:val="en-US" w:eastAsia="zh-CN" w:bidi="ar-SA"/>
                    </w:rPr>
                  </w:pPr>
                  <w:r>
                    <w:rPr>
                      <w:rFonts w:hint="eastAsia" w:eastAsia="宋体"/>
                      <w:bCs/>
                      <w:color w:val="auto"/>
                      <w:szCs w:val="21"/>
                      <w:highlight w:val="none"/>
                      <w:lang w:val="en-US" w:eastAsia="zh-CN"/>
                    </w:rPr>
                    <w:t>/</w:t>
                  </w:r>
                </w:p>
              </w:tc>
              <w:tc>
                <w:tcPr>
                  <w:tcW w:w="1856" w:type="dxa"/>
                  <w:noWrap w:val="0"/>
                  <w:vAlign w:val="center"/>
                </w:tcPr>
                <w:p w14:paraId="2E7FAA82">
                  <w:pPr>
                    <w:tabs>
                      <w:tab w:val="left" w:pos="2418"/>
                      <w:tab w:val="left" w:pos="4203"/>
                      <w:tab w:val="left" w:pos="5708"/>
                      <w:tab w:val="left" w:pos="7213"/>
                      <w:tab w:val="left" w:pos="8718"/>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w:t>
                  </w:r>
                </w:p>
              </w:tc>
            </w:tr>
            <w:tr w14:paraId="6DB5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034" w:type="dxa"/>
                  <w:noWrap w:val="0"/>
                  <w:vAlign w:val="center"/>
                </w:tcPr>
                <w:p w14:paraId="0D7550DA">
                  <w:pPr>
                    <w:tabs>
                      <w:tab w:val="left" w:pos="2418"/>
                      <w:tab w:val="left" w:pos="4203"/>
                      <w:tab w:val="left" w:pos="5708"/>
                      <w:tab w:val="left" w:pos="7213"/>
                      <w:tab w:val="left" w:pos="8718"/>
                    </w:tabs>
                    <w:adjustRightInd w:val="0"/>
                    <w:snapToGrid w:val="0"/>
                    <w:jc w:val="center"/>
                    <w:rPr>
                      <w:rFonts w:hint="eastAsia" w:eastAsia="宋体"/>
                      <w:bCs/>
                      <w:color w:val="auto"/>
                      <w:szCs w:val="21"/>
                      <w:highlight w:val="none"/>
                      <w:lang w:val="en-US" w:eastAsia="zh-CN"/>
                    </w:rPr>
                  </w:pPr>
                  <w:r>
                    <w:rPr>
                      <w:rFonts w:hint="eastAsia" w:eastAsia="宋体"/>
                      <w:color w:val="auto"/>
                      <w:szCs w:val="21"/>
                      <w:highlight w:val="none"/>
                      <w:lang w:eastAsia="zh-CN"/>
                    </w:rPr>
                    <w:t>葡萄糖</w:t>
                  </w:r>
                </w:p>
              </w:tc>
              <w:tc>
                <w:tcPr>
                  <w:tcW w:w="1712" w:type="dxa"/>
                  <w:noWrap w:val="0"/>
                  <w:vAlign w:val="center"/>
                </w:tcPr>
                <w:p w14:paraId="5C87F185">
                  <w:pPr>
                    <w:tabs>
                      <w:tab w:val="left" w:pos="2418"/>
                      <w:tab w:val="left" w:pos="4203"/>
                      <w:tab w:val="left" w:pos="5708"/>
                      <w:tab w:val="left" w:pos="7213"/>
                      <w:tab w:val="left" w:pos="8718"/>
                    </w:tabs>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30</w:t>
                  </w:r>
                </w:p>
              </w:tc>
              <w:tc>
                <w:tcPr>
                  <w:tcW w:w="2499" w:type="dxa"/>
                  <w:noWrap w:val="0"/>
                  <w:vAlign w:val="center"/>
                </w:tcPr>
                <w:p w14:paraId="4E4DBEC3">
                  <w:pPr>
                    <w:tabs>
                      <w:tab w:val="left" w:pos="2418"/>
                      <w:tab w:val="left" w:pos="4203"/>
                      <w:tab w:val="left" w:pos="5708"/>
                      <w:tab w:val="left" w:pos="7213"/>
                      <w:tab w:val="left" w:pos="8718"/>
                    </w:tabs>
                    <w:adjustRightInd w:val="0"/>
                    <w:snapToGrid w:val="0"/>
                    <w:jc w:val="center"/>
                    <w:rPr>
                      <w:rFonts w:hint="default" w:eastAsia="宋体"/>
                      <w:bCs/>
                      <w:color w:val="auto"/>
                      <w:kern w:val="2"/>
                      <w:sz w:val="21"/>
                      <w:szCs w:val="21"/>
                      <w:highlight w:val="none"/>
                      <w:lang w:val="en-US" w:eastAsia="zh-CN" w:bidi="ar-SA"/>
                    </w:rPr>
                  </w:pPr>
                  <w:r>
                    <w:rPr>
                      <w:rFonts w:hint="eastAsia" w:eastAsia="宋体"/>
                      <w:bCs/>
                      <w:color w:val="auto"/>
                      <w:kern w:val="2"/>
                      <w:sz w:val="21"/>
                      <w:szCs w:val="21"/>
                      <w:highlight w:val="none"/>
                      <w:lang w:val="en-US" w:eastAsia="zh-CN" w:bidi="ar-SA"/>
                    </w:rPr>
                    <w:t>/</w:t>
                  </w:r>
                </w:p>
              </w:tc>
              <w:tc>
                <w:tcPr>
                  <w:tcW w:w="1856" w:type="dxa"/>
                  <w:noWrap w:val="0"/>
                  <w:vAlign w:val="center"/>
                </w:tcPr>
                <w:p w14:paraId="0D22898D">
                  <w:pPr>
                    <w:tabs>
                      <w:tab w:val="left" w:pos="2418"/>
                      <w:tab w:val="left" w:pos="4203"/>
                      <w:tab w:val="left" w:pos="5708"/>
                      <w:tab w:val="left" w:pos="7213"/>
                      <w:tab w:val="left" w:pos="8718"/>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w:t>
                  </w:r>
                </w:p>
              </w:tc>
            </w:tr>
            <w:tr w14:paraId="63A9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034" w:type="dxa"/>
                  <w:noWrap w:val="0"/>
                  <w:vAlign w:val="center"/>
                </w:tcPr>
                <w:p w14:paraId="1ACD05B8">
                  <w:pPr>
                    <w:tabs>
                      <w:tab w:val="left" w:pos="2418"/>
                      <w:tab w:val="left" w:pos="4203"/>
                      <w:tab w:val="left" w:pos="5708"/>
                      <w:tab w:val="left" w:pos="7213"/>
                      <w:tab w:val="left" w:pos="8718"/>
                    </w:tabs>
                    <w:adjustRightInd w:val="0"/>
                    <w:snapToGrid w:val="0"/>
                    <w:jc w:val="center"/>
                    <w:rPr>
                      <w:rFonts w:hint="default" w:eastAsia="宋体"/>
                      <w:color w:val="auto"/>
                      <w:szCs w:val="21"/>
                      <w:highlight w:val="none"/>
                      <w:lang w:val="en-US" w:eastAsia="zh-CN"/>
                    </w:rPr>
                  </w:pPr>
                  <w:r>
                    <w:rPr>
                      <w:rFonts w:hint="eastAsia"/>
                      <w:bCs/>
                      <w:color w:val="auto"/>
                      <w:szCs w:val="21"/>
                      <w:highlight w:val="none"/>
                    </w:rPr>
                    <w:t>合计</w:t>
                  </w:r>
                </w:p>
              </w:tc>
              <w:tc>
                <w:tcPr>
                  <w:tcW w:w="1712" w:type="dxa"/>
                  <w:noWrap w:val="0"/>
                  <w:vAlign w:val="center"/>
                </w:tcPr>
                <w:p w14:paraId="6F1907A0">
                  <w:pPr>
                    <w:tabs>
                      <w:tab w:val="left" w:pos="2418"/>
                      <w:tab w:val="left" w:pos="4203"/>
                      <w:tab w:val="left" w:pos="5708"/>
                      <w:tab w:val="left" w:pos="7213"/>
                      <w:tab w:val="left" w:pos="8718"/>
                    </w:tabs>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2233.75</w:t>
                  </w:r>
                </w:p>
              </w:tc>
              <w:tc>
                <w:tcPr>
                  <w:tcW w:w="2499" w:type="dxa"/>
                  <w:noWrap w:val="0"/>
                  <w:vAlign w:val="center"/>
                </w:tcPr>
                <w:p w14:paraId="050C037F">
                  <w:pPr>
                    <w:tabs>
                      <w:tab w:val="left" w:pos="2418"/>
                      <w:tab w:val="left" w:pos="4203"/>
                      <w:tab w:val="left" w:pos="5708"/>
                      <w:tab w:val="left" w:pos="7213"/>
                      <w:tab w:val="left" w:pos="8718"/>
                    </w:tabs>
                    <w:adjustRightInd w:val="0"/>
                    <w:snapToGri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w:t>
                  </w:r>
                </w:p>
              </w:tc>
              <w:tc>
                <w:tcPr>
                  <w:tcW w:w="1856" w:type="dxa"/>
                  <w:noWrap w:val="0"/>
                  <w:vAlign w:val="center"/>
                </w:tcPr>
                <w:p w14:paraId="1249F648">
                  <w:pPr>
                    <w:tabs>
                      <w:tab w:val="left" w:pos="2418"/>
                      <w:tab w:val="left" w:pos="4203"/>
                      <w:tab w:val="left" w:pos="5708"/>
                      <w:tab w:val="left" w:pos="7213"/>
                      <w:tab w:val="left" w:pos="8718"/>
                    </w:tabs>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2233.75</w:t>
                  </w:r>
                </w:p>
              </w:tc>
            </w:tr>
            <w:tr w14:paraId="26F9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101" w:type="dxa"/>
                  <w:gridSpan w:val="4"/>
                  <w:noWrap w:val="0"/>
                  <w:vAlign w:val="center"/>
                </w:tcPr>
                <w:p w14:paraId="0E0BFCC5">
                  <w:pPr>
                    <w:tabs>
                      <w:tab w:val="left" w:pos="2418"/>
                      <w:tab w:val="left" w:pos="4203"/>
                      <w:tab w:val="left" w:pos="5708"/>
                      <w:tab w:val="left" w:pos="7213"/>
                      <w:tab w:val="left" w:pos="8718"/>
                    </w:tabs>
                    <w:adjustRightInd w:val="0"/>
                    <w:snapToGrid w:val="0"/>
                    <w:jc w:val="center"/>
                    <w:rPr>
                      <w:rFonts w:hint="eastAsia"/>
                      <w:bCs/>
                      <w:color w:val="auto"/>
                      <w:szCs w:val="21"/>
                      <w:highlight w:val="none"/>
                      <w:lang w:val="en-US" w:eastAsia="zh-CN"/>
                    </w:rPr>
                  </w:pPr>
                  <w:r>
                    <w:rPr>
                      <w:rFonts w:hint="eastAsia"/>
                      <w:bCs/>
                      <w:color w:val="auto"/>
                      <w:szCs w:val="21"/>
                      <w:highlight w:val="none"/>
                      <w:lang w:val="en-US" w:eastAsia="zh-CN"/>
                    </w:rPr>
                    <w:t>备注：原料鲜果中含水率一并计入原料中核算</w:t>
                  </w:r>
                </w:p>
              </w:tc>
            </w:tr>
          </w:tbl>
          <w:p w14:paraId="4924A10D">
            <w:pPr>
              <w:pStyle w:val="3"/>
              <w:rPr>
                <w:color w:val="auto"/>
                <w:highlight w:val="none"/>
              </w:rPr>
            </w:pPr>
          </w:p>
          <w:p w14:paraId="4F7E5D46">
            <w:pPr>
              <w:rPr>
                <w:color w:val="auto"/>
                <w:highlight w:val="none"/>
              </w:rPr>
            </w:pPr>
          </w:p>
          <w:p w14:paraId="44CC39C3">
            <w:pPr>
              <w:pStyle w:val="8"/>
              <w:rPr>
                <w:color w:val="auto"/>
                <w:highlight w:val="none"/>
              </w:rPr>
            </w:pPr>
          </w:p>
          <w:p w14:paraId="32F6B73F">
            <w:pPr>
              <w:rPr>
                <w:color w:val="auto"/>
                <w:highlight w:val="none"/>
              </w:rPr>
            </w:pPr>
          </w:p>
          <w:p w14:paraId="23A2B099">
            <w:pPr>
              <w:pStyle w:val="8"/>
              <w:rPr>
                <w:color w:val="auto"/>
                <w:highlight w:val="none"/>
              </w:rPr>
            </w:pPr>
          </w:p>
          <w:p w14:paraId="1956BD67">
            <w:pPr>
              <w:rPr>
                <w:color w:val="auto"/>
                <w:highlight w:val="none"/>
              </w:rPr>
            </w:pPr>
          </w:p>
          <w:p w14:paraId="472B04DC">
            <w:pPr>
              <w:pStyle w:val="8"/>
              <w:ind w:left="0" w:leftChars="0" w:firstLine="0" w:firstLineChars="0"/>
              <w:rPr>
                <w:color w:val="auto"/>
                <w:highlight w:val="none"/>
              </w:rPr>
            </w:pPr>
          </w:p>
        </w:tc>
      </w:tr>
      <w:tr w14:paraId="5DBA9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1" w:hRule="atLeast"/>
          <w:jc w:val="center"/>
        </w:trPr>
        <w:tc>
          <w:tcPr>
            <w:tcW w:w="415" w:type="pct"/>
            <w:noWrap w:val="0"/>
            <w:vAlign w:val="center"/>
          </w:tcPr>
          <w:p w14:paraId="1E0782D5">
            <w:pPr>
              <w:pStyle w:val="25"/>
              <w:adjustRightInd w:val="0"/>
              <w:snapToGrid w:val="0"/>
              <w:spacing w:before="0" w:beforeAutospacing="0" w:after="0" w:afterAutospacing="0"/>
              <w:jc w:val="center"/>
              <w:rPr>
                <w:rFonts w:cs="宋体"/>
                <w:color w:val="auto"/>
                <w:sz w:val="21"/>
                <w:szCs w:val="21"/>
                <w:highlight w:val="none"/>
                <w:lang w:val="en-US" w:eastAsia="zh-CN"/>
              </w:rPr>
            </w:pPr>
            <w:r>
              <w:rPr>
                <w:rFonts w:hint="eastAsia" w:cs="宋体"/>
                <w:color w:val="auto"/>
                <w:sz w:val="21"/>
                <w:szCs w:val="21"/>
                <w:highlight w:val="none"/>
                <w:lang w:val="en-US" w:eastAsia="zh-CN"/>
              </w:rPr>
              <w:t>工艺流程和产排污环节</w:t>
            </w:r>
          </w:p>
        </w:tc>
        <w:tc>
          <w:tcPr>
            <w:tcW w:w="4585" w:type="pct"/>
            <w:noWrap w:val="0"/>
            <w:vAlign w:val="top"/>
          </w:tcPr>
          <w:p w14:paraId="30980946">
            <w:pPr>
              <w:pStyle w:val="44"/>
              <w:snapToGrid w:val="0"/>
              <w:spacing w:line="360" w:lineRule="auto"/>
              <w:ind w:firstLine="482" w:firstLineChars="200"/>
              <w:rPr>
                <w:rFonts w:hint="default" w:ascii="Times New Roman" w:hAnsi="Times New Roman"/>
                <w:b/>
                <w:bCs/>
                <w:color w:val="auto"/>
                <w:highlight w:val="none"/>
              </w:rPr>
            </w:pPr>
            <w:r>
              <w:rPr>
                <w:rFonts w:hint="default" w:ascii="Times New Roman" w:hAnsi="Times New Roman"/>
                <w:b/>
                <w:bCs/>
                <w:color w:val="auto"/>
                <w:highlight w:val="none"/>
              </w:rPr>
              <w:t>一、施工期</w:t>
            </w:r>
          </w:p>
          <w:p w14:paraId="6FDA1C88">
            <w:pPr>
              <w:adjustRightInd w:val="0"/>
              <w:snapToGrid w:val="0"/>
              <w:spacing w:line="360" w:lineRule="auto"/>
              <w:ind w:firstLine="482" w:firstLineChars="200"/>
              <w:rPr>
                <w:b/>
                <w:color w:val="auto"/>
                <w:sz w:val="24"/>
                <w:highlight w:val="none"/>
              </w:rPr>
            </w:pPr>
            <w:r>
              <w:rPr>
                <w:b/>
                <w:color w:val="auto"/>
                <w:sz w:val="24"/>
                <w:highlight w:val="none"/>
              </w:rPr>
              <w:t>1、工艺流程</w:t>
            </w:r>
          </w:p>
          <w:p w14:paraId="1CA710F1">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w:t>
            </w:r>
            <w:r>
              <w:rPr>
                <w:color w:val="auto"/>
                <w:sz w:val="24"/>
                <w:highlight w:val="none"/>
              </w:rPr>
              <w:t>施工</w:t>
            </w:r>
            <w:r>
              <w:rPr>
                <w:rFonts w:hint="eastAsia"/>
                <w:color w:val="auto"/>
                <w:sz w:val="24"/>
                <w:highlight w:val="none"/>
              </w:rPr>
              <w:t>期</w:t>
            </w:r>
            <w:r>
              <w:rPr>
                <w:color w:val="auto"/>
                <w:sz w:val="24"/>
                <w:highlight w:val="none"/>
              </w:rPr>
              <w:t>主要流程及产污环节见下图。</w:t>
            </w:r>
          </w:p>
          <w:p w14:paraId="2F36D7FC">
            <w:pPr>
              <w:adjustRightInd w:val="0"/>
              <w:snapToGrid w:val="0"/>
              <w:spacing w:line="360" w:lineRule="auto"/>
              <w:ind w:firstLine="420" w:firstLineChars="200"/>
              <w:rPr>
                <w:rFonts w:hint="eastAsia"/>
                <w:color w:val="auto"/>
                <w:sz w:val="24"/>
                <w:highlight w:val="none"/>
              </w:rPr>
            </w:pPr>
            <w:r>
              <w:rPr>
                <w:color w:val="auto"/>
                <w:highlight w:val="none"/>
              </w:rPr>
              <w:pict>
                <v:shape id="Object 6" o:spid="_x0000_s2201" o:spt="75" type="#_x0000_t75" style="position:absolute;left:0pt;margin-left:20pt;margin-top:10.7pt;height:187.85pt;width:367.8pt;z-index:251660288;mso-width-relative:page;mso-height-relative:page;" o:ole="t" filled="f" o:preferrelative="t" stroked="f" coordsize="21600,21600">
                  <v:path/>
                  <v:fill on="f" focussize="0,0"/>
                  <v:stroke on="f"/>
                  <v:imagedata r:id="rId14" o:title=""/>
                  <o:lock v:ext="edit" aspectratio="f"/>
                </v:shape>
                <o:OLEObject Type="Embed" ProgID="Visio.Drawing.11" ShapeID="Object 6" DrawAspect="Content" ObjectID="_1468075726" r:id="rId13">
                  <o:LockedField>false</o:LockedField>
                </o:OLEObject>
              </w:pict>
            </w:r>
          </w:p>
          <w:p w14:paraId="1EADB0DB">
            <w:pPr>
              <w:adjustRightInd w:val="0"/>
              <w:snapToGrid w:val="0"/>
              <w:spacing w:line="360" w:lineRule="auto"/>
              <w:ind w:firstLine="480" w:firstLineChars="200"/>
              <w:rPr>
                <w:rFonts w:hint="eastAsia"/>
                <w:color w:val="auto"/>
                <w:sz w:val="24"/>
                <w:highlight w:val="none"/>
              </w:rPr>
            </w:pPr>
          </w:p>
          <w:p w14:paraId="6F70AC86">
            <w:pPr>
              <w:adjustRightInd w:val="0"/>
              <w:snapToGrid w:val="0"/>
              <w:spacing w:line="360" w:lineRule="auto"/>
              <w:ind w:firstLine="480" w:firstLineChars="200"/>
              <w:rPr>
                <w:rFonts w:hint="eastAsia"/>
                <w:color w:val="auto"/>
                <w:sz w:val="24"/>
                <w:highlight w:val="none"/>
              </w:rPr>
            </w:pPr>
          </w:p>
          <w:p w14:paraId="73FDBBC8">
            <w:pPr>
              <w:adjustRightInd w:val="0"/>
              <w:snapToGrid w:val="0"/>
              <w:spacing w:line="360" w:lineRule="auto"/>
              <w:ind w:firstLine="482" w:firstLineChars="200"/>
              <w:rPr>
                <w:b/>
                <w:color w:val="auto"/>
                <w:sz w:val="24"/>
                <w:highlight w:val="none"/>
                <w:lang w:bidi="ar"/>
              </w:rPr>
            </w:pPr>
          </w:p>
          <w:p w14:paraId="136330DC">
            <w:pPr>
              <w:adjustRightInd w:val="0"/>
              <w:snapToGrid w:val="0"/>
              <w:spacing w:line="360" w:lineRule="auto"/>
              <w:ind w:firstLine="482" w:firstLineChars="200"/>
              <w:rPr>
                <w:b/>
                <w:color w:val="auto"/>
                <w:sz w:val="24"/>
                <w:highlight w:val="none"/>
                <w:lang w:bidi="ar"/>
              </w:rPr>
            </w:pPr>
          </w:p>
          <w:p w14:paraId="46CF4060">
            <w:pPr>
              <w:adjustRightInd w:val="0"/>
              <w:snapToGrid w:val="0"/>
              <w:spacing w:line="360" w:lineRule="auto"/>
              <w:ind w:firstLine="482" w:firstLineChars="200"/>
              <w:rPr>
                <w:b/>
                <w:color w:val="auto"/>
                <w:sz w:val="24"/>
                <w:highlight w:val="none"/>
                <w:lang w:bidi="ar"/>
              </w:rPr>
            </w:pPr>
          </w:p>
          <w:p w14:paraId="78A31C5B">
            <w:pPr>
              <w:adjustRightInd w:val="0"/>
              <w:snapToGrid w:val="0"/>
              <w:spacing w:line="360" w:lineRule="auto"/>
              <w:ind w:firstLine="482" w:firstLineChars="200"/>
              <w:rPr>
                <w:b/>
                <w:color w:val="auto"/>
                <w:sz w:val="24"/>
                <w:highlight w:val="none"/>
                <w:lang w:bidi="ar"/>
              </w:rPr>
            </w:pPr>
          </w:p>
          <w:p w14:paraId="66A8D0B1">
            <w:pPr>
              <w:adjustRightInd w:val="0"/>
              <w:snapToGrid w:val="0"/>
              <w:spacing w:line="360" w:lineRule="auto"/>
              <w:ind w:firstLine="482" w:firstLineChars="200"/>
              <w:rPr>
                <w:b/>
                <w:color w:val="auto"/>
                <w:sz w:val="24"/>
                <w:highlight w:val="none"/>
                <w:lang w:bidi="ar"/>
              </w:rPr>
            </w:pPr>
          </w:p>
          <w:p w14:paraId="0ED64C4E">
            <w:pPr>
              <w:adjustRightInd w:val="0"/>
              <w:snapToGrid w:val="0"/>
              <w:spacing w:line="360" w:lineRule="auto"/>
              <w:ind w:firstLine="482" w:firstLineChars="200"/>
              <w:rPr>
                <w:b/>
                <w:color w:val="auto"/>
                <w:sz w:val="24"/>
                <w:highlight w:val="none"/>
                <w:lang w:bidi="ar"/>
              </w:rPr>
            </w:pPr>
          </w:p>
          <w:p w14:paraId="46DED12B">
            <w:pPr>
              <w:adjustRightInd w:val="0"/>
              <w:snapToGrid w:val="0"/>
              <w:spacing w:line="360" w:lineRule="auto"/>
              <w:ind w:firstLine="482" w:firstLineChars="200"/>
              <w:rPr>
                <w:b/>
                <w:color w:val="auto"/>
                <w:sz w:val="24"/>
                <w:highlight w:val="none"/>
                <w:lang w:bidi="ar"/>
              </w:rPr>
            </w:pPr>
          </w:p>
          <w:p w14:paraId="3651CA61">
            <w:pPr>
              <w:adjustRightInd w:val="0"/>
              <w:snapToGrid w:val="0"/>
              <w:spacing w:line="360" w:lineRule="auto"/>
              <w:ind w:firstLine="422" w:firstLineChars="200"/>
              <w:jc w:val="center"/>
              <w:rPr>
                <w:b/>
                <w:color w:val="auto"/>
                <w:sz w:val="24"/>
                <w:highlight w:val="none"/>
                <w:lang w:bidi="ar"/>
              </w:rPr>
            </w:pPr>
            <w:r>
              <w:rPr>
                <w:b/>
                <w:bCs/>
                <w:color w:val="auto"/>
                <w:szCs w:val="21"/>
                <w:highlight w:val="none"/>
              </w:rPr>
              <w:t>图2-</w:t>
            </w:r>
            <w:r>
              <w:rPr>
                <w:rFonts w:hint="eastAsia"/>
                <w:b/>
                <w:bCs/>
                <w:color w:val="auto"/>
                <w:szCs w:val="21"/>
                <w:highlight w:val="none"/>
                <w:lang w:val="en-US" w:eastAsia="zh-CN"/>
              </w:rPr>
              <w:t>2</w:t>
            </w:r>
            <w:r>
              <w:rPr>
                <w:b/>
                <w:bCs/>
                <w:color w:val="auto"/>
                <w:szCs w:val="21"/>
                <w:highlight w:val="none"/>
              </w:rPr>
              <w:t xml:space="preserve">  </w:t>
            </w:r>
            <w:r>
              <w:rPr>
                <w:rFonts w:hint="eastAsia"/>
                <w:b/>
                <w:bCs/>
                <w:color w:val="auto"/>
                <w:szCs w:val="21"/>
                <w:highlight w:val="none"/>
                <w:lang w:eastAsia="zh-CN"/>
              </w:rPr>
              <w:t>项目</w:t>
            </w:r>
            <w:r>
              <w:rPr>
                <w:rFonts w:hint="eastAsia"/>
                <w:b/>
                <w:bCs/>
                <w:color w:val="auto"/>
                <w:szCs w:val="21"/>
                <w:highlight w:val="none"/>
              </w:rPr>
              <w:t>施工期工艺</w:t>
            </w:r>
            <w:r>
              <w:rPr>
                <w:b/>
                <w:bCs/>
                <w:color w:val="auto"/>
                <w:szCs w:val="21"/>
                <w:highlight w:val="none"/>
              </w:rPr>
              <w:t>流程及产污环节图</w:t>
            </w:r>
          </w:p>
          <w:p w14:paraId="3B80B4D1">
            <w:pPr>
              <w:adjustRightInd w:val="0"/>
              <w:snapToGrid w:val="0"/>
              <w:spacing w:line="360" w:lineRule="auto"/>
              <w:ind w:firstLine="482" w:firstLineChars="200"/>
              <w:rPr>
                <w:b/>
                <w:color w:val="auto"/>
                <w:sz w:val="24"/>
                <w:highlight w:val="none"/>
                <w:lang w:bidi="ar"/>
              </w:rPr>
            </w:pPr>
            <w:r>
              <w:rPr>
                <w:b/>
                <w:color w:val="auto"/>
                <w:sz w:val="24"/>
                <w:highlight w:val="none"/>
                <w:lang w:bidi="ar"/>
              </w:rPr>
              <w:t>2、主要产排污环节</w:t>
            </w:r>
          </w:p>
          <w:p w14:paraId="3711E8F0">
            <w:pPr>
              <w:pStyle w:val="44"/>
              <w:spacing w:line="360" w:lineRule="auto"/>
              <w:ind w:firstLine="480" w:firstLineChars="200"/>
              <w:rPr>
                <w:rFonts w:hint="default" w:ascii="Times New Roman"/>
                <w:color w:val="auto"/>
                <w:highlight w:val="none"/>
                <w:lang w:bidi="ar"/>
              </w:rPr>
            </w:pPr>
            <w:r>
              <w:rPr>
                <w:rFonts w:hint="default" w:ascii="Times New Roman"/>
                <w:color w:val="auto"/>
                <w:highlight w:val="none"/>
                <w:lang w:bidi="ar"/>
              </w:rPr>
              <w:t>（1）废气</w:t>
            </w:r>
          </w:p>
          <w:p w14:paraId="25BA6ECF">
            <w:pPr>
              <w:pStyle w:val="46"/>
              <w:spacing w:line="360" w:lineRule="auto"/>
              <w:ind w:left="0" w:firstLine="480" w:firstLineChars="200"/>
              <w:rPr>
                <w:rFonts w:ascii="Times New Roman"/>
                <w:b w:val="0"/>
                <w:bCs w:val="0"/>
                <w:color w:val="auto"/>
                <w:sz w:val="24"/>
                <w:szCs w:val="24"/>
                <w:highlight w:val="none"/>
                <w:lang w:bidi="ar"/>
              </w:rPr>
            </w:pPr>
            <w:r>
              <w:rPr>
                <w:rFonts w:hint="eastAsia" w:ascii="Times New Roman"/>
                <w:b w:val="0"/>
                <w:bCs w:val="0"/>
                <w:color w:val="auto"/>
                <w:sz w:val="24"/>
                <w:szCs w:val="24"/>
                <w:highlight w:val="none"/>
                <w:lang w:bidi="ar"/>
              </w:rPr>
              <w:t>主要为施工过</w:t>
            </w:r>
            <w:r>
              <w:rPr>
                <w:rFonts w:hint="eastAsia" w:ascii="Times New Roman"/>
                <w:b w:val="0"/>
                <w:bCs w:val="0"/>
                <w:color w:val="auto"/>
                <w:sz w:val="24"/>
                <w:szCs w:val="24"/>
                <w:highlight w:val="none"/>
                <w:lang w:eastAsia="zh-CN" w:bidi="ar"/>
              </w:rPr>
              <w:t>程中</w:t>
            </w:r>
            <w:r>
              <w:rPr>
                <w:rFonts w:hint="eastAsia" w:ascii="Times New Roman"/>
                <w:b w:val="0"/>
                <w:bCs w:val="0"/>
                <w:color w:val="auto"/>
                <w:sz w:val="24"/>
                <w:szCs w:val="24"/>
                <w:highlight w:val="none"/>
                <w:lang w:bidi="ar"/>
              </w:rPr>
              <w:t>产生的扬尘及汽车尾气。</w:t>
            </w:r>
          </w:p>
          <w:p w14:paraId="7395B91D">
            <w:pPr>
              <w:spacing w:line="360" w:lineRule="auto"/>
              <w:ind w:firstLine="480" w:firstLineChars="200"/>
              <w:rPr>
                <w:color w:val="auto"/>
                <w:sz w:val="24"/>
                <w:szCs w:val="32"/>
                <w:highlight w:val="none"/>
                <w:lang w:bidi="ar"/>
              </w:rPr>
            </w:pPr>
            <w:r>
              <w:rPr>
                <w:rFonts w:hint="eastAsia"/>
                <w:color w:val="auto"/>
                <w:sz w:val="24"/>
                <w:szCs w:val="32"/>
                <w:highlight w:val="none"/>
                <w:lang w:bidi="ar"/>
              </w:rPr>
              <w:t>（2）废水</w:t>
            </w:r>
          </w:p>
          <w:p w14:paraId="6C853E07">
            <w:pPr>
              <w:pStyle w:val="44"/>
              <w:spacing w:line="360" w:lineRule="auto"/>
              <w:ind w:firstLine="480" w:firstLineChars="200"/>
              <w:rPr>
                <w:rFonts w:ascii="Times New Roman"/>
                <w:color w:val="auto"/>
                <w:highlight w:val="none"/>
                <w:lang w:bidi="ar"/>
              </w:rPr>
            </w:pPr>
            <w:r>
              <w:rPr>
                <w:rFonts w:ascii="Times New Roman"/>
                <w:color w:val="auto"/>
                <w:highlight w:val="none"/>
                <w:lang w:bidi="ar"/>
              </w:rPr>
              <w:t>施工期废水主要包括生产废水及施工人员生活污水。</w:t>
            </w:r>
          </w:p>
          <w:p w14:paraId="38C85321">
            <w:pPr>
              <w:pStyle w:val="46"/>
              <w:spacing w:line="360" w:lineRule="auto"/>
              <w:ind w:left="0" w:firstLine="480" w:firstLineChars="200"/>
              <w:rPr>
                <w:rFonts w:ascii="Times New Roman"/>
                <w:b w:val="0"/>
                <w:bCs w:val="0"/>
                <w:color w:val="auto"/>
                <w:sz w:val="24"/>
                <w:szCs w:val="24"/>
                <w:highlight w:val="none"/>
                <w:lang w:bidi="ar"/>
              </w:rPr>
            </w:pPr>
            <w:r>
              <w:rPr>
                <w:rFonts w:hint="eastAsia" w:ascii="Times New Roman"/>
                <w:b w:val="0"/>
                <w:bCs w:val="0"/>
                <w:color w:val="auto"/>
                <w:sz w:val="24"/>
                <w:szCs w:val="24"/>
                <w:highlight w:val="none"/>
                <w:lang w:bidi="ar"/>
              </w:rPr>
              <w:t>（3）噪声</w:t>
            </w:r>
          </w:p>
          <w:p w14:paraId="7BC8219C">
            <w:pPr>
              <w:spacing w:line="360" w:lineRule="auto"/>
              <w:ind w:firstLine="480" w:firstLineChars="200"/>
              <w:rPr>
                <w:color w:val="auto"/>
                <w:sz w:val="24"/>
                <w:highlight w:val="none"/>
                <w:lang w:bidi="ar"/>
              </w:rPr>
            </w:pPr>
            <w:r>
              <w:rPr>
                <w:rFonts w:hint="eastAsia"/>
                <w:color w:val="auto"/>
                <w:sz w:val="24"/>
                <w:highlight w:val="none"/>
                <w:lang w:bidi="ar"/>
              </w:rPr>
              <w:t>施工期建筑施工噪声源主要是土建各类施工机械和运输汽车交通噪声。</w:t>
            </w:r>
          </w:p>
          <w:p w14:paraId="4A44AA9B">
            <w:pPr>
              <w:spacing w:line="360" w:lineRule="auto"/>
              <w:ind w:firstLine="480" w:firstLineChars="200"/>
              <w:rPr>
                <w:color w:val="auto"/>
                <w:sz w:val="24"/>
                <w:highlight w:val="none"/>
                <w:lang w:bidi="ar"/>
              </w:rPr>
            </w:pPr>
            <w:r>
              <w:rPr>
                <w:rFonts w:hint="eastAsia"/>
                <w:color w:val="auto"/>
                <w:sz w:val="24"/>
                <w:highlight w:val="none"/>
                <w:lang w:bidi="ar"/>
              </w:rPr>
              <w:t>（4）固废</w:t>
            </w:r>
          </w:p>
          <w:p w14:paraId="33BB91D7">
            <w:pPr>
              <w:pStyle w:val="44"/>
              <w:spacing w:line="360" w:lineRule="auto"/>
              <w:ind w:firstLine="480" w:firstLineChars="200"/>
              <w:rPr>
                <w:rFonts w:hint="default" w:ascii="Times New Roman"/>
                <w:color w:val="auto"/>
                <w:szCs w:val="24"/>
                <w:highlight w:val="none"/>
                <w:lang w:bidi="ar"/>
              </w:rPr>
            </w:pPr>
            <w:r>
              <w:rPr>
                <w:rFonts w:ascii="Times New Roman"/>
                <w:color w:val="auto"/>
                <w:szCs w:val="24"/>
                <w:highlight w:val="none"/>
                <w:lang w:bidi="ar"/>
              </w:rPr>
              <w:t>施工期固体废物主要有施工过程中挖出的土方，挖出的土方</w:t>
            </w:r>
            <w:r>
              <w:rPr>
                <w:rFonts w:hint="eastAsia" w:ascii="Times New Roman"/>
                <w:color w:val="auto"/>
                <w:szCs w:val="24"/>
                <w:highlight w:val="none"/>
                <w:lang w:eastAsia="zh-CN" w:bidi="ar"/>
              </w:rPr>
              <w:t>量</w:t>
            </w:r>
            <w:r>
              <w:rPr>
                <w:rFonts w:ascii="Times New Roman"/>
                <w:color w:val="auto"/>
                <w:szCs w:val="24"/>
                <w:highlight w:val="none"/>
                <w:lang w:bidi="ar"/>
              </w:rPr>
              <w:t>全部回填用于场地平整或厂内闲置空地绿化覆土</w:t>
            </w:r>
            <w:r>
              <w:rPr>
                <w:rFonts w:hint="eastAsia" w:ascii="Times New Roman"/>
                <w:color w:val="auto"/>
                <w:szCs w:val="24"/>
                <w:highlight w:val="none"/>
                <w:lang w:eastAsia="zh-CN" w:bidi="ar"/>
              </w:rPr>
              <w:t>，</w:t>
            </w:r>
            <w:r>
              <w:rPr>
                <w:rFonts w:ascii="Times New Roman"/>
                <w:color w:val="auto"/>
                <w:szCs w:val="24"/>
                <w:highlight w:val="none"/>
                <w:lang w:bidi="ar"/>
              </w:rPr>
              <w:t>能做到土方填挖平衡，无弃土产生。其他固体废物主要包括地表清理产生的杂草等杂物、施工人员产生的生活垃圾。</w:t>
            </w:r>
          </w:p>
          <w:p w14:paraId="5867D6F0">
            <w:pPr>
              <w:autoSpaceDE w:val="0"/>
              <w:autoSpaceDN w:val="0"/>
              <w:adjustRightInd w:val="0"/>
              <w:spacing w:line="360" w:lineRule="auto"/>
              <w:ind w:firstLine="482" w:firstLineChars="200"/>
              <w:rPr>
                <w:color w:val="auto"/>
                <w:kern w:val="0"/>
                <w:sz w:val="24"/>
                <w:highlight w:val="none"/>
              </w:rPr>
            </w:pPr>
            <w:r>
              <w:rPr>
                <w:b/>
                <w:bCs/>
                <w:color w:val="auto"/>
                <w:sz w:val="24"/>
                <w:highlight w:val="none"/>
              </w:rPr>
              <w:t>二、营运期</w:t>
            </w:r>
          </w:p>
          <w:p w14:paraId="3DEB310F">
            <w:pPr>
              <w:autoSpaceDE w:val="0"/>
              <w:autoSpaceDN w:val="0"/>
              <w:adjustRightInd w:val="0"/>
              <w:spacing w:line="360" w:lineRule="auto"/>
              <w:ind w:firstLine="480" w:firstLineChars="200"/>
              <w:rPr>
                <w:rFonts w:hint="eastAsia"/>
                <w:color w:val="auto"/>
                <w:sz w:val="24"/>
                <w:highlight w:val="none"/>
              </w:rPr>
            </w:pPr>
            <w:r>
              <w:rPr>
                <w:rFonts w:hint="eastAsia"/>
                <w:color w:val="auto"/>
                <w:sz w:val="24"/>
                <w:highlight w:val="none"/>
              </w:rPr>
              <w:t>本项目运营期各产品主要生产工艺流程及产污环节如下：</w:t>
            </w:r>
          </w:p>
          <w:p w14:paraId="7760B0E1">
            <w:pPr>
              <w:autoSpaceDE w:val="0"/>
              <w:autoSpaceDN w:val="0"/>
              <w:adjustRightInd w:val="0"/>
              <w:spacing w:line="360" w:lineRule="auto"/>
              <w:ind w:firstLine="480" w:firstLineChars="200"/>
              <w:rPr>
                <w:rFonts w:hint="eastAsia" w:eastAsia="宋体"/>
                <w:color w:val="auto"/>
                <w:sz w:val="24"/>
                <w:highlight w:val="none"/>
                <w:lang w:val="en-US" w:eastAsia="zh-CN"/>
              </w:rPr>
            </w:pPr>
            <w:r>
              <w:rPr>
                <w:rFonts w:hint="eastAsia"/>
                <w:color w:val="auto"/>
                <w:sz w:val="24"/>
                <w:highlight w:val="none"/>
                <w:lang w:val="en-US" w:eastAsia="zh-CN"/>
              </w:rPr>
              <w:t>1、山茱萸干果加工</w:t>
            </w:r>
          </w:p>
          <w:p w14:paraId="714A1862">
            <w:pPr>
              <w:pStyle w:val="43"/>
              <w:widowControl w:val="0"/>
              <w:numPr>
                <w:ilvl w:val="0"/>
                <w:numId w:val="0"/>
              </w:numPr>
              <w:autoSpaceDE w:val="0"/>
              <w:autoSpaceDN w:val="0"/>
              <w:adjustRightInd w:val="0"/>
              <w:rPr>
                <w:rFonts w:hint="eastAsia"/>
                <w:color w:val="auto"/>
                <w:highlight w:val="none"/>
              </w:rPr>
            </w:pPr>
          </w:p>
          <w:p w14:paraId="300AC2A9">
            <w:pPr>
              <w:pStyle w:val="43"/>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eastAsia"/>
                <w:color w:val="auto"/>
                <w:highlight w:val="none"/>
              </w:rPr>
            </w:pPr>
            <w:r>
              <w:rPr>
                <w:rFonts w:hint="eastAsia"/>
                <w:color w:val="auto"/>
                <w:highlight w:val="none"/>
              </w:rPr>
              <w:object>
                <v:shape id="_x0000_i1026" o:spt="75" type="#_x0000_t75" style="height:561pt;width:268.5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7" r:id="rId15">
                  <o:LockedField>false</o:LockedField>
                </o:OLEObject>
              </w:object>
            </w:r>
          </w:p>
          <w:p w14:paraId="3323379B">
            <w:pPr>
              <w:pStyle w:val="24"/>
              <w:adjustRightInd w:val="0"/>
              <w:snapToGrid w:val="0"/>
              <w:spacing w:line="360" w:lineRule="auto"/>
              <w:jc w:val="center"/>
              <w:rPr>
                <w:rFonts w:ascii="Times New Roman" w:eastAsia="宋体"/>
                <w:b/>
                <w:bCs/>
                <w:color w:val="auto"/>
                <w:sz w:val="21"/>
                <w:szCs w:val="21"/>
                <w:highlight w:val="none"/>
              </w:rPr>
            </w:pPr>
            <w:r>
              <w:rPr>
                <w:rFonts w:ascii="Times New Roman" w:eastAsia="宋体"/>
                <w:b/>
                <w:bCs/>
                <w:color w:val="auto"/>
                <w:sz w:val="21"/>
                <w:szCs w:val="21"/>
                <w:highlight w:val="none"/>
              </w:rPr>
              <w:t>图2-</w:t>
            </w:r>
            <w:r>
              <w:rPr>
                <w:rFonts w:hint="eastAsia" w:ascii="Times New Roman" w:eastAsia="宋体"/>
                <w:b/>
                <w:bCs/>
                <w:color w:val="auto"/>
                <w:sz w:val="21"/>
                <w:szCs w:val="21"/>
                <w:highlight w:val="none"/>
                <w:lang w:val="en-US" w:eastAsia="zh-CN"/>
              </w:rPr>
              <w:t>3</w:t>
            </w:r>
            <w:r>
              <w:rPr>
                <w:rFonts w:ascii="Times New Roman" w:eastAsia="宋体"/>
                <w:b/>
                <w:bCs/>
                <w:color w:val="auto"/>
                <w:sz w:val="21"/>
                <w:szCs w:val="21"/>
                <w:highlight w:val="none"/>
              </w:rPr>
              <w:t xml:space="preserve">  本项目</w:t>
            </w:r>
            <w:r>
              <w:rPr>
                <w:rFonts w:hint="eastAsia" w:ascii="Times New Roman" w:eastAsia="宋体"/>
                <w:b/>
                <w:bCs/>
                <w:color w:val="auto"/>
                <w:sz w:val="21"/>
                <w:szCs w:val="21"/>
                <w:highlight w:val="none"/>
                <w:lang w:eastAsia="zh-CN"/>
              </w:rPr>
              <w:t>山茱萸干果加工</w:t>
            </w:r>
            <w:r>
              <w:rPr>
                <w:rFonts w:ascii="Times New Roman" w:eastAsia="宋体"/>
                <w:b/>
                <w:bCs/>
                <w:color w:val="auto"/>
                <w:sz w:val="21"/>
                <w:szCs w:val="21"/>
                <w:highlight w:val="none"/>
              </w:rPr>
              <w:t>工艺流程及产污环节图</w:t>
            </w:r>
          </w:p>
          <w:p w14:paraId="15C16F4C">
            <w:pPr>
              <w:pStyle w:val="44"/>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eastAsia="宋体"/>
                <w:b/>
                <w:bCs/>
                <w:color w:val="auto"/>
                <w:highlight w:val="none"/>
                <w:lang w:eastAsia="zh-CN"/>
              </w:rPr>
            </w:pPr>
            <w:r>
              <w:rPr>
                <w:rFonts w:ascii="Times New Roman" w:hAnsi="Times New Roman"/>
                <w:b/>
                <w:bCs/>
                <w:color w:val="auto"/>
                <w:highlight w:val="none"/>
              </w:rPr>
              <w:t>工艺</w:t>
            </w:r>
            <w:r>
              <w:rPr>
                <w:rFonts w:hint="eastAsia" w:ascii="Times New Roman" w:hAnsi="Times New Roman"/>
                <w:b/>
                <w:bCs/>
                <w:color w:val="auto"/>
                <w:highlight w:val="none"/>
                <w:lang w:eastAsia="zh-CN"/>
              </w:rPr>
              <w:t>流程</w:t>
            </w:r>
            <w:r>
              <w:rPr>
                <w:rFonts w:ascii="Times New Roman" w:hAnsi="Times New Roman"/>
                <w:b/>
                <w:bCs/>
                <w:color w:val="auto"/>
                <w:highlight w:val="none"/>
              </w:rPr>
              <w:t>简述</w:t>
            </w:r>
            <w:r>
              <w:rPr>
                <w:rFonts w:hint="eastAsia" w:ascii="Times New Roman" w:hAnsi="Times New Roman"/>
                <w:b/>
                <w:bCs/>
                <w:color w:val="auto"/>
                <w:highlight w:val="none"/>
                <w:lang w:eastAsia="zh-CN"/>
              </w:rPr>
              <w:t>：</w:t>
            </w:r>
          </w:p>
          <w:p w14:paraId="68902972">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1</w:t>
            </w:r>
            <w:r>
              <w:rPr>
                <w:rFonts w:hint="eastAsia" w:ascii="Times New Roman" w:eastAsia="宋体"/>
                <w:color w:val="auto"/>
                <w:sz w:val="24"/>
                <w:highlight w:val="none"/>
              </w:rPr>
              <w:t>）</w:t>
            </w:r>
            <w:r>
              <w:rPr>
                <w:rFonts w:hint="eastAsia" w:ascii="Times New Roman" w:eastAsia="宋体"/>
                <w:color w:val="auto"/>
                <w:sz w:val="24"/>
                <w:highlight w:val="none"/>
                <w:lang w:eastAsia="zh-CN"/>
              </w:rPr>
              <w:t>鲜果清洗</w:t>
            </w:r>
          </w:p>
          <w:p w14:paraId="064E087C">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lang w:eastAsia="zh-CN"/>
              </w:rPr>
              <w:t>本项目采购新鲜符合要求（无霉烂、变质）的山茱萸鲜果，人工清洗去除表面灰尘后自然沥水晾干</w:t>
            </w:r>
            <w:r>
              <w:rPr>
                <w:rFonts w:hint="eastAsia" w:ascii="Times New Roman" w:eastAsia="宋体"/>
                <w:color w:val="auto"/>
                <w:sz w:val="24"/>
                <w:highlight w:val="none"/>
              </w:rPr>
              <w:t>。此工序产生的主要污染物为</w:t>
            </w:r>
            <w:r>
              <w:rPr>
                <w:rFonts w:hint="eastAsia" w:ascii="Times New Roman" w:eastAsia="宋体"/>
                <w:color w:val="auto"/>
                <w:sz w:val="24"/>
                <w:highlight w:val="none"/>
                <w:lang w:eastAsia="zh-CN"/>
              </w:rPr>
              <w:t>清洗</w:t>
            </w:r>
            <w:r>
              <w:rPr>
                <w:rFonts w:hint="eastAsia" w:ascii="Times New Roman" w:eastAsia="宋体"/>
                <w:color w:val="auto"/>
                <w:sz w:val="24"/>
                <w:highlight w:val="none"/>
              </w:rPr>
              <w:t>废水</w:t>
            </w:r>
            <w:r>
              <w:rPr>
                <w:rFonts w:hint="eastAsia" w:ascii="Times New Roman" w:eastAsia="宋体"/>
                <w:color w:val="auto"/>
                <w:sz w:val="24"/>
                <w:highlight w:val="none"/>
                <w:lang w:eastAsia="zh-CN"/>
              </w:rPr>
              <w:t>及噪声</w:t>
            </w:r>
            <w:r>
              <w:rPr>
                <w:rFonts w:hint="eastAsia" w:ascii="Times New Roman" w:eastAsia="宋体"/>
                <w:color w:val="auto"/>
                <w:sz w:val="24"/>
                <w:highlight w:val="none"/>
              </w:rPr>
              <w:t>。</w:t>
            </w:r>
          </w:p>
          <w:p w14:paraId="6F873D0F">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清洗废水及噪声</w:t>
            </w:r>
            <w:r>
              <w:rPr>
                <w:rFonts w:hint="eastAsia" w:ascii="Times New Roman" w:eastAsia="宋体"/>
                <w:color w:val="auto"/>
                <w:sz w:val="24"/>
                <w:highlight w:val="none"/>
              </w:rPr>
              <w:t>。</w:t>
            </w:r>
          </w:p>
          <w:p w14:paraId="185A0398">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2</w:t>
            </w:r>
            <w:r>
              <w:rPr>
                <w:rFonts w:hint="eastAsia" w:ascii="Times New Roman" w:eastAsia="宋体"/>
                <w:color w:val="auto"/>
                <w:sz w:val="24"/>
                <w:highlight w:val="none"/>
              </w:rPr>
              <w:t>）</w:t>
            </w:r>
            <w:r>
              <w:rPr>
                <w:rFonts w:hint="eastAsia" w:ascii="Times New Roman" w:eastAsia="宋体"/>
                <w:color w:val="auto"/>
                <w:sz w:val="24"/>
                <w:highlight w:val="none"/>
                <w:lang w:eastAsia="zh-CN"/>
              </w:rPr>
              <w:t>去核</w:t>
            </w:r>
          </w:p>
          <w:p w14:paraId="0F9C5F14">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将</w:t>
            </w:r>
            <w:r>
              <w:rPr>
                <w:rFonts w:hint="eastAsia" w:ascii="Times New Roman" w:eastAsia="宋体"/>
                <w:color w:val="auto"/>
                <w:sz w:val="24"/>
                <w:highlight w:val="none"/>
                <w:lang w:eastAsia="zh-CN"/>
              </w:rPr>
              <w:t>清洗后的山茱萸果进行自然晾干后采用机器去核。</w:t>
            </w:r>
          </w:p>
          <w:p w14:paraId="37B24F2B">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山茱萸核、噪声</w:t>
            </w:r>
          </w:p>
          <w:p w14:paraId="10197D7A">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3</w:t>
            </w:r>
            <w:r>
              <w:rPr>
                <w:rFonts w:hint="eastAsia" w:ascii="Times New Roman" w:eastAsia="宋体"/>
                <w:color w:val="auto"/>
                <w:sz w:val="24"/>
                <w:highlight w:val="none"/>
              </w:rPr>
              <w:t>）</w:t>
            </w:r>
            <w:r>
              <w:rPr>
                <w:rFonts w:hint="eastAsia" w:ascii="Times New Roman" w:eastAsia="宋体"/>
                <w:color w:val="auto"/>
                <w:sz w:val="24"/>
                <w:highlight w:val="none"/>
                <w:lang w:eastAsia="zh-CN"/>
              </w:rPr>
              <w:t>分级筛选</w:t>
            </w:r>
          </w:p>
          <w:p w14:paraId="00732902">
            <w:pPr>
              <w:pStyle w:val="24"/>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eastAsia="宋体"/>
                <w:color w:val="auto"/>
                <w:sz w:val="24"/>
                <w:highlight w:val="none"/>
                <w:lang w:eastAsia="zh-CN"/>
              </w:rPr>
              <w:t>去核后的山茱萸鲜果</w:t>
            </w:r>
            <w:r>
              <w:rPr>
                <w:rFonts w:hint="eastAsia" w:ascii="Times New Roman" w:hAnsi="Times New Roman" w:eastAsia="宋体" w:cs="Times New Roman"/>
                <w:color w:val="auto"/>
                <w:sz w:val="24"/>
                <w:highlight w:val="none"/>
                <w:lang w:eastAsia="zh-CN"/>
              </w:rPr>
              <w:t>经</w:t>
            </w:r>
            <w:r>
              <w:rPr>
                <w:rFonts w:hint="eastAsia" w:ascii="Times New Roman" w:hAnsi="Times New Roman" w:eastAsia="宋体" w:cs="Times New Roman"/>
                <w:color w:val="auto"/>
                <w:sz w:val="24"/>
                <w:highlight w:val="none"/>
                <w:lang w:val="en-US" w:eastAsia="zh-CN"/>
              </w:rPr>
              <w:t>高效振动清杂筛筛选出中上等果及次等果。</w:t>
            </w:r>
          </w:p>
          <w:p w14:paraId="0C600153">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筛选噪声及杂质</w:t>
            </w:r>
            <w:r>
              <w:rPr>
                <w:rFonts w:hint="eastAsia" w:ascii="Times New Roman" w:eastAsia="宋体"/>
                <w:color w:val="auto"/>
                <w:sz w:val="24"/>
                <w:highlight w:val="none"/>
              </w:rPr>
              <w:t>。</w:t>
            </w:r>
          </w:p>
          <w:p w14:paraId="78A97123">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4</w:t>
            </w:r>
            <w:r>
              <w:rPr>
                <w:rFonts w:hint="eastAsia" w:ascii="Times New Roman" w:eastAsia="宋体"/>
                <w:color w:val="auto"/>
                <w:sz w:val="24"/>
                <w:highlight w:val="none"/>
              </w:rPr>
              <w:t>）</w:t>
            </w:r>
            <w:r>
              <w:rPr>
                <w:rFonts w:hint="eastAsia" w:ascii="Times New Roman" w:eastAsia="宋体"/>
                <w:color w:val="auto"/>
                <w:sz w:val="24"/>
                <w:highlight w:val="none"/>
                <w:lang w:eastAsia="zh-CN"/>
              </w:rPr>
              <w:t>蒸干</w:t>
            </w:r>
          </w:p>
          <w:p w14:paraId="39450A02">
            <w:pPr>
              <w:pStyle w:val="24"/>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将筛选的中上等果经电蒸汽发生器进行蒸干锁水，蒸制时间控制在</w:t>
            </w:r>
            <w:r>
              <w:rPr>
                <w:rFonts w:hint="eastAsia" w:ascii="Times New Roman" w:hAnsi="Times New Roman" w:eastAsia="宋体" w:cs="Times New Roman"/>
                <w:color w:val="auto"/>
                <w:sz w:val="24"/>
                <w:highlight w:val="none"/>
                <w:lang w:val="en-US" w:eastAsia="zh-CN"/>
              </w:rPr>
              <w:t>5~7</w:t>
            </w:r>
            <w:r>
              <w:rPr>
                <w:rFonts w:hint="eastAsia" w:ascii="Times New Roman" w:hAnsi="Times New Roman" w:eastAsia="宋体" w:cs="Times New Roman"/>
                <w:color w:val="auto"/>
                <w:sz w:val="24"/>
                <w:highlight w:val="none"/>
                <w:lang w:eastAsia="zh-CN"/>
              </w:rPr>
              <w:t>分钟，温度为</w:t>
            </w:r>
            <w:r>
              <w:rPr>
                <w:rFonts w:hint="eastAsia" w:ascii="Times New Roman" w:hAnsi="Times New Roman" w:eastAsia="宋体" w:cs="Times New Roman"/>
                <w:color w:val="auto"/>
                <w:sz w:val="24"/>
                <w:highlight w:val="none"/>
                <w:lang w:val="en-US" w:eastAsia="zh-CN"/>
              </w:rPr>
              <w:t>95~100</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，确保有效成分及药用价值的保留。</w:t>
            </w:r>
          </w:p>
          <w:p w14:paraId="490F9221">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产污环节：噪声、</w:t>
            </w:r>
            <w:r>
              <w:rPr>
                <w:rFonts w:hint="eastAsia" w:ascii="Times New Roman" w:eastAsia="宋体"/>
                <w:color w:val="auto"/>
                <w:sz w:val="24"/>
                <w:highlight w:val="none"/>
                <w:lang w:eastAsia="zh-CN"/>
              </w:rPr>
              <w:t>异味</w:t>
            </w:r>
            <w:r>
              <w:rPr>
                <w:rFonts w:hint="eastAsia" w:ascii="Times New Roman" w:eastAsia="宋体"/>
                <w:color w:val="auto"/>
                <w:sz w:val="24"/>
                <w:highlight w:val="none"/>
              </w:rPr>
              <w:t>。</w:t>
            </w:r>
          </w:p>
          <w:p w14:paraId="65EDBC4E">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lang w:eastAsia="zh-CN"/>
              </w:rPr>
              <w:t>（</w:t>
            </w:r>
            <w:r>
              <w:rPr>
                <w:rFonts w:hint="eastAsia" w:ascii="Times New Roman" w:eastAsia="宋体"/>
                <w:color w:val="auto"/>
                <w:sz w:val="24"/>
                <w:highlight w:val="none"/>
                <w:lang w:val="en-US" w:eastAsia="zh-CN"/>
              </w:rPr>
              <w:t>5</w:t>
            </w:r>
            <w:r>
              <w:rPr>
                <w:rFonts w:hint="eastAsia" w:ascii="Times New Roman" w:eastAsia="宋体"/>
                <w:color w:val="auto"/>
                <w:sz w:val="24"/>
                <w:highlight w:val="none"/>
                <w:lang w:eastAsia="zh-CN"/>
              </w:rPr>
              <w:t>）冷却</w:t>
            </w:r>
          </w:p>
          <w:p w14:paraId="510A9B60">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lang w:val="en-US" w:eastAsia="zh-CN"/>
              </w:rPr>
              <w:t>将蒸制达到要求的山茱萸进行自然冷却。</w:t>
            </w:r>
          </w:p>
          <w:p w14:paraId="3C9E4EED">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6</w:t>
            </w:r>
            <w:r>
              <w:rPr>
                <w:rFonts w:hint="eastAsia" w:ascii="Times New Roman" w:eastAsia="宋体"/>
                <w:color w:val="auto"/>
                <w:sz w:val="24"/>
                <w:highlight w:val="none"/>
              </w:rPr>
              <w:t>）</w:t>
            </w:r>
            <w:r>
              <w:rPr>
                <w:rFonts w:hint="eastAsia" w:ascii="Times New Roman" w:eastAsia="宋体"/>
                <w:color w:val="auto"/>
                <w:sz w:val="24"/>
                <w:highlight w:val="none"/>
                <w:lang w:eastAsia="zh-CN"/>
              </w:rPr>
              <w:t>烘干</w:t>
            </w:r>
          </w:p>
          <w:p w14:paraId="2448B8B7">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将</w:t>
            </w:r>
            <w:r>
              <w:rPr>
                <w:rFonts w:hint="eastAsia" w:ascii="Times New Roman" w:eastAsia="宋体"/>
                <w:color w:val="auto"/>
                <w:sz w:val="24"/>
                <w:highlight w:val="none"/>
                <w:lang w:eastAsia="zh-CN"/>
              </w:rPr>
              <w:t>冷却后</w:t>
            </w:r>
            <w:r>
              <w:rPr>
                <w:rFonts w:hint="eastAsia" w:ascii="Times New Roman" w:eastAsia="宋体"/>
                <w:color w:val="auto"/>
                <w:sz w:val="24"/>
                <w:highlight w:val="none"/>
              </w:rPr>
              <w:t>的</w:t>
            </w:r>
            <w:r>
              <w:rPr>
                <w:rFonts w:hint="eastAsia" w:ascii="Times New Roman" w:eastAsia="宋体"/>
                <w:color w:val="auto"/>
                <w:sz w:val="24"/>
                <w:highlight w:val="none"/>
                <w:lang w:eastAsia="zh-CN"/>
              </w:rPr>
              <w:t>山茱萸</w:t>
            </w:r>
            <w:r>
              <w:rPr>
                <w:rFonts w:hint="eastAsia" w:ascii="Times New Roman" w:eastAsia="宋体"/>
                <w:color w:val="auto"/>
                <w:sz w:val="24"/>
                <w:highlight w:val="none"/>
              </w:rPr>
              <w:t>送入烘干房</w:t>
            </w:r>
            <w:r>
              <w:rPr>
                <w:rFonts w:hint="eastAsia" w:ascii="Times New Roman" w:eastAsia="宋体"/>
                <w:color w:val="auto"/>
                <w:sz w:val="24"/>
                <w:highlight w:val="none"/>
                <w:lang w:eastAsia="zh-CN"/>
              </w:rPr>
              <w:t>进行烘干</w:t>
            </w:r>
            <w:r>
              <w:rPr>
                <w:rFonts w:hint="eastAsia" w:ascii="Times New Roman" w:eastAsia="宋体"/>
                <w:color w:val="auto"/>
                <w:sz w:val="24"/>
                <w:highlight w:val="none"/>
              </w:rPr>
              <w:t>，</w:t>
            </w:r>
            <w:r>
              <w:rPr>
                <w:rFonts w:hint="default" w:ascii="Times New Roman" w:hAnsi="Times New Roman" w:eastAsia="宋体" w:cs="Times New Roman"/>
                <w:color w:val="auto"/>
                <w:sz w:val="24"/>
                <w:highlight w:val="none"/>
              </w:rPr>
              <w:t>温度约</w:t>
            </w:r>
            <w:r>
              <w:rPr>
                <w:rFonts w:hint="eastAsia" w:ascii="Times New Roman" w:hAnsi="Times New Roman" w:eastAsia="宋体" w:cs="Times New Roman"/>
                <w:color w:val="auto"/>
                <w:sz w:val="24"/>
                <w:highlight w:val="none"/>
                <w:lang w:val="en-US" w:eastAsia="zh-CN"/>
              </w:rPr>
              <w:t>95~110</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eastAsia="zh-CN"/>
              </w:rPr>
              <w:t>烘干</w:t>
            </w:r>
            <w:r>
              <w:rPr>
                <w:rFonts w:hint="default" w:ascii="Times New Roman" w:hAnsi="Times New Roman" w:eastAsia="宋体" w:cs="Times New Roman"/>
                <w:color w:val="auto"/>
                <w:sz w:val="24"/>
                <w:highlight w:val="none"/>
              </w:rPr>
              <w:t>时长为</w:t>
            </w:r>
            <w:r>
              <w:rPr>
                <w:rFonts w:hint="eastAsia" w:ascii="Times New Roman" w:hAnsi="Times New Roman" w:eastAsia="宋体" w:cs="Times New Roman"/>
                <w:color w:val="auto"/>
                <w:sz w:val="24"/>
                <w:highlight w:val="none"/>
                <w:lang w:val="en-US" w:eastAsia="zh-CN"/>
              </w:rPr>
              <w:t>6~7h，</w:t>
            </w:r>
            <w:r>
              <w:rPr>
                <w:rFonts w:hint="eastAsia" w:ascii="Times New Roman" w:eastAsia="宋体"/>
                <w:color w:val="auto"/>
                <w:sz w:val="24"/>
                <w:highlight w:val="none"/>
              </w:rPr>
              <w:t>本项目烘干环节采用的烘干房是全封闭式的，烘干设备使用</w:t>
            </w:r>
            <w:r>
              <w:rPr>
                <w:rFonts w:hint="eastAsia" w:ascii="Times New Roman" w:eastAsia="宋体"/>
                <w:color w:val="auto"/>
                <w:sz w:val="24"/>
                <w:highlight w:val="none"/>
                <w:lang w:eastAsia="zh-CN"/>
              </w:rPr>
              <w:t>电作</w:t>
            </w:r>
            <w:r>
              <w:rPr>
                <w:rFonts w:hint="eastAsia" w:ascii="Times New Roman" w:eastAsia="宋体"/>
                <w:color w:val="auto"/>
                <w:sz w:val="24"/>
                <w:highlight w:val="none"/>
              </w:rPr>
              <w:t>能源烘干</w:t>
            </w:r>
            <w:r>
              <w:rPr>
                <w:rFonts w:hint="eastAsia" w:ascii="Times New Roman" w:eastAsia="宋体"/>
                <w:color w:val="auto"/>
                <w:sz w:val="24"/>
                <w:highlight w:val="none"/>
                <w:lang w:eastAsia="zh-CN"/>
              </w:rPr>
              <w:t>山茱萸</w:t>
            </w:r>
            <w:r>
              <w:rPr>
                <w:rFonts w:hint="eastAsia" w:ascii="Times New Roman" w:eastAsia="宋体"/>
                <w:color w:val="auto"/>
                <w:sz w:val="24"/>
                <w:highlight w:val="none"/>
              </w:rPr>
              <w:t>果。</w:t>
            </w:r>
          </w:p>
          <w:p w14:paraId="741D173F">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烘干噪声</w:t>
            </w:r>
            <w:r>
              <w:rPr>
                <w:rFonts w:hint="eastAsia" w:ascii="Times New Roman" w:eastAsia="宋体"/>
                <w:color w:val="auto"/>
                <w:sz w:val="24"/>
                <w:highlight w:val="none"/>
              </w:rPr>
              <w:t>。</w:t>
            </w:r>
          </w:p>
          <w:p w14:paraId="717FDD86">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7</w:t>
            </w:r>
            <w:r>
              <w:rPr>
                <w:rFonts w:hint="eastAsia" w:ascii="Times New Roman" w:eastAsia="宋体"/>
                <w:color w:val="auto"/>
                <w:sz w:val="24"/>
                <w:highlight w:val="none"/>
              </w:rPr>
              <w:t>）</w:t>
            </w:r>
            <w:r>
              <w:rPr>
                <w:rFonts w:hint="eastAsia" w:ascii="Times New Roman" w:eastAsia="宋体"/>
                <w:color w:val="auto"/>
                <w:sz w:val="24"/>
                <w:highlight w:val="none"/>
                <w:lang w:eastAsia="zh-CN"/>
              </w:rPr>
              <w:t>色选分级</w:t>
            </w:r>
          </w:p>
          <w:p w14:paraId="76DB301A">
            <w:pPr>
              <w:pStyle w:val="46"/>
              <w:adjustRightInd w:val="0"/>
              <w:snapToGrid w:val="0"/>
              <w:spacing w:line="360" w:lineRule="auto"/>
              <w:ind w:left="0" w:firstLine="480" w:firstLineChars="200"/>
              <w:rPr>
                <w:rFonts w:hint="eastAsia" w:ascii="Times New Roman"/>
                <w:b w:val="0"/>
                <w:bCs w:val="0"/>
                <w:color w:val="auto"/>
                <w:sz w:val="24"/>
                <w:szCs w:val="24"/>
                <w:highlight w:val="none"/>
              </w:rPr>
            </w:pPr>
            <w:r>
              <w:rPr>
                <w:rFonts w:hint="eastAsia" w:ascii="Times New Roman"/>
                <w:b w:val="0"/>
                <w:bCs w:val="0"/>
                <w:color w:val="auto"/>
                <w:sz w:val="24"/>
                <w:szCs w:val="24"/>
                <w:highlight w:val="none"/>
              </w:rPr>
              <w:t>对</w:t>
            </w:r>
            <w:r>
              <w:rPr>
                <w:rFonts w:hint="eastAsia" w:ascii="Times New Roman"/>
                <w:b w:val="0"/>
                <w:bCs w:val="0"/>
                <w:color w:val="auto"/>
                <w:sz w:val="24"/>
                <w:szCs w:val="24"/>
                <w:highlight w:val="none"/>
                <w:lang w:eastAsia="zh-CN"/>
              </w:rPr>
              <w:t>烘干后</w:t>
            </w:r>
            <w:r>
              <w:rPr>
                <w:rFonts w:hint="eastAsia" w:ascii="Times New Roman"/>
                <w:b w:val="0"/>
                <w:bCs w:val="0"/>
                <w:color w:val="auto"/>
                <w:sz w:val="24"/>
                <w:szCs w:val="24"/>
                <w:highlight w:val="none"/>
              </w:rPr>
              <w:t>的</w:t>
            </w:r>
            <w:r>
              <w:rPr>
                <w:rFonts w:hint="eastAsia" w:ascii="Times New Roman"/>
                <w:b w:val="0"/>
                <w:bCs w:val="0"/>
                <w:color w:val="auto"/>
                <w:sz w:val="24"/>
                <w:szCs w:val="24"/>
                <w:highlight w:val="none"/>
                <w:lang w:eastAsia="zh-CN"/>
              </w:rPr>
              <w:t>山茱萸干果</w:t>
            </w:r>
            <w:r>
              <w:rPr>
                <w:rFonts w:hint="eastAsia" w:ascii="Times New Roman"/>
                <w:b w:val="0"/>
                <w:bCs w:val="0"/>
                <w:color w:val="auto"/>
                <w:sz w:val="24"/>
                <w:szCs w:val="24"/>
                <w:highlight w:val="none"/>
              </w:rPr>
              <w:t>进行</w:t>
            </w:r>
            <w:r>
              <w:rPr>
                <w:rFonts w:hint="eastAsia" w:ascii="Times New Roman"/>
                <w:b w:val="0"/>
                <w:bCs w:val="0"/>
                <w:color w:val="auto"/>
                <w:sz w:val="24"/>
                <w:szCs w:val="24"/>
                <w:highlight w:val="none"/>
                <w:lang w:eastAsia="zh-CN"/>
              </w:rPr>
              <w:t>色选，筛选出不同等级的干果</w:t>
            </w:r>
            <w:r>
              <w:rPr>
                <w:rFonts w:hint="eastAsia" w:ascii="Times New Roman"/>
                <w:b w:val="0"/>
                <w:bCs w:val="0"/>
                <w:color w:val="auto"/>
                <w:sz w:val="24"/>
                <w:szCs w:val="24"/>
                <w:highlight w:val="none"/>
              </w:rPr>
              <w:t>。将</w:t>
            </w:r>
            <w:r>
              <w:rPr>
                <w:rFonts w:hint="eastAsia" w:ascii="Times New Roman"/>
                <w:b w:val="0"/>
                <w:bCs w:val="0"/>
                <w:color w:val="auto"/>
                <w:sz w:val="24"/>
                <w:szCs w:val="24"/>
                <w:highlight w:val="none"/>
                <w:lang w:eastAsia="zh-CN"/>
              </w:rPr>
              <w:t>山茱萸</w:t>
            </w:r>
            <w:r>
              <w:rPr>
                <w:rFonts w:hint="eastAsia" w:ascii="Times New Roman"/>
                <w:b w:val="0"/>
                <w:bCs w:val="0"/>
                <w:color w:val="auto"/>
                <w:sz w:val="24"/>
                <w:szCs w:val="24"/>
                <w:highlight w:val="none"/>
              </w:rPr>
              <w:t>干果送入色选机中，由色选机去除残果、病果等杂质。</w:t>
            </w:r>
          </w:p>
          <w:p w14:paraId="10D906EE">
            <w:pPr>
              <w:pStyle w:val="46"/>
              <w:adjustRightInd w:val="0"/>
              <w:snapToGrid w:val="0"/>
              <w:spacing w:line="360" w:lineRule="auto"/>
              <w:ind w:left="0" w:firstLine="480" w:firstLineChars="200"/>
              <w:rPr>
                <w:rFonts w:hint="eastAsia" w:ascii="Times New Roman"/>
                <w:b w:val="0"/>
                <w:bCs w:val="0"/>
                <w:color w:val="auto"/>
                <w:sz w:val="24"/>
                <w:szCs w:val="24"/>
                <w:highlight w:val="none"/>
              </w:rPr>
            </w:pPr>
            <w:r>
              <w:rPr>
                <w:rFonts w:hint="eastAsia" w:ascii="Times New Roman"/>
                <w:b w:val="0"/>
                <w:bCs w:val="0"/>
                <w:color w:val="auto"/>
                <w:sz w:val="24"/>
                <w:szCs w:val="24"/>
                <w:highlight w:val="none"/>
              </w:rPr>
              <w:t>此工序产生的污染物主要为</w:t>
            </w:r>
            <w:r>
              <w:rPr>
                <w:rFonts w:hint="eastAsia" w:ascii="Times New Roman"/>
                <w:b w:val="0"/>
                <w:bCs w:val="0"/>
                <w:color w:val="auto"/>
                <w:sz w:val="24"/>
                <w:szCs w:val="24"/>
                <w:highlight w:val="none"/>
                <w:lang w:eastAsia="zh-CN"/>
              </w:rPr>
              <w:t>噪声和</w:t>
            </w:r>
            <w:r>
              <w:rPr>
                <w:rFonts w:hint="eastAsia" w:ascii="Times New Roman"/>
                <w:b w:val="0"/>
                <w:bCs w:val="0"/>
                <w:color w:val="auto"/>
                <w:sz w:val="24"/>
                <w:szCs w:val="24"/>
                <w:highlight w:val="none"/>
              </w:rPr>
              <w:t>一般工业固体废物。</w:t>
            </w:r>
          </w:p>
          <w:p w14:paraId="12D1C282">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8</w:t>
            </w:r>
            <w:r>
              <w:rPr>
                <w:rFonts w:hint="eastAsia" w:ascii="Times New Roman" w:eastAsia="宋体"/>
                <w:color w:val="auto"/>
                <w:sz w:val="24"/>
                <w:highlight w:val="none"/>
              </w:rPr>
              <w:t>）</w:t>
            </w:r>
            <w:r>
              <w:rPr>
                <w:rFonts w:hint="eastAsia" w:ascii="Times New Roman" w:eastAsia="宋体"/>
                <w:color w:val="auto"/>
                <w:sz w:val="24"/>
                <w:highlight w:val="none"/>
                <w:lang w:eastAsia="zh-CN"/>
              </w:rPr>
              <w:t>包装入库</w:t>
            </w:r>
          </w:p>
          <w:p w14:paraId="4634111B">
            <w:pPr>
              <w:pStyle w:val="24"/>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山茱萸干果送入包装车间进行包装，依据客户需求进行散装或精装包装，包装容器（袋）应用干燥、清洁、无异味并符合国家食品卫生要求的包装材料，包装要牢固、防潮、整洁、美观、无异味，能保持山茱萸的品质，便于装卸、仓储和运输，同时包装袋要完整、密封，防止包装袋破损引起的返潮、结块、褐变、生虫等。</w:t>
            </w:r>
          </w:p>
          <w:p w14:paraId="49DC1E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深加工产品</w:t>
            </w:r>
          </w:p>
          <w:p w14:paraId="288D0B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b/>
                <w:bCs/>
                <w:color w:val="auto"/>
                <w:highlight w:val="none"/>
              </w:rPr>
            </w:pPr>
            <w:r>
              <w:rPr>
                <w:rFonts w:ascii="Times New Roman" w:hAnsi="Times New Roman"/>
                <w:b/>
                <w:bCs/>
                <w:color w:val="auto"/>
                <w:highlight w:val="none"/>
              </w:rPr>
              <w:object>
                <v:shape id="_x0000_i1027" o:spt="75" type="#_x0000_t75" style="height:307.5pt;width:225.75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8" r:id="rId17">
                  <o:LockedField>false</o:LockedField>
                </o:OLEObject>
              </w:object>
            </w:r>
          </w:p>
          <w:p w14:paraId="0B8AA0A7">
            <w:pPr>
              <w:pStyle w:val="24"/>
              <w:adjustRightInd w:val="0"/>
              <w:snapToGrid w:val="0"/>
              <w:spacing w:line="360" w:lineRule="auto"/>
              <w:jc w:val="center"/>
              <w:rPr>
                <w:rFonts w:ascii="Times New Roman" w:eastAsia="宋体"/>
                <w:b/>
                <w:bCs/>
                <w:color w:val="auto"/>
                <w:sz w:val="21"/>
                <w:szCs w:val="21"/>
                <w:highlight w:val="none"/>
              </w:rPr>
            </w:pPr>
            <w:r>
              <w:rPr>
                <w:rFonts w:ascii="Times New Roman" w:eastAsia="宋体"/>
                <w:b/>
                <w:bCs/>
                <w:color w:val="auto"/>
                <w:sz w:val="21"/>
                <w:szCs w:val="21"/>
                <w:highlight w:val="none"/>
              </w:rPr>
              <w:t>图2-</w:t>
            </w:r>
            <w:r>
              <w:rPr>
                <w:rFonts w:hint="eastAsia" w:ascii="Times New Roman" w:eastAsia="宋体"/>
                <w:b/>
                <w:bCs/>
                <w:color w:val="auto"/>
                <w:sz w:val="21"/>
                <w:szCs w:val="21"/>
                <w:highlight w:val="none"/>
                <w:lang w:val="en-US" w:eastAsia="zh-CN"/>
              </w:rPr>
              <w:t>4</w:t>
            </w:r>
            <w:r>
              <w:rPr>
                <w:rFonts w:ascii="Times New Roman" w:eastAsia="宋体"/>
                <w:b/>
                <w:bCs/>
                <w:color w:val="auto"/>
                <w:sz w:val="21"/>
                <w:szCs w:val="21"/>
                <w:highlight w:val="none"/>
              </w:rPr>
              <w:t xml:space="preserve">  本项目</w:t>
            </w:r>
            <w:r>
              <w:rPr>
                <w:rFonts w:hint="eastAsia" w:ascii="Times New Roman" w:eastAsia="宋体"/>
                <w:b/>
                <w:bCs/>
                <w:color w:val="auto"/>
                <w:sz w:val="21"/>
                <w:szCs w:val="21"/>
                <w:highlight w:val="none"/>
                <w:lang w:eastAsia="zh-CN"/>
              </w:rPr>
              <w:t>山茱萸深加工</w:t>
            </w:r>
            <w:r>
              <w:rPr>
                <w:rFonts w:ascii="Times New Roman" w:eastAsia="宋体"/>
                <w:b/>
                <w:bCs/>
                <w:color w:val="auto"/>
                <w:sz w:val="21"/>
                <w:szCs w:val="21"/>
                <w:highlight w:val="none"/>
              </w:rPr>
              <w:t>工艺流程及产污环节图</w:t>
            </w:r>
          </w:p>
          <w:p w14:paraId="2ACBFF1C">
            <w:pPr>
              <w:pStyle w:val="44"/>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eastAsia="宋体"/>
                <w:b/>
                <w:bCs/>
                <w:color w:val="auto"/>
                <w:highlight w:val="none"/>
                <w:lang w:eastAsia="zh-CN"/>
              </w:rPr>
            </w:pPr>
            <w:r>
              <w:rPr>
                <w:rFonts w:ascii="Times New Roman" w:hAnsi="Times New Roman"/>
                <w:b/>
                <w:bCs/>
                <w:color w:val="auto"/>
                <w:highlight w:val="none"/>
              </w:rPr>
              <w:t>工艺</w:t>
            </w:r>
            <w:r>
              <w:rPr>
                <w:rFonts w:hint="eastAsia" w:ascii="Times New Roman" w:hAnsi="Times New Roman"/>
                <w:b/>
                <w:bCs/>
                <w:color w:val="auto"/>
                <w:highlight w:val="none"/>
                <w:lang w:eastAsia="zh-CN"/>
              </w:rPr>
              <w:t>流程</w:t>
            </w:r>
            <w:r>
              <w:rPr>
                <w:rFonts w:ascii="Times New Roman" w:hAnsi="Times New Roman"/>
                <w:b/>
                <w:bCs/>
                <w:color w:val="auto"/>
                <w:highlight w:val="none"/>
              </w:rPr>
              <w:t>简述</w:t>
            </w:r>
            <w:r>
              <w:rPr>
                <w:rFonts w:hint="eastAsia" w:ascii="Times New Roman" w:hAnsi="Times New Roman"/>
                <w:b/>
                <w:bCs/>
                <w:color w:val="auto"/>
                <w:highlight w:val="none"/>
                <w:lang w:eastAsia="zh-CN"/>
              </w:rPr>
              <w:t>：</w:t>
            </w:r>
          </w:p>
          <w:p w14:paraId="7EC13BC1">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1</w:t>
            </w:r>
            <w:r>
              <w:rPr>
                <w:rFonts w:hint="eastAsia" w:ascii="Times New Roman" w:eastAsia="宋体"/>
                <w:color w:val="auto"/>
                <w:sz w:val="24"/>
                <w:highlight w:val="none"/>
              </w:rPr>
              <w:t>）</w:t>
            </w:r>
            <w:r>
              <w:rPr>
                <w:rFonts w:hint="eastAsia" w:ascii="Times New Roman" w:eastAsia="宋体"/>
                <w:color w:val="auto"/>
                <w:sz w:val="24"/>
                <w:highlight w:val="none"/>
                <w:lang w:eastAsia="zh-CN"/>
              </w:rPr>
              <w:t>打浆</w:t>
            </w:r>
          </w:p>
          <w:p w14:paraId="04DDCF1A">
            <w:pPr>
              <w:pStyle w:val="46"/>
              <w:adjustRightInd w:val="0"/>
              <w:snapToGrid w:val="0"/>
              <w:spacing w:line="360" w:lineRule="auto"/>
              <w:ind w:left="0" w:firstLine="480" w:firstLineChars="200"/>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将</w:t>
            </w:r>
            <w:r>
              <w:rPr>
                <w:rFonts w:hint="default" w:ascii="Times New Roman" w:hAnsi="Times New Roman" w:eastAsia="宋体" w:cs="Times New Roman"/>
                <w:b w:val="0"/>
                <w:bCs w:val="0"/>
                <w:color w:val="auto"/>
                <w:sz w:val="24"/>
                <w:szCs w:val="24"/>
                <w:highlight w:val="none"/>
                <w:lang w:val="en-US" w:eastAsia="zh-CN"/>
              </w:rPr>
              <w:t>筛分出的</w:t>
            </w:r>
            <w:r>
              <w:rPr>
                <w:rFonts w:hint="eastAsia" w:ascii="Times New Roman" w:hAnsi="Times New Roman" w:eastAsia="宋体" w:cs="Times New Roman"/>
                <w:b w:val="0"/>
                <w:bCs w:val="0"/>
                <w:color w:val="auto"/>
                <w:sz w:val="24"/>
                <w:szCs w:val="24"/>
                <w:highlight w:val="none"/>
                <w:lang w:val="en-US" w:eastAsia="zh-CN"/>
              </w:rPr>
              <w:t>去核后的次</w:t>
            </w:r>
            <w:r>
              <w:rPr>
                <w:rFonts w:hint="default" w:ascii="Times New Roman" w:hAnsi="Times New Roman" w:eastAsia="宋体" w:cs="Times New Roman"/>
                <w:b w:val="0"/>
                <w:bCs w:val="0"/>
                <w:color w:val="auto"/>
                <w:sz w:val="24"/>
                <w:szCs w:val="24"/>
                <w:highlight w:val="none"/>
                <w:lang w:val="en-US" w:eastAsia="zh-CN"/>
              </w:rPr>
              <w:t>等果粉碎成</w:t>
            </w:r>
            <w:r>
              <w:rPr>
                <w:rFonts w:hint="eastAsia" w:ascii="Times New Roman" w:hAnsi="Times New Roman" w:eastAsia="宋体" w:cs="Times New Roman"/>
                <w:b w:val="0"/>
                <w:bCs w:val="0"/>
                <w:color w:val="auto"/>
                <w:sz w:val="24"/>
                <w:szCs w:val="24"/>
                <w:highlight w:val="none"/>
                <w:lang w:val="en-US" w:eastAsia="zh-CN"/>
              </w:rPr>
              <w:t>果</w:t>
            </w:r>
            <w:r>
              <w:rPr>
                <w:rFonts w:hint="default" w:ascii="Times New Roman" w:hAnsi="Times New Roman" w:eastAsia="宋体" w:cs="Times New Roman"/>
                <w:b w:val="0"/>
                <w:bCs w:val="0"/>
                <w:color w:val="auto"/>
                <w:sz w:val="24"/>
                <w:szCs w:val="24"/>
                <w:highlight w:val="none"/>
                <w:lang w:val="en-US" w:eastAsia="zh-CN"/>
              </w:rPr>
              <w:t>浆</w:t>
            </w:r>
            <w:r>
              <w:rPr>
                <w:rFonts w:hint="eastAsia" w:ascii="Times New Roman" w:hAnsi="Times New Roman" w:eastAsia="宋体" w:cs="Times New Roman"/>
                <w:b w:val="0"/>
                <w:bCs w:val="0"/>
                <w:color w:val="auto"/>
                <w:sz w:val="24"/>
                <w:szCs w:val="24"/>
                <w:highlight w:val="none"/>
              </w:rPr>
              <w:t>。</w:t>
            </w:r>
          </w:p>
          <w:p w14:paraId="7E8311D7">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产污环节：噪声。</w:t>
            </w:r>
          </w:p>
          <w:p w14:paraId="2D9AC350">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2</w:t>
            </w:r>
            <w:r>
              <w:rPr>
                <w:rFonts w:hint="eastAsia" w:ascii="Times New Roman" w:eastAsia="宋体"/>
                <w:color w:val="auto"/>
                <w:sz w:val="24"/>
                <w:highlight w:val="none"/>
              </w:rPr>
              <w:t>）</w:t>
            </w:r>
            <w:r>
              <w:rPr>
                <w:rFonts w:hint="eastAsia" w:ascii="Times New Roman" w:eastAsia="宋体"/>
                <w:color w:val="auto"/>
                <w:sz w:val="24"/>
                <w:highlight w:val="none"/>
                <w:lang w:eastAsia="zh-CN"/>
              </w:rPr>
              <w:t>杀菌</w:t>
            </w:r>
          </w:p>
          <w:p w14:paraId="44F6D815">
            <w:pPr>
              <w:pStyle w:val="24"/>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eastAsia="宋体"/>
                <w:color w:val="auto"/>
                <w:sz w:val="24"/>
                <w:highlight w:val="none"/>
                <w:lang w:eastAsia="zh-CN"/>
              </w:rPr>
              <w:t>使用巴氏消毒机对果浆进行适温杀菌，达到杀菌消毒的效果，装入控温储罐，巴氏消毒机使用电能</w:t>
            </w:r>
            <w:r>
              <w:rPr>
                <w:rFonts w:hint="eastAsia" w:ascii="Times New Roman" w:hAnsi="Times New Roman" w:eastAsia="宋体" w:cs="Times New Roman"/>
                <w:color w:val="auto"/>
                <w:sz w:val="24"/>
                <w:highlight w:val="none"/>
                <w:lang w:val="en-US" w:eastAsia="zh-CN"/>
              </w:rPr>
              <w:t>。</w:t>
            </w:r>
          </w:p>
          <w:p w14:paraId="03EF5A8B">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噪声</w:t>
            </w:r>
            <w:r>
              <w:rPr>
                <w:rFonts w:hint="eastAsia" w:ascii="Times New Roman" w:eastAsia="宋体"/>
                <w:color w:val="auto"/>
                <w:sz w:val="24"/>
                <w:highlight w:val="none"/>
              </w:rPr>
              <w:t>。</w:t>
            </w:r>
          </w:p>
          <w:p w14:paraId="2784B9BD">
            <w:pPr>
              <w:pStyle w:val="24"/>
              <w:numPr>
                <w:ilvl w:val="0"/>
                <w:numId w:val="10"/>
              </w:numPr>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lang w:eastAsia="zh-CN"/>
              </w:rPr>
              <w:t>罐装暂存</w:t>
            </w:r>
          </w:p>
          <w:p w14:paraId="7A5E82D7">
            <w:pPr>
              <w:pStyle w:val="24"/>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eastAsia="宋体"/>
                <w:color w:val="auto"/>
                <w:sz w:val="24"/>
                <w:highlight w:val="none"/>
                <w:lang w:eastAsia="zh-CN"/>
              </w:rPr>
              <w:t>将杀菌后的果浆装入密封罐中暂存</w:t>
            </w:r>
            <w:r>
              <w:rPr>
                <w:rFonts w:hint="eastAsia" w:ascii="Times New Roman" w:hAnsi="Times New Roman" w:eastAsia="宋体" w:cs="Times New Roman"/>
                <w:color w:val="auto"/>
                <w:sz w:val="24"/>
                <w:highlight w:val="none"/>
                <w:lang w:val="en-US" w:eastAsia="zh-CN"/>
              </w:rPr>
              <w:t>。</w:t>
            </w:r>
          </w:p>
          <w:p w14:paraId="3476D34D">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噪声</w:t>
            </w:r>
            <w:r>
              <w:rPr>
                <w:rFonts w:hint="eastAsia" w:ascii="Times New Roman" w:eastAsia="宋体"/>
                <w:color w:val="auto"/>
                <w:sz w:val="24"/>
                <w:highlight w:val="none"/>
              </w:rPr>
              <w:t>。</w:t>
            </w:r>
          </w:p>
          <w:p w14:paraId="3A52FC37">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lang w:eastAsia="zh-CN"/>
              </w:rPr>
              <w:t>（</w:t>
            </w:r>
            <w:r>
              <w:rPr>
                <w:rFonts w:hint="eastAsia" w:ascii="Times New Roman" w:eastAsia="宋体"/>
                <w:color w:val="auto"/>
                <w:sz w:val="24"/>
                <w:highlight w:val="none"/>
                <w:lang w:val="en-US" w:eastAsia="zh-CN"/>
              </w:rPr>
              <w:t>4</w:t>
            </w:r>
            <w:r>
              <w:rPr>
                <w:rFonts w:hint="eastAsia" w:ascii="Times New Roman" w:eastAsia="宋体"/>
                <w:color w:val="auto"/>
                <w:sz w:val="24"/>
                <w:highlight w:val="none"/>
                <w:lang w:eastAsia="zh-CN"/>
              </w:rPr>
              <w:t>）调制</w:t>
            </w:r>
          </w:p>
          <w:p w14:paraId="578772B6">
            <w:pPr>
              <w:pStyle w:val="24"/>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本项目根据产品需求，将灭菌后的山茱萸果浆按照一定的比例分别单独加入外购的成品食用葡萄糖、食用酒（白酒）、食用醋等分别调制成</w:t>
            </w:r>
            <w:r>
              <w:rPr>
                <w:rFonts w:hint="default" w:ascii="Times New Roman" w:hAnsi="Times New Roman" w:eastAsia="宋体" w:cs="Times New Roman"/>
                <w:color w:val="auto"/>
                <w:sz w:val="24"/>
                <w:highlight w:val="none"/>
                <w:lang w:val="en-US" w:eastAsia="zh-CN"/>
              </w:rPr>
              <w:t>山茱萸饮品</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山茱萸酒</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山茱萸醋</w:t>
            </w:r>
            <w:r>
              <w:rPr>
                <w:rFonts w:hint="eastAsia" w:ascii="Times New Roman" w:hAnsi="Times New Roman" w:eastAsia="宋体" w:cs="Times New Roman"/>
                <w:color w:val="auto"/>
                <w:sz w:val="24"/>
                <w:highlight w:val="none"/>
                <w:lang w:val="en-US" w:eastAsia="zh-CN"/>
              </w:rPr>
              <w:t>等产品。</w:t>
            </w:r>
          </w:p>
          <w:p w14:paraId="4751C2B5">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lang w:eastAsia="zh-CN"/>
              </w:rPr>
              <w:t>项目调制工序将山茱萸果浆分别与</w:t>
            </w:r>
            <w:r>
              <w:rPr>
                <w:rFonts w:hint="eastAsia" w:ascii="Times New Roman" w:hAnsi="Times New Roman" w:eastAsia="宋体" w:cs="Times New Roman"/>
                <w:color w:val="auto"/>
                <w:sz w:val="24"/>
                <w:highlight w:val="none"/>
                <w:lang w:eastAsia="zh-CN"/>
              </w:rPr>
              <w:t>食用葡萄糖、食用酒（白酒）、食用醋按一定的比例（约</w:t>
            </w:r>
            <w:r>
              <w:rPr>
                <w:rFonts w:hint="eastAsia" w:ascii="Times New Roman" w:hAnsi="Times New Roman" w:eastAsia="宋体" w:cs="Times New Roman"/>
                <w:color w:val="auto"/>
                <w:sz w:val="24"/>
                <w:highlight w:val="none"/>
                <w:lang w:val="en-US" w:eastAsia="zh-CN"/>
              </w:rPr>
              <w:t>21.2:1</w:t>
            </w:r>
            <w:r>
              <w:rPr>
                <w:rFonts w:hint="eastAsia" w:ascii="Times New Roman" w:hAnsi="Times New Roman" w:eastAsia="宋体" w:cs="Times New Roman"/>
                <w:color w:val="auto"/>
                <w:sz w:val="24"/>
                <w:highlight w:val="none"/>
                <w:lang w:eastAsia="zh-CN"/>
              </w:rPr>
              <w:t>）经加料斗进入各自调制器进行混合调制后分别储存各自品种的储罐中。</w:t>
            </w:r>
          </w:p>
          <w:p w14:paraId="5D8E82A7">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噪声、废气</w:t>
            </w:r>
            <w:r>
              <w:rPr>
                <w:rFonts w:hint="eastAsia" w:ascii="Times New Roman" w:eastAsia="宋体"/>
                <w:color w:val="auto"/>
                <w:sz w:val="24"/>
                <w:highlight w:val="none"/>
              </w:rPr>
              <w:t>。</w:t>
            </w:r>
          </w:p>
          <w:p w14:paraId="2BB8CA1D">
            <w:pPr>
              <w:pStyle w:val="24"/>
              <w:adjustRightInd w:val="0"/>
              <w:snapToGrid w:val="0"/>
              <w:spacing w:line="360" w:lineRule="auto"/>
              <w:ind w:firstLine="480" w:firstLineChars="200"/>
              <w:rPr>
                <w:rFonts w:hint="eastAsia" w:ascii="Times New Roman" w:eastAsia="宋体"/>
                <w:color w:val="auto"/>
                <w:sz w:val="24"/>
                <w:highlight w:val="none"/>
                <w:lang w:eastAsia="zh-CN"/>
              </w:rPr>
            </w:pPr>
            <w:r>
              <w:rPr>
                <w:rFonts w:hint="eastAsia" w:ascii="Times New Roman" w:eastAsia="宋体"/>
                <w:color w:val="auto"/>
                <w:sz w:val="24"/>
                <w:highlight w:val="none"/>
              </w:rPr>
              <w:t>（</w:t>
            </w:r>
            <w:r>
              <w:rPr>
                <w:rFonts w:hint="eastAsia" w:ascii="Times New Roman" w:eastAsia="宋体"/>
                <w:color w:val="auto"/>
                <w:sz w:val="24"/>
                <w:highlight w:val="none"/>
                <w:lang w:val="en-US" w:eastAsia="zh-CN"/>
              </w:rPr>
              <w:t>5</w:t>
            </w:r>
            <w:r>
              <w:rPr>
                <w:rFonts w:hint="eastAsia" w:ascii="Times New Roman" w:eastAsia="宋体"/>
                <w:color w:val="auto"/>
                <w:sz w:val="24"/>
                <w:highlight w:val="none"/>
              </w:rPr>
              <w:t>）</w:t>
            </w:r>
            <w:r>
              <w:rPr>
                <w:rFonts w:hint="eastAsia" w:ascii="Times New Roman" w:eastAsia="宋体"/>
                <w:color w:val="auto"/>
                <w:sz w:val="24"/>
                <w:highlight w:val="none"/>
                <w:lang w:eastAsia="zh-CN"/>
              </w:rPr>
              <w:t>灌装包装</w:t>
            </w:r>
          </w:p>
          <w:p w14:paraId="00B1E632">
            <w:pPr>
              <w:pStyle w:val="24"/>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eastAsia="宋体"/>
                <w:color w:val="auto"/>
                <w:sz w:val="24"/>
                <w:highlight w:val="none"/>
                <w:lang w:eastAsia="zh-CN"/>
              </w:rPr>
              <w:t>将调制好的山茱萸产品经密闭管道输送至灌装机进行灌装包装</w:t>
            </w:r>
            <w:r>
              <w:rPr>
                <w:rFonts w:hint="eastAsia" w:ascii="Times New Roman" w:hAnsi="Times New Roman" w:eastAsia="宋体" w:cs="Times New Roman"/>
                <w:color w:val="auto"/>
                <w:sz w:val="24"/>
                <w:highlight w:val="none"/>
                <w:lang w:val="en-US" w:eastAsia="zh-CN"/>
              </w:rPr>
              <w:t>。</w:t>
            </w:r>
          </w:p>
          <w:p w14:paraId="3EDDE9B9">
            <w:pPr>
              <w:pStyle w:val="24"/>
              <w:adjustRightInd w:val="0"/>
              <w:snapToGrid w:val="0"/>
              <w:spacing w:line="360" w:lineRule="auto"/>
              <w:ind w:firstLine="480" w:firstLineChars="200"/>
              <w:rPr>
                <w:rFonts w:hint="eastAsia" w:ascii="Times New Roman" w:eastAsia="宋体"/>
                <w:color w:val="auto"/>
                <w:sz w:val="24"/>
                <w:highlight w:val="none"/>
              </w:rPr>
            </w:pPr>
            <w:r>
              <w:rPr>
                <w:rFonts w:hint="eastAsia" w:ascii="Times New Roman" w:eastAsia="宋体"/>
                <w:color w:val="auto"/>
                <w:sz w:val="24"/>
                <w:highlight w:val="none"/>
              </w:rPr>
              <w:t>产污环节：</w:t>
            </w:r>
            <w:r>
              <w:rPr>
                <w:rFonts w:hint="eastAsia" w:ascii="Times New Roman" w:eastAsia="宋体"/>
                <w:color w:val="auto"/>
                <w:sz w:val="24"/>
                <w:highlight w:val="none"/>
                <w:lang w:eastAsia="zh-CN"/>
              </w:rPr>
              <w:t>噪声</w:t>
            </w:r>
            <w:r>
              <w:rPr>
                <w:rFonts w:hint="eastAsia" w:ascii="Times New Roman" w:eastAsia="宋体"/>
                <w:color w:val="auto"/>
                <w:sz w:val="24"/>
                <w:highlight w:val="none"/>
              </w:rPr>
              <w:t>。</w:t>
            </w:r>
          </w:p>
          <w:p w14:paraId="2872347B">
            <w:pPr>
              <w:pStyle w:val="43"/>
              <w:rPr>
                <w:rFonts w:hint="eastAsia" w:ascii="Times New Roman"/>
                <w:b/>
                <w:bCs/>
                <w:color w:val="auto"/>
                <w:sz w:val="24"/>
                <w:szCs w:val="24"/>
                <w:highlight w:val="none"/>
              </w:rPr>
            </w:pPr>
          </w:p>
          <w:p w14:paraId="4E86233A">
            <w:pPr>
              <w:pStyle w:val="43"/>
              <w:rPr>
                <w:rFonts w:hint="eastAsia" w:ascii="Times New Roman"/>
                <w:b/>
                <w:bCs/>
                <w:color w:val="auto"/>
                <w:sz w:val="24"/>
                <w:szCs w:val="24"/>
                <w:highlight w:val="none"/>
              </w:rPr>
            </w:pPr>
          </w:p>
          <w:p w14:paraId="7C7514B8">
            <w:pPr>
              <w:pStyle w:val="43"/>
              <w:rPr>
                <w:rFonts w:hint="eastAsia" w:ascii="Times New Roman"/>
                <w:b/>
                <w:bCs/>
                <w:color w:val="auto"/>
                <w:sz w:val="24"/>
                <w:szCs w:val="24"/>
                <w:highlight w:val="none"/>
              </w:rPr>
            </w:pPr>
          </w:p>
          <w:p w14:paraId="5E76C5AD">
            <w:pPr>
              <w:pStyle w:val="43"/>
              <w:rPr>
                <w:rFonts w:hint="eastAsia" w:ascii="Times New Roman"/>
                <w:b/>
                <w:bCs/>
                <w:color w:val="auto"/>
                <w:sz w:val="24"/>
                <w:szCs w:val="24"/>
                <w:highlight w:val="none"/>
              </w:rPr>
            </w:pPr>
          </w:p>
          <w:p w14:paraId="47932244">
            <w:pPr>
              <w:pStyle w:val="43"/>
              <w:rPr>
                <w:rFonts w:hint="eastAsia" w:ascii="Times New Roman" w:eastAsia="宋体"/>
                <w:b/>
                <w:bCs/>
                <w:color w:val="auto"/>
                <w:sz w:val="24"/>
                <w:szCs w:val="24"/>
                <w:highlight w:val="none"/>
                <w:lang w:eastAsia="zh-CN"/>
              </w:rPr>
            </w:pPr>
          </w:p>
          <w:p w14:paraId="7FF707A0">
            <w:pPr>
              <w:rPr>
                <w:color w:val="auto"/>
                <w:highlight w:val="none"/>
              </w:rPr>
            </w:pPr>
          </w:p>
        </w:tc>
      </w:tr>
      <w:tr w14:paraId="3B55B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6" w:hRule="atLeast"/>
          <w:jc w:val="center"/>
        </w:trPr>
        <w:tc>
          <w:tcPr>
            <w:tcW w:w="415" w:type="pct"/>
            <w:noWrap w:val="0"/>
            <w:vAlign w:val="center"/>
          </w:tcPr>
          <w:p w14:paraId="6313E5CD">
            <w:pPr>
              <w:pStyle w:val="25"/>
              <w:adjustRightInd w:val="0"/>
              <w:snapToGrid w:val="0"/>
              <w:spacing w:before="0" w:beforeAutospacing="0" w:after="0" w:afterAutospacing="0"/>
              <w:jc w:val="center"/>
              <w:rPr>
                <w:rFonts w:cs="宋体"/>
                <w:color w:val="auto"/>
                <w:sz w:val="21"/>
                <w:szCs w:val="21"/>
                <w:highlight w:val="none"/>
                <w:lang w:val="en-US" w:eastAsia="zh-CN"/>
              </w:rPr>
            </w:pPr>
            <w:r>
              <w:rPr>
                <w:rFonts w:hint="eastAsia" w:cs="宋体"/>
                <w:bCs/>
                <w:color w:val="auto"/>
                <w:kern w:val="2"/>
                <w:sz w:val="21"/>
                <w:szCs w:val="21"/>
                <w:highlight w:val="none"/>
                <w:lang w:val="en-US" w:eastAsia="zh-CN"/>
              </w:rPr>
              <w:t>与项目有关的原有环境污染问题</w:t>
            </w:r>
          </w:p>
        </w:tc>
        <w:tc>
          <w:tcPr>
            <w:tcW w:w="4585" w:type="pct"/>
            <w:noWrap w:val="0"/>
            <w:vAlign w:val="top"/>
          </w:tcPr>
          <w:p w14:paraId="5D335495">
            <w:pPr>
              <w:pStyle w:val="43"/>
              <w:snapToGrid w:val="0"/>
              <w:spacing w:line="360" w:lineRule="auto"/>
              <w:jc w:val="both"/>
              <w:rPr>
                <w:rFonts w:hint="eastAsia" w:ascii="Times New Roman" w:cs="Times New Roman"/>
                <w:color w:val="auto"/>
                <w:highlight w:val="none"/>
              </w:rPr>
            </w:pPr>
          </w:p>
          <w:p w14:paraId="57E9C93B">
            <w:pPr>
              <w:pStyle w:val="43"/>
              <w:snapToGrid w:val="0"/>
              <w:spacing w:line="360" w:lineRule="auto"/>
              <w:jc w:val="both"/>
              <w:rPr>
                <w:rFonts w:hint="eastAsia" w:ascii="Times New Roman" w:cs="Times New Roman"/>
                <w:color w:val="auto"/>
                <w:highlight w:val="none"/>
              </w:rPr>
            </w:pPr>
          </w:p>
          <w:p w14:paraId="51564BBD">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本项目为新建项目，</w:t>
            </w:r>
            <w:r>
              <w:rPr>
                <w:rFonts w:hint="eastAsia" w:ascii="Times New Roman" w:hAnsi="Times New Roman" w:eastAsia="宋体" w:cs="Times New Roman"/>
                <w:color w:val="auto"/>
                <w:kern w:val="0"/>
                <w:sz w:val="24"/>
                <w:szCs w:val="20"/>
                <w:highlight w:val="none"/>
                <w:lang w:val="en-US" w:eastAsia="zh-CN" w:bidi="ar-SA"/>
              </w:rPr>
              <w:t>规划为有机产业园内工业用地。该地块原为水田，2015年有机产业园区统整后该地块停止农业种植，地块逐渐形成荒地，2024年1月份该企业取得该地块的建设用地规划许可证，建设单位于2024年1月份入园开始清理地表后进行建设，因此该地块</w:t>
            </w:r>
            <w:r>
              <w:rPr>
                <w:rFonts w:hint="default" w:ascii="Times New Roman" w:hAnsi="Times New Roman" w:eastAsia="宋体" w:cs="Times New Roman"/>
                <w:color w:val="auto"/>
                <w:kern w:val="0"/>
                <w:sz w:val="24"/>
                <w:szCs w:val="20"/>
                <w:highlight w:val="none"/>
                <w:lang w:val="en-US" w:eastAsia="zh-CN" w:bidi="ar-SA"/>
              </w:rPr>
              <w:t>不存在与本项目有关的原有环境污染问题。</w:t>
            </w:r>
          </w:p>
          <w:p w14:paraId="4F8F7EDF">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38F91592">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4A7EF40B">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78C24707">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2BC992C0">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57786683">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287D1175">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6D1B2401">
            <w:pPr>
              <w:pStyle w:val="43"/>
              <w:snapToGrid w:val="0"/>
              <w:spacing w:line="360" w:lineRule="auto"/>
              <w:ind w:firstLine="480" w:firstLineChars="200"/>
              <w:jc w:val="both"/>
              <w:rPr>
                <w:rFonts w:hint="default" w:ascii="Times New Roman" w:hAnsi="Times New Roman" w:eastAsia="宋体" w:cs="Times New Roman"/>
                <w:color w:val="auto"/>
                <w:kern w:val="0"/>
                <w:sz w:val="24"/>
                <w:szCs w:val="20"/>
                <w:highlight w:val="none"/>
                <w:lang w:val="en-US" w:eastAsia="zh-CN" w:bidi="ar-SA"/>
              </w:rPr>
            </w:pPr>
          </w:p>
          <w:p w14:paraId="65684BDE">
            <w:pPr>
              <w:pStyle w:val="43"/>
              <w:snapToGrid w:val="0"/>
              <w:spacing w:line="360" w:lineRule="auto"/>
              <w:jc w:val="both"/>
              <w:rPr>
                <w:rFonts w:hint="eastAsia" w:ascii="Times New Roman" w:hAnsi="Times New Roman" w:eastAsia="宋体" w:cs="Times New Roman"/>
                <w:color w:val="auto"/>
                <w:kern w:val="0"/>
                <w:sz w:val="24"/>
                <w:szCs w:val="20"/>
                <w:highlight w:val="none"/>
                <w:lang w:val="en-US" w:eastAsia="zh-CN" w:bidi="ar-SA"/>
              </w:rPr>
            </w:pPr>
          </w:p>
        </w:tc>
      </w:tr>
    </w:tbl>
    <w:p w14:paraId="62D6C541">
      <w:pPr>
        <w:pStyle w:val="25"/>
        <w:jc w:val="center"/>
        <w:rPr>
          <w:rFonts w:ascii="黑体" w:hAnsi="黑体" w:eastAsia="黑体"/>
          <w:snapToGrid w:val="0"/>
          <w:color w:val="auto"/>
          <w:sz w:val="36"/>
          <w:szCs w:val="36"/>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41B5C593">
      <w:pPr>
        <w:rPr>
          <w:rFonts w:hint="eastAsia"/>
          <w:color w:val="auto"/>
          <w:highlight w:val="none"/>
        </w:rPr>
      </w:pPr>
    </w:p>
    <w:p w14:paraId="3FBA208B">
      <w:pPr>
        <w:pStyle w:val="2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3A510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800" w:type="dxa"/>
            <w:noWrap w:val="0"/>
            <w:vAlign w:val="center"/>
          </w:tcPr>
          <w:p w14:paraId="6C80EEC6">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区域</w:t>
            </w:r>
          </w:p>
          <w:p w14:paraId="30E27312">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14:paraId="56F765F3">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w:t>
            </w:r>
          </w:p>
          <w:p w14:paraId="3160D50B">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现状</w:t>
            </w:r>
          </w:p>
        </w:tc>
        <w:tc>
          <w:tcPr>
            <w:tcW w:w="8190" w:type="dxa"/>
            <w:noWrap w:val="0"/>
            <w:vAlign w:val="center"/>
          </w:tcPr>
          <w:p w14:paraId="7B668915">
            <w:pPr>
              <w:adjustRightInd w:val="0"/>
              <w:snapToGrid w:val="0"/>
              <w:spacing w:line="360" w:lineRule="auto"/>
              <w:jc w:val="left"/>
              <w:rPr>
                <w:b/>
                <w:bCs/>
                <w:color w:val="auto"/>
                <w:sz w:val="24"/>
                <w:szCs w:val="32"/>
                <w:highlight w:val="none"/>
              </w:rPr>
            </w:pPr>
            <w:r>
              <w:rPr>
                <w:b/>
                <w:bCs/>
                <w:color w:val="auto"/>
                <w:sz w:val="24"/>
                <w:szCs w:val="32"/>
                <w:highlight w:val="none"/>
              </w:rPr>
              <w:t>一、环境空气质量现状</w:t>
            </w:r>
          </w:p>
          <w:p w14:paraId="34B5AC85">
            <w:pPr>
              <w:adjustRightInd w:val="0"/>
              <w:snapToGrid w:val="0"/>
              <w:spacing w:line="360" w:lineRule="auto"/>
              <w:ind w:firstLine="480" w:firstLineChars="200"/>
              <w:rPr>
                <w:rFonts w:hint="eastAsia" w:eastAsia="宋体"/>
                <w:color w:val="auto"/>
                <w:sz w:val="24"/>
                <w:highlight w:val="none"/>
                <w:lang w:eastAsia="zh-CN"/>
              </w:rPr>
            </w:pPr>
            <w:r>
              <w:rPr>
                <w:color w:val="auto"/>
                <w:sz w:val="24"/>
                <w:highlight w:val="none"/>
              </w:rPr>
              <w:t>1、</w:t>
            </w:r>
            <w:r>
              <w:rPr>
                <w:rFonts w:hint="eastAsia"/>
                <w:color w:val="auto"/>
                <w:sz w:val="24"/>
                <w:highlight w:val="none"/>
                <w:lang w:eastAsia="zh-CN"/>
              </w:rPr>
              <w:t>基本污染物</w:t>
            </w:r>
          </w:p>
          <w:p w14:paraId="7E8B228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bidi="ar"/>
              </w:rPr>
              <w:t>项目评价区域内环境空气质量执行《环境空气质量标准》</w:t>
            </w:r>
            <w:r>
              <w:rPr>
                <w:rFonts w:hint="eastAsia" w:ascii="Times New Roman" w:hAnsi="Times New Roman" w:cs="Times New Roman"/>
                <w:color w:val="auto"/>
                <w:sz w:val="24"/>
                <w:highlight w:val="none"/>
                <w:lang w:eastAsia="zh-CN" w:bidi="ar"/>
              </w:rPr>
              <w:t>（</w:t>
            </w:r>
            <w:r>
              <w:rPr>
                <w:rFonts w:hint="default" w:ascii="Times New Roman" w:hAnsi="Times New Roman" w:cs="Times New Roman"/>
                <w:color w:val="auto"/>
                <w:sz w:val="24"/>
                <w:highlight w:val="none"/>
                <w:lang w:bidi="ar"/>
              </w:rPr>
              <w:t>GB 3095-2012</w:t>
            </w:r>
            <w:r>
              <w:rPr>
                <w:rFonts w:hint="eastAsia" w:ascii="Times New Roman" w:hAnsi="Times New Roman" w:cs="Times New Roman"/>
                <w:color w:val="auto"/>
                <w:sz w:val="24"/>
                <w:highlight w:val="none"/>
                <w:lang w:eastAsia="zh-CN" w:bidi="ar"/>
              </w:rPr>
              <w:t>）</w:t>
            </w:r>
            <w:r>
              <w:rPr>
                <w:rFonts w:hint="default" w:ascii="Times New Roman" w:hAnsi="Times New Roman" w:cs="Times New Roman"/>
                <w:color w:val="auto"/>
                <w:sz w:val="24"/>
                <w:highlight w:val="none"/>
                <w:lang w:bidi="ar"/>
              </w:rPr>
              <w:t>二级标准。</w:t>
            </w:r>
            <w:r>
              <w:rPr>
                <w:rFonts w:hint="default" w:ascii="Times New Roman" w:hAnsi="Times New Roman" w:cs="Times New Roman"/>
                <w:color w:val="auto"/>
                <w:sz w:val="24"/>
                <w:highlight w:val="none"/>
              </w:rPr>
              <w:t>项目所在区域常规污染物判定优先采用国家或地方生态环境主管部门发布的评价基准年环境质量公告或环境质量报告中的数据或结论。</w:t>
            </w:r>
          </w:p>
          <w:p w14:paraId="4C9D0287">
            <w:pPr>
              <w:adjustRightInd w:val="0"/>
              <w:snapToGrid w:val="0"/>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本次评价引用陕西省生态环境厅办公室发布的《环保快报</w:t>
            </w:r>
            <w:r>
              <w:rPr>
                <w:rFonts w:hint="eastAsia" w:ascii="Times New Roman" w:hAnsi="Times New Roman" w:cs="Times New Roman"/>
                <w:color w:val="auto"/>
                <w:sz w:val="24"/>
                <w:highlight w:val="none"/>
                <w:lang w:eastAsia="zh-CN"/>
              </w:rPr>
              <w:t>〔2026〕</w:t>
            </w:r>
            <w:r>
              <w:rPr>
                <w:rFonts w:hint="eastAsia" w:ascii="Times New Roman" w:hAnsi="Times New Roman" w:cs="Times New Roman"/>
                <w:color w:val="auto"/>
                <w:sz w:val="24"/>
                <w:highlight w:val="none"/>
                <w:lang w:val="en-US" w:eastAsia="zh-CN"/>
              </w:rPr>
              <w:t>第一期</w:t>
            </w: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年12月及1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12月全省环境空气质量状况》数据，洋县</w:t>
            </w:r>
            <w:r>
              <w:rPr>
                <w:rFonts w:hint="eastAsia" w:ascii="Times New Roman" w:hAnsi="Times New Roman" w:cs="Times New Roman"/>
                <w:color w:val="auto"/>
                <w:sz w:val="24"/>
                <w:highlight w:val="none"/>
                <w:lang w:val="en-US" w:eastAsia="zh-CN"/>
              </w:rPr>
              <w:t>2025年</w:t>
            </w:r>
            <w:r>
              <w:rPr>
                <w:rFonts w:hint="default" w:ascii="Times New Roman" w:hAnsi="Times New Roman" w:cs="Times New Roman"/>
                <w:color w:val="auto"/>
                <w:sz w:val="24"/>
                <w:highlight w:val="none"/>
              </w:rPr>
              <w:t>空气优良天数3</w:t>
            </w:r>
            <w:r>
              <w:rPr>
                <w:rFonts w:hint="eastAsia" w:ascii="Times New Roman" w:hAnsi="Times New Roman" w:cs="Times New Roman"/>
                <w:color w:val="auto"/>
                <w:sz w:val="24"/>
                <w:highlight w:val="none"/>
                <w:lang w:val="en-US" w:eastAsia="zh-CN"/>
              </w:rPr>
              <w:t>41</w:t>
            </w:r>
            <w:r>
              <w:rPr>
                <w:rFonts w:hint="default" w:ascii="Times New Roman" w:hAnsi="Times New Roman" w:cs="Times New Roman"/>
                <w:color w:val="auto"/>
                <w:sz w:val="24"/>
                <w:highlight w:val="none"/>
              </w:rPr>
              <w:t>天，具体如下</w:t>
            </w:r>
            <w:r>
              <w:rPr>
                <w:rFonts w:hint="eastAsia" w:ascii="Times New Roman" w:hAnsi="Times New Roman" w:cs="Times New Roman"/>
                <w:color w:val="auto"/>
                <w:sz w:val="24"/>
                <w:highlight w:val="none"/>
                <w:lang w:eastAsia="zh-CN"/>
              </w:rPr>
              <w:t>：</w:t>
            </w:r>
          </w:p>
          <w:p w14:paraId="439FB605">
            <w:pPr>
              <w:ind w:firstLine="422" w:firstLineChars="200"/>
              <w:jc w:val="center"/>
              <w:rPr>
                <w:b/>
                <w:color w:val="auto"/>
                <w:szCs w:val="21"/>
                <w:highlight w:val="none"/>
              </w:rPr>
            </w:pPr>
            <w:r>
              <w:rPr>
                <w:rFonts w:hint="eastAsia" w:cs="宋体"/>
                <w:b/>
                <w:color w:val="auto"/>
                <w:szCs w:val="21"/>
                <w:highlight w:val="none"/>
                <w:lang w:bidi="ar"/>
              </w:rPr>
              <w:t>表</w:t>
            </w:r>
            <w:r>
              <w:rPr>
                <w:b/>
                <w:color w:val="auto"/>
                <w:szCs w:val="21"/>
                <w:highlight w:val="none"/>
                <w:lang w:bidi="ar"/>
              </w:rPr>
              <w:t>3-</w:t>
            </w:r>
            <w:r>
              <w:rPr>
                <w:rFonts w:hint="eastAsia"/>
                <w:b/>
                <w:color w:val="auto"/>
                <w:szCs w:val="21"/>
                <w:highlight w:val="none"/>
                <w:lang w:bidi="ar"/>
              </w:rPr>
              <w:t>1</w:t>
            </w:r>
            <w:r>
              <w:rPr>
                <w:b/>
                <w:color w:val="auto"/>
                <w:szCs w:val="21"/>
                <w:highlight w:val="none"/>
                <w:lang w:bidi="ar"/>
              </w:rPr>
              <w:t xml:space="preserve">  </w:t>
            </w:r>
            <w:r>
              <w:rPr>
                <w:rFonts w:hint="eastAsia" w:cs="宋体"/>
                <w:b/>
                <w:color w:val="auto"/>
                <w:szCs w:val="21"/>
                <w:highlight w:val="none"/>
                <w:lang w:val="en-US" w:eastAsia="zh-CN" w:bidi="ar"/>
              </w:rPr>
              <w:t>2025年洋县</w:t>
            </w:r>
            <w:r>
              <w:rPr>
                <w:rFonts w:hint="eastAsia" w:cs="宋体"/>
                <w:b/>
                <w:color w:val="auto"/>
                <w:szCs w:val="21"/>
                <w:highlight w:val="none"/>
                <w:lang w:bidi="ar"/>
              </w:rPr>
              <w:t>环境质量现状评价表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584"/>
              <w:gridCol w:w="1200"/>
              <w:gridCol w:w="1416"/>
              <w:gridCol w:w="955"/>
              <w:gridCol w:w="946"/>
            </w:tblGrid>
            <w:tr w14:paraId="5DD9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noWrap w:val="0"/>
                  <w:vAlign w:val="center"/>
                </w:tcPr>
                <w:p w14:paraId="4B272BB1">
                  <w:pPr>
                    <w:autoSpaceDE w:val="0"/>
                    <w:autoSpaceDN w:val="0"/>
                    <w:adjustRightInd w:val="0"/>
                    <w:snapToGrid w:val="0"/>
                    <w:jc w:val="center"/>
                    <w:rPr>
                      <w:bCs/>
                      <w:color w:val="auto"/>
                      <w:szCs w:val="21"/>
                      <w:highlight w:val="none"/>
                    </w:rPr>
                  </w:pPr>
                  <w:r>
                    <w:rPr>
                      <w:rFonts w:hint="eastAsia" w:cs="宋体"/>
                      <w:bCs/>
                      <w:color w:val="auto"/>
                      <w:szCs w:val="21"/>
                      <w:highlight w:val="none"/>
                      <w:lang w:bidi="ar"/>
                    </w:rPr>
                    <w:t>污染物</w:t>
                  </w:r>
                </w:p>
              </w:tc>
              <w:tc>
                <w:tcPr>
                  <w:tcW w:w="1622" w:type="pct"/>
                  <w:noWrap w:val="0"/>
                  <w:vAlign w:val="center"/>
                </w:tcPr>
                <w:p w14:paraId="216E4E70">
                  <w:pPr>
                    <w:autoSpaceDE w:val="0"/>
                    <w:autoSpaceDN w:val="0"/>
                    <w:adjustRightInd w:val="0"/>
                    <w:snapToGrid w:val="0"/>
                    <w:jc w:val="center"/>
                    <w:rPr>
                      <w:bCs/>
                      <w:color w:val="auto"/>
                      <w:szCs w:val="21"/>
                      <w:highlight w:val="none"/>
                    </w:rPr>
                  </w:pPr>
                  <w:r>
                    <w:rPr>
                      <w:rFonts w:hint="eastAsia" w:cs="宋体"/>
                      <w:bCs/>
                      <w:color w:val="auto"/>
                      <w:szCs w:val="21"/>
                      <w:highlight w:val="none"/>
                      <w:lang w:bidi="ar"/>
                    </w:rPr>
                    <w:t>年评价指标</w:t>
                  </w:r>
                </w:p>
              </w:tc>
              <w:tc>
                <w:tcPr>
                  <w:tcW w:w="753" w:type="pct"/>
                  <w:noWrap w:val="0"/>
                  <w:vAlign w:val="center"/>
                </w:tcPr>
                <w:p w14:paraId="457C6B68">
                  <w:pPr>
                    <w:autoSpaceDE w:val="0"/>
                    <w:autoSpaceDN w:val="0"/>
                    <w:adjustRightInd w:val="0"/>
                    <w:snapToGrid w:val="0"/>
                    <w:jc w:val="center"/>
                    <w:rPr>
                      <w:bCs/>
                      <w:color w:val="auto"/>
                      <w:szCs w:val="21"/>
                      <w:highlight w:val="none"/>
                    </w:rPr>
                  </w:pPr>
                  <w:r>
                    <w:rPr>
                      <w:rFonts w:hint="eastAsia" w:cs="宋体"/>
                      <w:bCs/>
                      <w:color w:val="auto"/>
                      <w:szCs w:val="21"/>
                      <w:highlight w:val="none"/>
                      <w:lang w:bidi="ar"/>
                    </w:rPr>
                    <w:t>现状浓度</w:t>
                  </w:r>
                  <w:r>
                    <w:rPr>
                      <w:bCs/>
                      <w:color w:val="auto"/>
                      <w:szCs w:val="21"/>
                      <w:highlight w:val="none"/>
                      <w:lang w:bidi="ar"/>
                    </w:rPr>
                    <w:t>/(μg/m</w:t>
                  </w:r>
                  <w:r>
                    <w:rPr>
                      <w:bCs/>
                      <w:color w:val="auto"/>
                      <w:szCs w:val="21"/>
                      <w:highlight w:val="none"/>
                      <w:vertAlign w:val="superscript"/>
                      <w:lang w:bidi="ar"/>
                    </w:rPr>
                    <w:t>3</w:t>
                  </w:r>
                  <w:r>
                    <w:rPr>
                      <w:bCs/>
                      <w:color w:val="auto"/>
                      <w:szCs w:val="21"/>
                      <w:highlight w:val="none"/>
                      <w:lang w:bidi="ar"/>
                    </w:rPr>
                    <w:t>)</w:t>
                  </w:r>
                </w:p>
              </w:tc>
              <w:tc>
                <w:tcPr>
                  <w:tcW w:w="889" w:type="pct"/>
                  <w:noWrap w:val="0"/>
                  <w:vAlign w:val="center"/>
                </w:tcPr>
                <w:p w14:paraId="26BEBA75">
                  <w:pPr>
                    <w:autoSpaceDE w:val="0"/>
                    <w:autoSpaceDN w:val="0"/>
                    <w:adjustRightInd w:val="0"/>
                    <w:snapToGrid w:val="0"/>
                    <w:jc w:val="center"/>
                    <w:rPr>
                      <w:bCs/>
                      <w:color w:val="auto"/>
                      <w:szCs w:val="21"/>
                      <w:highlight w:val="none"/>
                    </w:rPr>
                  </w:pPr>
                  <w:r>
                    <w:rPr>
                      <w:rFonts w:hint="eastAsia" w:cs="宋体"/>
                      <w:bCs/>
                      <w:color w:val="auto"/>
                      <w:szCs w:val="21"/>
                      <w:highlight w:val="none"/>
                      <w:lang w:eastAsia="zh-CN" w:bidi="ar"/>
                    </w:rPr>
                    <w:t>过渡阶段</w:t>
                  </w:r>
                  <w:r>
                    <w:rPr>
                      <w:rFonts w:hint="eastAsia" w:cs="宋体"/>
                      <w:bCs/>
                      <w:color w:val="auto"/>
                      <w:szCs w:val="21"/>
                      <w:highlight w:val="none"/>
                      <w:lang w:bidi="ar"/>
                    </w:rPr>
                    <w:t>标准</w:t>
                  </w:r>
                  <w:r>
                    <w:rPr>
                      <w:rFonts w:hint="eastAsia" w:cs="宋体"/>
                      <w:bCs/>
                      <w:color w:val="auto"/>
                      <w:szCs w:val="21"/>
                      <w:highlight w:val="none"/>
                      <w:lang w:eastAsia="zh-CN" w:bidi="ar"/>
                    </w:rPr>
                    <w:t>限</w:t>
                  </w:r>
                  <w:r>
                    <w:rPr>
                      <w:rFonts w:hint="eastAsia" w:cs="宋体"/>
                      <w:bCs/>
                      <w:color w:val="auto"/>
                      <w:szCs w:val="21"/>
                      <w:highlight w:val="none"/>
                      <w:lang w:bidi="ar"/>
                    </w:rPr>
                    <w:t>值</w:t>
                  </w:r>
                  <w:r>
                    <w:rPr>
                      <w:bCs/>
                      <w:color w:val="auto"/>
                      <w:szCs w:val="21"/>
                      <w:highlight w:val="none"/>
                      <w:lang w:bidi="ar"/>
                    </w:rPr>
                    <w:t>/</w:t>
                  </w:r>
                </w:p>
                <w:p w14:paraId="342A6D14">
                  <w:pPr>
                    <w:widowControl/>
                    <w:snapToGrid w:val="0"/>
                    <w:jc w:val="center"/>
                    <w:rPr>
                      <w:bCs/>
                      <w:color w:val="auto"/>
                      <w:szCs w:val="21"/>
                      <w:highlight w:val="none"/>
                    </w:rPr>
                  </w:pPr>
                  <w:r>
                    <w:rPr>
                      <w:bCs/>
                      <w:color w:val="auto"/>
                      <w:szCs w:val="21"/>
                      <w:highlight w:val="none"/>
                      <w:lang w:bidi="ar"/>
                    </w:rPr>
                    <w:t>(μg/m</w:t>
                  </w:r>
                  <w:r>
                    <w:rPr>
                      <w:bCs/>
                      <w:color w:val="auto"/>
                      <w:szCs w:val="21"/>
                      <w:highlight w:val="none"/>
                      <w:vertAlign w:val="superscript"/>
                      <w:lang w:bidi="ar"/>
                    </w:rPr>
                    <w:t>3</w:t>
                  </w:r>
                  <w:r>
                    <w:rPr>
                      <w:bCs/>
                      <w:color w:val="auto"/>
                      <w:szCs w:val="21"/>
                      <w:highlight w:val="none"/>
                      <w:lang w:bidi="ar"/>
                    </w:rPr>
                    <w:t>)</w:t>
                  </w:r>
                </w:p>
              </w:tc>
              <w:tc>
                <w:tcPr>
                  <w:tcW w:w="599" w:type="pct"/>
                  <w:noWrap w:val="0"/>
                  <w:vAlign w:val="center"/>
                </w:tcPr>
                <w:p w14:paraId="30326F4C">
                  <w:pPr>
                    <w:autoSpaceDE w:val="0"/>
                    <w:autoSpaceDN w:val="0"/>
                    <w:adjustRightInd w:val="0"/>
                    <w:snapToGrid w:val="0"/>
                    <w:jc w:val="center"/>
                    <w:rPr>
                      <w:bCs/>
                      <w:color w:val="auto"/>
                      <w:szCs w:val="21"/>
                      <w:highlight w:val="none"/>
                    </w:rPr>
                  </w:pPr>
                  <w:r>
                    <w:rPr>
                      <w:rFonts w:hint="eastAsia" w:cs="宋体"/>
                      <w:bCs/>
                      <w:color w:val="auto"/>
                      <w:szCs w:val="21"/>
                      <w:highlight w:val="none"/>
                      <w:lang w:bidi="ar"/>
                    </w:rPr>
                    <w:t>占标率（</w:t>
                  </w:r>
                  <w:r>
                    <w:rPr>
                      <w:bCs/>
                      <w:color w:val="auto"/>
                      <w:szCs w:val="21"/>
                      <w:highlight w:val="none"/>
                      <w:lang w:bidi="ar"/>
                    </w:rPr>
                    <w:t>%</w:t>
                  </w:r>
                  <w:r>
                    <w:rPr>
                      <w:rFonts w:hint="eastAsia" w:cs="宋体"/>
                      <w:bCs/>
                      <w:color w:val="auto"/>
                      <w:szCs w:val="21"/>
                      <w:highlight w:val="none"/>
                      <w:lang w:bidi="ar"/>
                    </w:rPr>
                    <w:t>）</w:t>
                  </w:r>
                </w:p>
              </w:tc>
              <w:tc>
                <w:tcPr>
                  <w:tcW w:w="593" w:type="pct"/>
                  <w:noWrap w:val="0"/>
                  <w:vAlign w:val="center"/>
                </w:tcPr>
                <w:p w14:paraId="77603C72">
                  <w:pPr>
                    <w:autoSpaceDE w:val="0"/>
                    <w:autoSpaceDN w:val="0"/>
                    <w:adjustRightInd w:val="0"/>
                    <w:snapToGrid w:val="0"/>
                    <w:jc w:val="center"/>
                    <w:rPr>
                      <w:bCs/>
                      <w:color w:val="auto"/>
                      <w:szCs w:val="21"/>
                      <w:highlight w:val="none"/>
                    </w:rPr>
                  </w:pPr>
                  <w:r>
                    <w:rPr>
                      <w:rFonts w:hint="eastAsia" w:cs="宋体"/>
                      <w:bCs/>
                      <w:color w:val="auto"/>
                      <w:szCs w:val="21"/>
                      <w:highlight w:val="none"/>
                      <w:lang w:bidi="ar"/>
                    </w:rPr>
                    <w:t>达标情况</w:t>
                  </w:r>
                </w:p>
              </w:tc>
            </w:tr>
            <w:tr w14:paraId="3F76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noWrap w:val="0"/>
                  <w:vAlign w:val="center"/>
                </w:tcPr>
                <w:p w14:paraId="6A1628A0">
                  <w:pPr>
                    <w:autoSpaceDE w:val="0"/>
                    <w:autoSpaceDN w:val="0"/>
                    <w:adjustRightInd w:val="0"/>
                    <w:snapToGrid w:val="0"/>
                    <w:jc w:val="center"/>
                    <w:rPr>
                      <w:color w:val="auto"/>
                      <w:szCs w:val="21"/>
                      <w:highlight w:val="none"/>
                      <w:vertAlign w:val="subscript"/>
                    </w:rPr>
                  </w:pPr>
                  <w:r>
                    <w:rPr>
                      <w:color w:val="auto"/>
                      <w:szCs w:val="21"/>
                      <w:highlight w:val="none"/>
                      <w:lang w:bidi="ar"/>
                    </w:rPr>
                    <w:t>PM</w:t>
                  </w:r>
                  <w:r>
                    <w:rPr>
                      <w:color w:val="auto"/>
                      <w:szCs w:val="21"/>
                      <w:highlight w:val="none"/>
                      <w:vertAlign w:val="subscript"/>
                      <w:lang w:bidi="ar"/>
                    </w:rPr>
                    <w:t>10</w:t>
                  </w:r>
                </w:p>
              </w:tc>
              <w:tc>
                <w:tcPr>
                  <w:tcW w:w="1622" w:type="pct"/>
                  <w:noWrap w:val="0"/>
                  <w:vAlign w:val="center"/>
                </w:tcPr>
                <w:p w14:paraId="70323843">
                  <w:pPr>
                    <w:jc w:val="center"/>
                    <w:rPr>
                      <w:color w:val="auto"/>
                      <w:szCs w:val="21"/>
                      <w:highlight w:val="none"/>
                    </w:rPr>
                  </w:pPr>
                  <w:r>
                    <w:rPr>
                      <w:rFonts w:hint="eastAsia" w:cs="宋体"/>
                      <w:color w:val="auto"/>
                      <w:szCs w:val="21"/>
                      <w:highlight w:val="none"/>
                      <w:lang w:bidi="ar"/>
                    </w:rPr>
                    <w:t>年平均质量浓度</w:t>
                  </w:r>
                </w:p>
              </w:tc>
              <w:tc>
                <w:tcPr>
                  <w:tcW w:w="753" w:type="pct"/>
                  <w:noWrap w:val="0"/>
                  <w:vAlign w:val="center"/>
                </w:tcPr>
                <w:p w14:paraId="43E9A36A">
                  <w:pPr>
                    <w:widowControl/>
                    <w:jc w:val="center"/>
                    <w:textAlignment w:val="center"/>
                    <w:rPr>
                      <w:rFonts w:hint="default" w:eastAsia="宋体"/>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42</w:t>
                  </w:r>
                </w:p>
              </w:tc>
              <w:tc>
                <w:tcPr>
                  <w:tcW w:w="889" w:type="pct"/>
                  <w:noWrap w:val="0"/>
                  <w:vAlign w:val="center"/>
                </w:tcPr>
                <w:p w14:paraId="1E8856CD">
                  <w:pPr>
                    <w:widowControl/>
                    <w:jc w:val="center"/>
                    <w:textAlignment w:val="center"/>
                    <w:rPr>
                      <w:rFonts w:hint="default" w:eastAsia="宋体"/>
                      <w:color w:val="auto"/>
                      <w:szCs w:val="21"/>
                      <w:highlight w:val="none"/>
                      <w:lang w:val="en-US" w:eastAsia="zh-CN"/>
                    </w:rPr>
                  </w:pPr>
                  <w:r>
                    <w:rPr>
                      <w:rFonts w:hint="eastAsia" w:ascii="Times New Roman" w:hAnsi="Times New Roman" w:cs="Times New Roman"/>
                      <w:color w:val="auto"/>
                      <w:kern w:val="0"/>
                      <w:szCs w:val="21"/>
                      <w:highlight w:val="none"/>
                      <w:lang w:val="en-US" w:eastAsia="zh-CN"/>
                    </w:rPr>
                    <w:t>60</w:t>
                  </w:r>
                </w:p>
              </w:tc>
              <w:tc>
                <w:tcPr>
                  <w:tcW w:w="599" w:type="pct"/>
                  <w:noWrap w:val="0"/>
                  <w:vAlign w:val="center"/>
                </w:tcPr>
                <w:p w14:paraId="2C4FA2A2">
                  <w:pPr>
                    <w:widowControl/>
                    <w:jc w:val="center"/>
                    <w:textAlignment w:val="center"/>
                    <w:rPr>
                      <w:color w:val="auto"/>
                      <w:szCs w:val="21"/>
                      <w:highlight w:val="none"/>
                    </w:rPr>
                  </w:pPr>
                  <w:r>
                    <w:rPr>
                      <w:rFonts w:hint="eastAsia" w:ascii="Times New Roman" w:hAnsi="Times New Roman" w:cs="Times New Roman"/>
                      <w:color w:val="auto"/>
                      <w:kern w:val="0"/>
                      <w:szCs w:val="21"/>
                      <w:highlight w:val="none"/>
                      <w:lang w:val="en-US" w:eastAsia="zh-CN"/>
                    </w:rPr>
                    <w:t>70.0</w:t>
                  </w:r>
                  <w:r>
                    <w:rPr>
                      <w:rFonts w:hint="default" w:ascii="Times New Roman" w:hAnsi="Times New Roman" w:cs="Times New Roman"/>
                      <w:color w:val="auto"/>
                      <w:kern w:val="0"/>
                      <w:szCs w:val="21"/>
                      <w:highlight w:val="none"/>
                    </w:rPr>
                    <w:t>%</w:t>
                  </w:r>
                </w:p>
              </w:tc>
              <w:tc>
                <w:tcPr>
                  <w:tcW w:w="593" w:type="pct"/>
                  <w:noWrap w:val="0"/>
                  <w:vAlign w:val="center"/>
                </w:tcPr>
                <w:p w14:paraId="0057219D">
                  <w:pPr>
                    <w:widowControl/>
                    <w:snapToGrid w:val="0"/>
                    <w:spacing w:before="48" w:beforeLines="20" w:after="48" w:afterLines="20"/>
                    <w:jc w:val="center"/>
                    <w:textAlignment w:val="center"/>
                    <w:rPr>
                      <w:color w:val="auto"/>
                      <w:szCs w:val="21"/>
                      <w:highlight w:val="none"/>
                    </w:rPr>
                  </w:pPr>
                  <w:r>
                    <w:rPr>
                      <w:rFonts w:hint="eastAsia" w:ascii="宋体" w:hAnsi="宋体" w:cs="宋体"/>
                      <w:color w:val="auto"/>
                      <w:kern w:val="0"/>
                      <w:szCs w:val="21"/>
                      <w:highlight w:val="none"/>
                      <w:lang w:bidi="ar"/>
                    </w:rPr>
                    <w:t>达标</w:t>
                  </w:r>
                </w:p>
              </w:tc>
            </w:tr>
            <w:tr w14:paraId="0473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noWrap w:val="0"/>
                  <w:vAlign w:val="center"/>
                </w:tcPr>
                <w:p w14:paraId="785E4AE4">
                  <w:pPr>
                    <w:autoSpaceDE w:val="0"/>
                    <w:autoSpaceDN w:val="0"/>
                    <w:adjustRightInd w:val="0"/>
                    <w:snapToGrid w:val="0"/>
                    <w:jc w:val="center"/>
                    <w:rPr>
                      <w:color w:val="auto"/>
                      <w:szCs w:val="21"/>
                      <w:highlight w:val="none"/>
                      <w:vertAlign w:val="subscript"/>
                    </w:rPr>
                  </w:pPr>
                  <w:r>
                    <w:rPr>
                      <w:color w:val="auto"/>
                      <w:szCs w:val="21"/>
                      <w:highlight w:val="none"/>
                      <w:lang w:bidi="ar"/>
                    </w:rPr>
                    <w:t>PM</w:t>
                  </w:r>
                  <w:r>
                    <w:rPr>
                      <w:color w:val="auto"/>
                      <w:szCs w:val="21"/>
                      <w:highlight w:val="none"/>
                      <w:vertAlign w:val="subscript"/>
                      <w:lang w:bidi="ar"/>
                    </w:rPr>
                    <w:t>2.5</w:t>
                  </w:r>
                </w:p>
              </w:tc>
              <w:tc>
                <w:tcPr>
                  <w:tcW w:w="1622" w:type="pct"/>
                  <w:noWrap w:val="0"/>
                  <w:vAlign w:val="center"/>
                </w:tcPr>
                <w:p w14:paraId="2DEF49FD">
                  <w:pPr>
                    <w:jc w:val="center"/>
                    <w:rPr>
                      <w:color w:val="auto"/>
                      <w:szCs w:val="21"/>
                      <w:highlight w:val="none"/>
                    </w:rPr>
                  </w:pPr>
                  <w:r>
                    <w:rPr>
                      <w:rFonts w:hint="eastAsia" w:cs="宋体"/>
                      <w:color w:val="auto"/>
                      <w:szCs w:val="21"/>
                      <w:highlight w:val="none"/>
                      <w:lang w:bidi="ar"/>
                    </w:rPr>
                    <w:t>年平均质量浓度</w:t>
                  </w:r>
                </w:p>
              </w:tc>
              <w:tc>
                <w:tcPr>
                  <w:tcW w:w="753" w:type="pct"/>
                  <w:noWrap w:val="0"/>
                  <w:vAlign w:val="center"/>
                </w:tcPr>
                <w:p w14:paraId="733CEE17">
                  <w:pPr>
                    <w:widowControl/>
                    <w:jc w:val="center"/>
                    <w:textAlignment w:val="center"/>
                    <w:rPr>
                      <w:rFonts w:hint="default" w:eastAsia="宋体"/>
                      <w:color w:val="auto"/>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28.5</w:t>
                  </w:r>
                </w:p>
              </w:tc>
              <w:tc>
                <w:tcPr>
                  <w:tcW w:w="889" w:type="pct"/>
                  <w:noWrap w:val="0"/>
                  <w:vAlign w:val="center"/>
                </w:tcPr>
                <w:p w14:paraId="40480E29">
                  <w:pPr>
                    <w:widowControl/>
                    <w:jc w:val="center"/>
                    <w:textAlignment w:val="center"/>
                    <w:rPr>
                      <w:rFonts w:hint="eastAsia" w:eastAsia="宋体"/>
                      <w:color w:val="auto"/>
                      <w:szCs w:val="21"/>
                      <w:highlight w:val="none"/>
                      <w:lang w:eastAsia="zh-CN"/>
                    </w:rPr>
                  </w:pPr>
                  <w:r>
                    <w:rPr>
                      <w:rFonts w:hint="default" w:ascii="Times New Roman" w:hAnsi="Times New Roman" w:cs="Times New Roman"/>
                      <w:color w:val="auto"/>
                      <w:kern w:val="0"/>
                      <w:szCs w:val="21"/>
                      <w:highlight w:val="none"/>
                    </w:rPr>
                    <w:t>3</w:t>
                  </w:r>
                  <w:r>
                    <w:rPr>
                      <w:rFonts w:hint="eastAsia" w:ascii="Times New Roman" w:hAnsi="Times New Roman" w:cs="Times New Roman"/>
                      <w:color w:val="auto"/>
                      <w:kern w:val="0"/>
                      <w:szCs w:val="21"/>
                      <w:highlight w:val="none"/>
                      <w:lang w:val="en-US" w:eastAsia="zh-CN"/>
                    </w:rPr>
                    <w:t>0</w:t>
                  </w:r>
                </w:p>
              </w:tc>
              <w:tc>
                <w:tcPr>
                  <w:tcW w:w="599" w:type="pct"/>
                  <w:noWrap w:val="0"/>
                  <w:vAlign w:val="center"/>
                </w:tcPr>
                <w:p w14:paraId="49CAA5FC">
                  <w:pPr>
                    <w:widowControl/>
                    <w:jc w:val="center"/>
                    <w:textAlignment w:val="center"/>
                    <w:rPr>
                      <w:color w:val="auto"/>
                      <w:szCs w:val="21"/>
                      <w:highlight w:val="none"/>
                    </w:rPr>
                  </w:pPr>
                  <w:r>
                    <w:rPr>
                      <w:rFonts w:hint="eastAsia" w:ascii="Times New Roman" w:hAnsi="Times New Roman" w:cs="Times New Roman"/>
                      <w:color w:val="auto"/>
                      <w:kern w:val="0"/>
                      <w:szCs w:val="21"/>
                      <w:highlight w:val="none"/>
                      <w:lang w:val="en-US" w:eastAsia="zh-CN"/>
                    </w:rPr>
                    <w:t>95.0</w:t>
                  </w:r>
                  <w:r>
                    <w:rPr>
                      <w:rFonts w:hint="default" w:ascii="Times New Roman" w:hAnsi="Times New Roman" w:cs="Times New Roman"/>
                      <w:color w:val="auto"/>
                      <w:kern w:val="0"/>
                      <w:szCs w:val="21"/>
                      <w:highlight w:val="none"/>
                    </w:rPr>
                    <w:t>%</w:t>
                  </w:r>
                </w:p>
              </w:tc>
              <w:tc>
                <w:tcPr>
                  <w:tcW w:w="593" w:type="pct"/>
                  <w:noWrap w:val="0"/>
                  <w:vAlign w:val="center"/>
                </w:tcPr>
                <w:p w14:paraId="6E3FAF08">
                  <w:pPr>
                    <w:widowControl/>
                    <w:snapToGrid w:val="0"/>
                    <w:spacing w:before="48" w:beforeLines="20" w:after="48" w:afterLines="20"/>
                    <w:jc w:val="center"/>
                    <w:textAlignment w:val="center"/>
                    <w:rPr>
                      <w:color w:val="auto"/>
                      <w:szCs w:val="21"/>
                      <w:highlight w:val="none"/>
                    </w:rPr>
                  </w:pPr>
                  <w:r>
                    <w:rPr>
                      <w:rFonts w:hint="eastAsia" w:ascii="宋体" w:hAnsi="宋体" w:cs="宋体"/>
                      <w:color w:val="auto"/>
                      <w:kern w:val="0"/>
                      <w:szCs w:val="21"/>
                      <w:highlight w:val="none"/>
                      <w:lang w:bidi="ar"/>
                    </w:rPr>
                    <w:t>达标</w:t>
                  </w:r>
                </w:p>
              </w:tc>
            </w:tr>
            <w:tr w14:paraId="6045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1" w:type="pct"/>
                  <w:noWrap w:val="0"/>
                  <w:vAlign w:val="center"/>
                </w:tcPr>
                <w:p w14:paraId="06139363">
                  <w:pPr>
                    <w:autoSpaceDE w:val="0"/>
                    <w:autoSpaceDN w:val="0"/>
                    <w:adjustRightInd w:val="0"/>
                    <w:snapToGrid w:val="0"/>
                    <w:jc w:val="center"/>
                    <w:rPr>
                      <w:color w:val="auto"/>
                      <w:szCs w:val="21"/>
                      <w:highlight w:val="none"/>
                    </w:rPr>
                  </w:pPr>
                  <w:r>
                    <w:rPr>
                      <w:color w:val="auto"/>
                      <w:szCs w:val="21"/>
                      <w:highlight w:val="none"/>
                      <w:lang w:bidi="ar"/>
                    </w:rPr>
                    <w:t>SO</w:t>
                  </w:r>
                  <w:r>
                    <w:rPr>
                      <w:color w:val="auto"/>
                      <w:szCs w:val="21"/>
                      <w:highlight w:val="none"/>
                      <w:vertAlign w:val="subscript"/>
                      <w:lang w:bidi="ar"/>
                    </w:rPr>
                    <w:t>2</w:t>
                  </w:r>
                </w:p>
              </w:tc>
              <w:tc>
                <w:tcPr>
                  <w:tcW w:w="1622" w:type="pct"/>
                  <w:noWrap w:val="0"/>
                  <w:vAlign w:val="center"/>
                </w:tcPr>
                <w:p w14:paraId="139F0C16">
                  <w:pPr>
                    <w:autoSpaceDE w:val="0"/>
                    <w:autoSpaceDN w:val="0"/>
                    <w:adjustRightInd w:val="0"/>
                    <w:snapToGrid w:val="0"/>
                    <w:jc w:val="center"/>
                    <w:rPr>
                      <w:color w:val="auto"/>
                      <w:szCs w:val="21"/>
                      <w:highlight w:val="none"/>
                    </w:rPr>
                  </w:pPr>
                  <w:r>
                    <w:rPr>
                      <w:rFonts w:hint="eastAsia" w:cs="宋体"/>
                      <w:color w:val="auto"/>
                      <w:szCs w:val="21"/>
                      <w:highlight w:val="none"/>
                      <w:lang w:bidi="ar"/>
                    </w:rPr>
                    <w:t>年平均质量浓度</w:t>
                  </w:r>
                </w:p>
              </w:tc>
              <w:tc>
                <w:tcPr>
                  <w:tcW w:w="753" w:type="pct"/>
                  <w:noWrap w:val="0"/>
                  <w:vAlign w:val="center"/>
                </w:tcPr>
                <w:p w14:paraId="24DFD30E">
                  <w:pPr>
                    <w:widowControl/>
                    <w:jc w:val="center"/>
                    <w:textAlignment w:val="center"/>
                    <w:rPr>
                      <w:rFonts w:hint="eastAsia" w:eastAsia="宋体"/>
                      <w:color w:val="auto"/>
                      <w:szCs w:val="21"/>
                      <w:highlight w:val="none"/>
                      <w:lang w:eastAsia="zh-CN"/>
                    </w:rPr>
                  </w:pPr>
                  <w:r>
                    <w:rPr>
                      <w:rFonts w:hint="eastAsia" w:ascii="Times New Roman" w:hAnsi="Times New Roman" w:eastAsia="宋体" w:cs="Times New Roman"/>
                      <w:color w:val="auto"/>
                      <w:kern w:val="0"/>
                      <w:szCs w:val="21"/>
                      <w:highlight w:val="none"/>
                      <w:lang w:val="en-US" w:eastAsia="zh-CN"/>
                    </w:rPr>
                    <w:t>6</w:t>
                  </w:r>
                </w:p>
              </w:tc>
              <w:tc>
                <w:tcPr>
                  <w:tcW w:w="889" w:type="pct"/>
                  <w:noWrap w:val="0"/>
                  <w:vAlign w:val="center"/>
                </w:tcPr>
                <w:p w14:paraId="68980C48">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60</w:t>
                  </w:r>
                </w:p>
              </w:tc>
              <w:tc>
                <w:tcPr>
                  <w:tcW w:w="599" w:type="pct"/>
                  <w:noWrap w:val="0"/>
                  <w:vAlign w:val="center"/>
                </w:tcPr>
                <w:p w14:paraId="25D51FC0">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1</w:t>
                  </w:r>
                  <w:r>
                    <w:rPr>
                      <w:rFonts w:hint="eastAsia" w:ascii="Times New Roman" w:hAnsi="Times New Roman" w:cs="Times New Roman"/>
                      <w:color w:val="auto"/>
                      <w:kern w:val="0"/>
                      <w:szCs w:val="21"/>
                      <w:highlight w:val="none"/>
                      <w:lang w:val="en-US" w:eastAsia="zh-CN"/>
                    </w:rPr>
                    <w:t>0.0</w:t>
                  </w:r>
                  <w:r>
                    <w:rPr>
                      <w:rFonts w:hint="default" w:ascii="Times New Roman" w:hAnsi="Times New Roman" w:cs="Times New Roman"/>
                      <w:color w:val="auto"/>
                      <w:kern w:val="0"/>
                      <w:szCs w:val="21"/>
                      <w:highlight w:val="none"/>
                    </w:rPr>
                    <w:t>%</w:t>
                  </w:r>
                </w:p>
              </w:tc>
              <w:tc>
                <w:tcPr>
                  <w:tcW w:w="593" w:type="pct"/>
                  <w:noWrap w:val="0"/>
                  <w:vAlign w:val="center"/>
                </w:tcPr>
                <w:p w14:paraId="2E804281">
                  <w:pPr>
                    <w:widowControl/>
                    <w:snapToGrid w:val="0"/>
                    <w:spacing w:before="48" w:beforeLines="20" w:after="48" w:afterLines="20"/>
                    <w:jc w:val="center"/>
                    <w:textAlignment w:val="center"/>
                    <w:rPr>
                      <w:color w:val="auto"/>
                      <w:szCs w:val="21"/>
                      <w:highlight w:val="none"/>
                    </w:rPr>
                  </w:pPr>
                  <w:r>
                    <w:rPr>
                      <w:rFonts w:hint="eastAsia" w:ascii="宋体" w:hAnsi="宋体" w:cs="宋体"/>
                      <w:color w:val="auto"/>
                      <w:kern w:val="0"/>
                      <w:szCs w:val="21"/>
                      <w:highlight w:val="none"/>
                      <w:lang w:bidi="ar"/>
                    </w:rPr>
                    <w:t>达标</w:t>
                  </w:r>
                </w:p>
              </w:tc>
            </w:tr>
            <w:tr w14:paraId="1F58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noWrap w:val="0"/>
                  <w:vAlign w:val="center"/>
                </w:tcPr>
                <w:p w14:paraId="11CBAC7E">
                  <w:pPr>
                    <w:autoSpaceDE w:val="0"/>
                    <w:autoSpaceDN w:val="0"/>
                    <w:adjustRightInd w:val="0"/>
                    <w:snapToGrid w:val="0"/>
                    <w:jc w:val="center"/>
                    <w:rPr>
                      <w:color w:val="auto"/>
                      <w:szCs w:val="21"/>
                      <w:highlight w:val="none"/>
                    </w:rPr>
                  </w:pPr>
                  <w:r>
                    <w:rPr>
                      <w:color w:val="auto"/>
                      <w:szCs w:val="21"/>
                      <w:highlight w:val="none"/>
                      <w:lang w:bidi="ar"/>
                    </w:rPr>
                    <w:t>NO</w:t>
                  </w:r>
                  <w:r>
                    <w:rPr>
                      <w:color w:val="auto"/>
                      <w:szCs w:val="21"/>
                      <w:highlight w:val="none"/>
                      <w:vertAlign w:val="subscript"/>
                      <w:lang w:bidi="ar"/>
                    </w:rPr>
                    <w:t>2</w:t>
                  </w:r>
                </w:p>
              </w:tc>
              <w:tc>
                <w:tcPr>
                  <w:tcW w:w="1622" w:type="pct"/>
                  <w:noWrap w:val="0"/>
                  <w:vAlign w:val="center"/>
                </w:tcPr>
                <w:p w14:paraId="4D307563">
                  <w:pPr>
                    <w:jc w:val="center"/>
                    <w:rPr>
                      <w:color w:val="auto"/>
                      <w:szCs w:val="21"/>
                      <w:highlight w:val="none"/>
                    </w:rPr>
                  </w:pPr>
                  <w:r>
                    <w:rPr>
                      <w:rFonts w:hint="eastAsia" w:cs="宋体"/>
                      <w:color w:val="auto"/>
                      <w:szCs w:val="21"/>
                      <w:highlight w:val="none"/>
                      <w:lang w:bidi="ar"/>
                    </w:rPr>
                    <w:t>年平均质量浓度</w:t>
                  </w:r>
                </w:p>
              </w:tc>
              <w:tc>
                <w:tcPr>
                  <w:tcW w:w="753" w:type="pct"/>
                  <w:noWrap w:val="0"/>
                  <w:vAlign w:val="center"/>
                </w:tcPr>
                <w:p w14:paraId="6F152A53">
                  <w:pPr>
                    <w:widowControl/>
                    <w:jc w:val="center"/>
                    <w:textAlignment w:val="center"/>
                    <w:rPr>
                      <w:rFonts w:hint="eastAsia" w:eastAsia="宋体"/>
                      <w:color w:val="auto"/>
                      <w:szCs w:val="21"/>
                      <w:highlight w:val="none"/>
                      <w:lang w:eastAsia="zh-CN"/>
                    </w:rPr>
                  </w:pPr>
                  <w:r>
                    <w:rPr>
                      <w:rFonts w:hint="default" w:ascii="Times New Roman" w:hAnsi="Times New Roman" w:cs="Times New Roman"/>
                      <w:color w:val="auto"/>
                      <w:kern w:val="0"/>
                      <w:szCs w:val="21"/>
                      <w:highlight w:val="none"/>
                    </w:rPr>
                    <w:t>14</w:t>
                  </w:r>
                </w:p>
              </w:tc>
              <w:tc>
                <w:tcPr>
                  <w:tcW w:w="889" w:type="pct"/>
                  <w:noWrap w:val="0"/>
                  <w:vAlign w:val="center"/>
                </w:tcPr>
                <w:p w14:paraId="3CAD4F34">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40</w:t>
                  </w:r>
                </w:p>
              </w:tc>
              <w:tc>
                <w:tcPr>
                  <w:tcW w:w="599" w:type="pct"/>
                  <w:noWrap w:val="0"/>
                  <w:vAlign w:val="center"/>
                </w:tcPr>
                <w:p w14:paraId="553E6482">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35.0%</w:t>
                  </w:r>
                </w:p>
              </w:tc>
              <w:tc>
                <w:tcPr>
                  <w:tcW w:w="593" w:type="pct"/>
                  <w:noWrap w:val="0"/>
                  <w:vAlign w:val="center"/>
                </w:tcPr>
                <w:p w14:paraId="6D7E287C">
                  <w:pPr>
                    <w:widowControl/>
                    <w:snapToGrid w:val="0"/>
                    <w:spacing w:before="48" w:beforeLines="20" w:after="48" w:afterLines="20"/>
                    <w:jc w:val="center"/>
                    <w:textAlignment w:val="center"/>
                    <w:rPr>
                      <w:color w:val="auto"/>
                      <w:szCs w:val="21"/>
                      <w:highlight w:val="none"/>
                    </w:rPr>
                  </w:pPr>
                  <w:r>
                    <w:rPr>
                      <w:rFonts w:hint="eastAsia" w:ascii="宋体" w:hAnsi="宋体" w:cs="宋体"/>
                      <w:color w:val="auto"/>
                      <w:kern w:val="0"/>
                      <w:szCs w:val="21"/>
                      <w:highlight w:val="none"/>
                      <w:lang w:bidi="ar"/>
                    </w:rPr>
                    <w:t>达标</w:t>
                  </w:r>
                </w:p>
              </w:tc>
            </w:tr>
            <w:tr w14:paraId="1F47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noWrap w:val="0"/>
                  <w:vAlign w:val="center"/>
                </w:tcPr>
                <w:p w14:paraId="20316B04">
                  <w:pPr>
                    <w:autoSpaceDE w:val="0"/>
                    <w:autoSpaceDN w:val="0"/>
                    <w:adjustRightInd w:val="0"/>
                    <w:snapToGrid w:val="0"/>
                    <w:jc w:val="center"/>
                    <w:rPr>
                      <w:color w:val="auto"/>
                      <w:szCs w:val="21"/>
                      <w:highlight w:val="none"/>
                    </w:rPr>
                  </w:pPr>
                  <w:r>
                    <w:rPr>
                      <w:color w:val="auto"/>
                      <w:szCs w:val="21"/>
                      <w:highlight w:val="none"/>
                      <w:lang w:bidi="ar"/>
                    </w:rPr>
                    <w:t>CO</w:t>
                  </w:r>
                </w:p>
              </w:tc>
              <w:tc>
                <w:tcPr>
                  <w:tcW w:w="1622" w:type="pct"/>
                  <w:noWrap w:val="0"/>
                  <w:vAlign w:val="center"/>
                </w:tcPr>
                <w:p w14:paraId="5E07F381">
                  <w:pPr>
                    <w:jc w:val="center"/>
                    <w:rPr>
                      <w:color w:val="auto"/>
                      <w:szCs w:val="21"/>
                      <w:highlight w:val="none"/>
                    </w:rPr>
                  </w:pPr>
                  <w:r>
                    <w:rPr>
                      <w:color w:val="auto"/>
                      <w:szCs w:val="21"/>
                      <w:highlight w:val="none"/>
                      <w:lang w:bidi="ar"/>
                    </w:rPr>
                    <w:t>95%</w:t>
                  </w:r>
                  <w:r>
                    <w:rPr>
                      <w:rFonts w:hint="eastAsia" w:cs="宋体"/>
                      <w:color w:val="auto"/>
                      <w:szCs w:val="21"/>
                      <w:highlight w:val="none"/>
                      <w:lang w:bidi="ar"/>
                    </w:rPr>
                    <w:t>保证率日平均质量浓度</w:t>
                  </w:r>
                </w:p>
              </w:tc>
              <w:tc>
                <w:tcPr>
                  <w:tcW w:w="753" w:type="pct"/>
                  <w:noWrap w:val="0"/>
                  <w:vAlign w:val="center"/>
                </w:tcPr>
                <w:p w14:paraId="2BD0E1B9">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1200</w:t>
                  </w:r>
                </w:p>
              </w:tc>
              <w:tc>
                <w:tcPr>
                  <w:tcW w:w="889" w:type="pct"/>
                  <w:noWrap w:val="0"/>
                  <w:vAlign w:val="center"/>
                </w:tcPr>
                <w:p w14:paraId="4EE362B3">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4000</w:t>
                  </w:r>
                </w:p>
              </w:tc>
              <w:tc>
                <w:tcPr>
                  <w:tcW w:w="599" w:type="pct"/>
                  <w:noWrap w:val="0"/>
                  <w:vAlign w:val="center"/>
                </w:tcPr>
                <w:p w14:paraId="5DF10E1E">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30.0%</w:t>
                  </w:r>
                </w:p>
              </w:tc>
              <w:tc>
                <w:tcPr>
                  <w:tcW w:w="593" w:type="pct"/>
                  <w:noWrap w:val="0"/>
                  <w:vAlign w:val="center"/>
                </w:tcPr>
                <w:p w14:paraId="325E94ED">
                  <w:pPr>
                    <w:widowControl/>
                    <w:snapToGrid w:val="0"/>
                    <w:spacing w:before="48" w:beforeLines="20" w:after="48" w:afterLines="20"/>
                    <w:jc w:val="center"/>
                    <w:textAlignment w:val="center"/>
                    <w:rPr>
                      <w:color w:val="auto"/>
                      <w:szCs w:val="21"/>
                      <w:highlight w:val="none"/>
                    </w:rPr>
                  </w:pPr>
                  <w:r>
                    <w:rPr>
                      <w:rFonts w:hint="eastAsia" w:ascii="宋体" w:hAnsi="宋体" w:cs="宋体"/>
                      <w:color w:val="auto"/>
                      <w:kern w:val="0"/>
                      <w:szCs w:val="21"/>
                      <w:highlight w:val="none"/>
                      <w:lang w:bidi="ar"/>
                    </w:rPr>
                    <w:t>达标</w:t>
                  </w:r>
                </w:p>
              </w:tc>
            </w:tr>
            <w:tr w14:paraId="1B79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noWrap w:val="0"/>
                  <w:vAlign w:val="center"/>
                </w:tcPr>
                <w:p w14:paraId="79B3B10B">
                  <w:pPr>
                    <w:widowControl/>
                    <w:jc w:val="center"/>
                    <w:rPr>
                      <w:color w:val="auto"/>
                      <w:szCs w:val="21"/>
                      <w:highlight w:val="none"/>
                    </w:rPr>
                  </w:pPr>
                  <w:r>
                    <w:rPr>
                      <w:color w:val="auto"/>
                      <w:szCs w:val="21"/>
                      <w:highlight w:val="none"/>
                      <w:lang w:bidi="ar"/>
                    </w:rPr>
                    <w:t>O</w:t>
                  </w:r>
                  <w:r>
                    <w:rPr>
                      <w:color w:val="auto"/>
                      <w:szCs w:val="21"/>
                      <w:highlight w:val="none"/>
                      <w:vertAlign w:val="subscript"/>
                      <w:lang w:bidi="ar"/>
                    </w:rPr>
                    <w:t>3</w:t>
                  </w:r>
                </w:p>
              </w:tc>
              <w:tc>
                <w:tcPr>
                  <w:tcW w:w="1622" w:type="pct"/>
                  <w:noWrap w:val="0"/>
                  <w:vAlign w:val="center"/>
                </w:tcPr>
                <w:p w14:paraId="4D4212E1">
                  <w:pPr>
                    <w:autoSpaceDE w:val="0"/>
                    <w:autoSpaceDN w:val="0"/>
                    <w:adjustRightInd w:val="0"/>
                    <w:snapToGrid w:val="0"/>
                    <w:jc w:val="center"/>
                    <w:rPr>
                      <w:color w:val="auto"/>
                      <w:szCs w:val="21"/>
                      <w:highlight w:val="none"/>
                    </w:rPr>
                  </w:pPr>
                  <w:r>
                    <w:rPr>
                      <w:color w:val="auto"/>
                      <w:szCs w:val="21"/>
                      <w:highlight w:val="none"/>
                      <w:lang w:bidi="ar"/>
                    </w:rPr>
                    <w:t>90%</w:t>
                  </w:r>
                  <w:r>
                    <w:rPr>
                      <w:rFonts w:hint="eastAsia" w:cs="宋体"/>
                      <w:color w:val="auto"/>
                      <w:szCs w:val="21"/>
                      <w:highlight w:val="none"/>
                      <w:lang w:bidi="ar"/>
                    </w:rPr>
                    <w:t>保证率</w:t>
                  </w:r>
                  <w:r>
                    <w:rPr>
                      <w:color w:val="auto"/>
                      <w:szCs w:val="21"/>
                      <w:highlight w:val="none"/>
                      <w:lang w:bidi="ar"/>
                    </w:rPr>
                    <w:t>8</w:t>
                  </w:r>
                  <w:r>
                    <w:rPr>
                      <w:rFonts w:hint="eastAsia" w:cs="宋体"/>
                      <w:color w:val="auto"/>
                      <w:szCs w:val="21"/>
                      <w:highlight w:val="none"/>
                      <w:lang w:bidi="ar"/>
                    </w:rPr>
                    <w:t>小时平均质量浓度</w:t>
                  </w:r>
                </w:p>
              </w:tc>
              <w:tc>
                <w:tcPr>
                  <w:tcW w:w="753" w:type="pct"/>
                  <w:noWrap w:val="0"/>
                  <w:vAlign w:val="center"/>
                </w:tcPr>
                <w:p w14:paraId="0CB21502">
                  <w:pPr>
                    <w:widowControl/>
                    <w:jc w:val="center"/>
                    <w:textAlignment w:val="center"/>
                    <w:rPr>
                      <w:rFonts w:hint="default" w:eastAsia="宋体"/>
                      <w:color w:val="auto"/>
                      <w:szCs w:val="21"/>
                      <w:highlight w:val="none"/>
                      <w:lang w:val="en-US" w:eastAsia="zh-CN"/>
                    </w:rPr>
                  </w:pPr>
                  <w:r>
                    <w:rPr>
                      <w:rFonts w:hint="default" w:ascii="Times New Roman" w:hAnsi="Times New Roman" w:cs="Times New Roman"/>
                      <w:color w:val="auto"/>
                      <w:kern w:val="0"/>
                      <w:szCs w:val="21"/>
                      <w:highlight w:val="none"/>
                    </w:rPr>
                    <w:t>120</w:t>
                  </w:r>
                </w:p>
              </w:tc>
              <w:tc>
                <w:tcPr>
                  <w:tcW w:w="889" w:type="pct"/>
                  <w:noWrap w:val="0"/>
                  <w:vAlign w:val="center"/>
                </w:tcPr>
                <w:p w14:paraId="63F9D056">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160</w:t>
                  </w:r>
                </w:p>
              </w:tc>
              <w:tc>
                <w:tcPr>
                  <w:tcW w:w="599" w:type="pct"/>
                  <w:noWrap w:val="0"/>
                  <w:vAlign w:val="center"/>
                </w:tcPr>
                <w:p w14:paraId="1FE553AD">
                  <w:pPr>
                    <w:widowControl/>
                    <w:jc w:val="center"/>
                    <w:textAlignment w:val="center"/>
                    <w:rPr>
                      <w:color w:val="auto"/>
                      <w:szCs w:val="21"/>
                      <w:highlight w:val="none"/>
                    </w:rPr>
                  </w:pPr>
                  <w:r>
                    <w:rPr>
                      <w:rFonts w:hint="default" w:ascii="Times New Roman" w:hAnsi="Times New Roman" w:cs="Times New Roman"/>
                      <w:color w:val="auto"/>
                      <w:kern w:val="0"/>
                      <w:szCs w:val="21"/>
                      <w:highlight w:val="none"/>
                    </w:rPr>
                    <w:t>75.0%</w:t>
                  </w:r>
                </w:p>
              </w:tc>
              <w:tc>
                <w:tcPr>
                  <w:tcW w:w="593" w:type="pct"/>
                  <w:noWrap w:val="0"/>
                  <w:vAlign w:val="center"/>
                </w:tcPr>
                <w:p w14:paraId="5B2FFD89">
                  <w:pPr>
                    <w:widowControl/>
                    <w:snapToGrid w:val="0"/>
                    <w:spacing w:before="48" w:beforeLines="20" w:after="48" w:afterLines="20"/>
                    <w:jc w:val="center"/>
                    <w:textAlignment w:val="center"/>
                    <w:rPr>
                      <w:color w:val="auto"/>
                      <w:szCs w:val="21"/>
                      <w:highlight w:val="none"/>
                    </w:rPr>
                  </w:pPr>
                  <w:r>
                    <w:rPr>
                      <w:rFonts w:hint="eastAsia" w:ascii="宋体" w:hAnsi="宋体" w:cs="宋体"/>
                      <w:color w:val="auto"/>
                      <w:kern w:val="0"/>
                      <w:szCs w:val="21"/>
                      <w:highlight w:val="none"/>
                      <w:lang w:bidi="ar"/>
                    </w:rPr>
                    <w:t>达标</w:t>
                  </w:r>
                </w:p>
              </w:tc>
            </w:tr>
            <w:tr w14:paraId="4727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noWrap w:val="0"/>
                  <w:vAlign w:val="center"/>
                </w:tcPr>
                <w:p w14:paraId="3E8DD200">
                  <w:pPr>
                    <w:widowControl/>
                    <w:snapToGrid w:val="0"/>
                    <w:spacing w:before="48" w:beforeLines="20" w:after="48" w:afterLines="20"/>
                    <w:jc w:val="center"/>
                    <w:textAlignment w:val="center"/>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eastAsia="zh-CN" w:bidi="ar"/>
                    </w:rPr>
                    <w:t>注：</w:t>
                  </w:r>
                  <w:r>
                    <w:rPr>
                      <w:rFonts w:hint="default" w:ascii="Times New Roman" w:hAnsi="Times New Roman" w:cs="Times New Roman"/>
                      <w:color w:val="auto"/>
                      <w:kern w:val="0"/>
                      <w:szCs w:val="21"/>
                      <w:highlight w:val="none"/>
                      <w:lang w:eastAsia="zh-CN" w:bidi="ar"/>
                    </w:rPr>
                    <w:t>《环境空气质量标准》(GB3095-2026)已于2026年3月1日起实施且自实施之日起至2030年12月31日止，基本污染物执行该标准中过渡阶段浓度限值，因此本次评价</w:t>
                  </w:r>
                  <w:r>
                    <w:rPr>
                      <w:rFonts w:hint="eastAsia" w:ascii="Times New Roman" w:hAnsi="Times New Roman" w:cs="Times New Roman"/>
                      <w:color w:val="auto"/>
                      <w:kern w:val="0"/>
                      <w:szCs w:val="21"/>
                      <w:highlight w:val="none"/>
                      <w:lang w:eastAsia="zh-CN" w:bidi="ar"/>
                    </w:rPr>
                    <w:t>采用</w:t>
                  </w:r>
                  <w:r>
                    <w:rPr>
                      <w:rFonts w:hint="default" w:ascii="Times New Roman" w:hAnsi="Times New Roman" w:cs="Times New Roman"/>
                      <w:color w:val="auto"/>
                      <w:kern w:val="0"/>
                      <w:szCs w:val="21"/>
                      <w:highlight w:val="none"/>
                      <w:lang w:eastAsia="zh-CN" w:bidi="ar"/>
                    </w:rPr>
                    <w:t>“</w:t>
                  </w:r>
                  <w:r>
                    <w:rPr>
                      <w:rFonts w:hint="eastAsia" w:ascii="Times New Roman" w:hAnsi="Times New Roman" w:cs="Times New Roman"/>
                      <w:color w:val="auto"/>
                      <w:kern w:val="0"/>
                      <w:szCs w:val="21"/>
                      <w:highlight w:val="none"/>
                      <w:lang w:eastAsia="zh-CN" w:bidi="ar"/>
                    </w:rPr>
                    <w:t>过渡阶段浓度限值</w:t>
                  </w:r>
                  <w:r>
                    <w:rPr>
                      <w:rFonts w:hint="default" w:ascii="Times New Roman" w:hAnsi="Times New Roman" w:cs="Times New Roman"/>
                      <w:color w:val="auto"/>
                      <w:kern w:val="0"/>
                      <w:szCs w:val="21"/>
                      <w:highlight w:val="none"/>
                      <w:lang w:eastAsia="zh-CN" w:bidi="ar"/>
                    </w:rPr>
                    <w:t>”进行判定。</w:t>
                  </w:r>
                </w:p>
              </w:tc>
            </w:tr>
          </w:tbl>
          <w:p w14:paraId="4D03EF0E">
            <w:pPr>
              <w:snapToGrid w:val="0"/>
              <w:spacing w:line="360" w:lineRule="auto"/>
              <w:ind w:firstLine="480" w:firstLineChars="200"/>
              <w:rPr>
                <w:color w:val="auto"/>
                <w:sz w:val="24"/>
                <w:highlight w:val="none"/>
              </w:rPr>
            </w:pPr>
            <w:r>
              <w:rPr>
                <w:rFonts w:hint="default" w:ascii="Times New Roman" w:hAnsi="Times New Roman" w:cs="Times New Roman"/>
                <w:color w:val="auto"/>
                <w:sz w:val="24"/>
                <w:highlight w:val="none"/>
              </w:rPr>
              <w:t>从202</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年环境空气质量监测数据来看，上述污染物在对应评价指标下的现状浓度均达标</w:t>
            </w:r>
            <w:r>
              <w:rPr>
                <w:rFonts w:hint="eastAsia" w:cs="宋体"/>
                <w:color w:val="auto"/>
                <w:sz w:val="24"/>
                <w:highlight w:val="none"/>
                <w:lang w:bidi="ar"/>
              </w:rPr>
              <w:t>。</w:t>
            </w:r>
          </w:p>
          <w:p w14:paraId="116EACF7">
            <w:pPr>
              <w:pStyle w:val="44"/>
              <w:spacing w:line="360" w:lineRule="auto"/>
              <w:ind w:firstLine="480" w:firstLineChars="200"/>
              <w:rPr>
                <w:rFonts w:hint="default" w:ascii="Times New Roman" w:hAnsi="Times New Roman"/>
                <w:color w:val="auto"/>
                <w:highlight w:val="none"/>
              </w:rPr>
            </w:pPr>
            <w:r>
              <w:rPr>
                <w:rFonts w:hint="default" w:ascii="Times New Roman" w:hAnsi="Times New Roman"/>
                <w:color w:val="auto"/>
                <w:highlight w:val="none"/>
              </w:rPr>
              <w:t>2、其他污染物</w:t>
            </w:r>
          </w:p>
          <w:p w14:paraId="3826F034">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本项目运营期</w:t>
            </w:r>
            <w:r>
              <w:rPr>
                <w:rFonts w:hint="default" w:ascii="Times New Roman" w:hAnsi="Times New Roman" w:cs="Times New Roman"/>
                <w:color w:val="auto"/>
                <w:sz w:val="24"/>
                <w:highlight w:val="none"/>
                <w:lang w:val="en-US" w:eastAsia="zh-CN"/>
              </w:rPr>
              <w:t>大气</w:t>
            </w:r>
            <w:r>
              <w:rPr>
                <w:rFonts w:hint="default" w:ascii="Times New Roman" w:hAnsi="Times New Roman" w:cs="Times New Roman"/>
                <w:color w:val="auto"/>
                <w:sz w:val="24"/>
                <w:highlight w:val="none"/>
              </w:rPr>
              <w:t>特征污染物</w:t>
            </w:r>
            <w:r>
              <w:rPr>
                <w:rFonts w:hint="eastAsia" w:ascii="Times New Roman" w:hAnsi="Times New Roman" w:cs="Times New Roman"/>
                <w:color w:val="auto"/>
                <w:sz w:val="24"/>
                <w:highlight w:val="none"/>
                <w:lang w:eastAsia="zh-CN"/>
              </w:rPr>
              <w:t>主要</w:t>
            </w:r>
            <w:r>
              <w:rPr>
                <w:rFonts w:hint="default" w:ascii="Times New Roman" w:hAnsi="Times New Roman" w:cs="Times New Roman"/>
                <w:color w:val="auto"/>
                <w:sz w:val="24"/>
                <w:highlight w:val="none"/>
              </w:rPr>
              <w:t>为</w:t>
            </w:r>
            <w:r>
              <w:rPr>
                <w:rFonts w:hint="eastAsia" w:ascii="Times New Roman" w:hAnsi="Times New Roman" w:cs="Times New Roman"/>
                <w:color w:val="auto"/>
                <w:sz w:val="24"/>
                <w:highlight w:val="none"/>
                <w:vertAlign w:val="baseline"/>
                <w:lang w:eastAsia="zh-CN"/>
              </w:rPr>
              <w:t>非甲烷总烃</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本次</w:t>
            </w:r>
            <w:r>
              <w:rPr>
                <w:rFonts w:hint="default" w:ascii="Times New Roman" w:hAnsi="Times New Roman" w:cs="Times New Roman"/>
                <w:color w:val="auto"/>
                <w:sz w:val="24"/>
                <w:highlight w:val="none"/>
              </w:rPr>
              <w:t>引用《陕西洋县农业高新技术产业示范区建设发展规划（2023-2027 年）环境影响报告书》中大气环境质量现状监测数据</w:t>
            </w:r>
            <w:r>
              <w:rPr>
                <w:rFonts w:hint="default" w:ascii="Times New Roman" w:hAnsi="Times New Roman" w:cs="Times New Roman"/>
                <w:color w:val="auto"/>
                <w:sz w:val="24"/>
                <w:szCs w:val="24"/>
                <w:highlight w:val="none"/>
              </w:rPr>
              <w:t>，</w:t>
            </w:r>
            <w:r>
              <w:rPr>
                <w:rFonts w:hint="eastAsia" w:ascii="宋体" w:hAnsi="宋体" w:eastAsia="宋体" w:cs="宋体"/>
                <w:b w:val="0"/>
                <w:bCs w:val="0"/>
                <w:color w:val="auto"/>
                <w:sz w:val="24"/>
                <w:szCs w:val="24"/>
                <w:highlight w:val="none"/>
              </w:rPr>
              <w:t>监测时间</w:t>
            </w:r>
            <w:r>
              <w:rPr>
                <w:rFonts w:ascii="Times New Roman PS MT" w:hAnsi="Times New Roman PS MT" w:eastAsia="Times New Roman PS MT" w:cs="Times New Roman PS MT"/>
                <w:b w:val="0"/>
                <w:bCs w:val="0"/>
                <w:color w:val="auto"/>
                <w:sz w:val="24"/>
                <w:szCs w:val="24"/>
                <w:highlight w:val="none"/>
              </w:rPr>
              <w:t>2023</w:t>
            </w:r>
            <w:r>
              <w:rPr>
                <w:rFonts w:hint="eastAsia" w:ascii="宋体" w:hAnsi="宋体" w:eastAsia="宋体" w:cs="宋体"/>
                <w:b w:val="0"/>
                <w:bCs w:val="0"/>
                <w:color w:val="auto"/>
                <w:sz w:val="24"/>
                <w:szCs w:val="24"/>
                <w:highlight w:val="none"/>
              </w:rPr>
              <w:t>年</w:t>
            </w:r>
            <w:r>
              <w:rPr>
                <w:rFonts w:hint="default" w:ascii="Times New Roman PS MT" w:hAnsi="Times New Roman PS MT" w:eastAsia="Times New Roman PS MT" w:cs="Times New Roman PS MT"/>
                <w:b w:val="0"/>
                <w:bCs w:val="0"/>
                <w:color w:val="auto"/>
                <w:sz w:val="24"/>
                <w:szCs w:val="24"/>
                <w:highlight w:val="none"/>
              </w:rPr>
              <w:t>8</w:t>
            </w:r>
            <w:r>
              <w:rPr>
                <w:rFonts w:hint="eastAsia" w:ascii="宋体" w:hAnsi="宋体" w:eastAsia="宋体" w:cs="宋体"/>
                <w:b w:val="0"/>
                <w:bCs w:val="0"/>
                <w:color w:val="auto"/>
                <w:sz w:val="24"/>
                <w:szCs w:val="24"/>
                <w:highlight w:val="none"/>
              </w:rPr>
              <w:t>月</w:t>
            </w:r>
            <w:r>
              <w:rPr>
                <w:rFonts w:hint="default" w:ascii="Times New Roman PS MT" w:hAnsi="Times New Roman PS MT" w:eastAsia="Times New Roman PS MT" w:cs="Times New Roman PS MT"/>
                <w:b w:val="0"/>
                <w:bCs w:val="0"/>
                <w:color w:val="auto"/>
                <w:sz w:val="24"/>
                <w:szCs w:val="24"/>
                <w:highlight w:val="none"/>
              </w:rPr>
              <w:t>21</w:t>
            </w:r>
            <w:r>
              <w:rPr>
                <w:rFonts w:hint="eastAsia" w:ascii="宋体" w:hAnsi="宋体" w:eastAsia="宋体" w:cs="宋体"/>
                <w:b w:val="0"/>
                <w:bCs w:val="0"/>
                <w:color w:val="auto"/>
                <w:sz w:val="24"/>
                <w:szCs w:val="24"/>
                <w:highlight w:val="none"/>
              </w:rPr>
              <w:t>日</w:t>
            </w:r>
            <w:r>
              <w:rPr>
                <w:rFonts w:hint="default" w:ascii="Times New Roman PS MT" w:hAnsi="Times New Roman PS MT" w:eastAsia="Times New Roman PS MT" w:cs="Times New Roman PS MT"/>
                <w:b w:val="0"/>
                <w:bCs w:val="0"/>
                <w:color w:val="auto"/>
                <w:sz w:val="24"/>
                <w:szCs w:val="24"/>
                <w:highlight w:val="none"/>
              </w:rPr>
              <w:t>-8</w:t>
            </w:r>
            <w:r>
              <w:rPr>
                <w:rFonts w:hint="eastAsia" w:ascii="宋体" w:hAnsi="宋体" w:eastAsia="宋体" w:cs="宋体"/>
                <w:b w:val="0"/>
                <w:bCs w:val="0"/>
                <w:color w:val="auto"/>
                <w:sz w:val="24"/>
                <w:szCs w:val="24"/>
                <w:highlight w:val="none"/>
              </w:rPr>
              <w:t>月</w:t>
            </w:r>
            <w:r>
              <w:rPr>
                <w:rFonts w:hint="default" w:ascii="Times New Roman PS MT" w:hAnsi="Times New Roman PS MT" w:eastAsia="Times New Roman PS MT" w:cs="Times New Roman PS MT"/>
                <w:b w:val="0"/>
                <w:bCs w:val="0"/>
                <w:color w:val="auto"/>
                <w:sz w:val="24"/>
                <w:szCs w:val="24"/>
                <w:highlight w:val="none"/>
              </w:rPr>
              <w:t>30</w:t>
            </w:r>
            <w:r>
              <w:rPr>
                <w:rFonts w:hint="eastAsia" w:ascii="宋体" w:hAnsi="宋体" w:eastAsia="宋体" w:cs="宋体"/>
                <w:b w:val="0"/>
                <w:bCs w:val="0"/>
                <w:color w:val="auto"/>
                <w:sz w:val="24"/>
                <w:szCs w:val="24"/>
                <w:highlight w:val="none"/>
              </w:rPr>
              <w:t>日</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从</w:t>
            </w:r>
            <w:r>
              <w:rPr>
                <w:rFonts w:hint="default" w:ascii="Times New Roman" w:hAnsi="Times New Roman" w:cs="Times New Roman"/>
                <w:color w:val="auto"/>
                <w:kern w:val="0"/>
                <w:sz w:val="24"/>
                <w:szCs w:val="24"/>
                <w:highlight w:val="none"/>
              </w:rPr>
              <w:t>监测</w:t>
            </w:r>
            <w:r>
              <w:rPr>
                <w:rFonts w:hint="default" w:ascii="Times New Roman" w:hAnsi="Times New Roman" w:cs="Times New Roman"/>
                <w:color w:val="auto"/>
                <w:kern w:val="0"/>
                <w:sz w:val="24"/>
                <w:highlight w:val="none"/>
                <w:lang w:val="en-US" w:eastAsia="zh-CN"/>
              </w:rPr>
              <w:t>期</w:t>
            </w:r>
            <w:r>
              <w:rPr>
                <w:rFonts w:hint="default" w:ascii="Times New Roman" w:hAnsi="Times New Roman" w:cs="Times New Roman"/>
                <w:color w:val="auto"/>
                <w:kern w:val="0"/>
                <w:sz w:val="24"/>
                <w:highlight w:val="none"/>
              </w:rPr>
              <w:t>至今，</w:t>
            </w:r>
            <w:r>
              <w:rPr>
                <w:rFonts w:hint="default" w:ascii="Times New Roman" w:hAnsi="Times New Roman" w:cs="Times New Roman"/>
                <w:color w:val="auto"/>
                <w:kern w:val="0"/>
                <w:sz w:val="24"/>
                <w:highlight w:val="none"/>
                <w:lang w:val="en-US" w:eastAsia="zh-CN"/>
              </w:rPr>
              <w:t>项目周边</w:t>
            </w:r>
            <w:r>
              <w:rPr>
                <w:rFonts w:hint="default" w:ascii="Times New Roman" w:hAnsi="Times New Roman" w:cs="Times New Roman"/>
                <w:color w:val="auto"/>
                <w:kern w:val="0"/>
                <w:sz w:val="24"/>
                <w:highlight w:val="none"/>
              </w:rPr>
              <w:t>未发生重大环境变化，监测点位于本项目</w:t>
            </w:r>
            <w:r>
              <w:rPr>
                <w:rFonts w:hint="default" w:ascii="Times New Roman" w:hAnsi="Times New Roman" w:cs="Times New Roman"/>
                <w:color w:val="auto"/>
                <w:kern w:val="0"/>
                <w:sz w:val="24"/>
                <w:highlight w:val="none"/>
                <w:lang w:val="en-US" w:eastAsia="zh-CN"/>
              </w:rPr>
              <w:t>地</w:t>
            </w:r>
            <w:r>
              <w:rPr>
                <w:rFonts w:hint="default" w:ascii="Times New Roman" w:hAnsi="Times New Roman" w:cs="Times New Roman"/>
                <w:color w:val="auto"/>
                <w:kern w:val="0"/>
                <w:sz w:val="24"/>
                <w:highlight w:val="none"/>
              </w:rPr>
              <w:t>西</w:t>
            </w:r>
            <w:r>
              <w:rPr>
                <w:rFonts w:hint="default" w:ascii="Times New Roman" w:hAnsi="Times New Roman" w:cs="Times New Roman"/>
                <w:color w:val="auto"/>
                <w:kern w:val="0"/>
                <w:sz w:val="24"/>
                <w:highlight w:val="none"/>
                <w:lang w:val="en-US" w:eastAsia="zh-CN"/>
              </w:rPr>
              <w:t>南</w:t>
            </w:r>
            <w:r>
              <w:rPr>
                <w:rFonts w:hint="default" w:ascii="Times New Roman" w:hAnsi="Times New Roman" w:cs="Times New Roman"/>
                <w:color w:val="auto"/>
                <w:kern w:val="0"/>
                <w:sz w:val="24"/>
                <w:highlight w:val="none"/>
              </w:rPr>
              <w:t>侧</w:t>
            </w:r>
            <w:r>
              <w:rPr>
                <w:rFonts w:hint="eastAsia" w:ascii="Times New Roman" w:hAnsi="Times New Roman" w:cs="Times New Roman"/>
                <w:color w:val="auto"/>
                <w:kern w:val="0"/>
                <w:sz w:val="24"/>
                <w:highlight w:val="none"/>
                <w:lang w:val="en-US" w:eastAsia="zh-CN"/>
              </w:rPr>
              <w:t>250</w:t>
            </w:r>
            <w:r>
              <w:rPr>
                <w:rFonts w:hint="default" w:ascii="Times New Roman" w:hAnsi="Times New Roman" w:cs="Times New Roman"/>
                <w:color w:val="auto"/>
                <w:kern w:val="0"/>
                <w:sz w:val="24"/>
                <w:highlight w:val="none"/>
              </w:rPr>
              <w:t>m</w:t>
            </w:r>
            <w:r>
              <w:rPr>
                <w:rFonts w:hint="default" w:ascii="Times New Roman" w:hAnsi="Times New Roman" w:cs="Times New Roman"/>
                <w:color w:val="auto"/>
                <w:kern w:val="0"/>
                <w:sz w:val="24"/>
                <w:highlight w:val="none"/>
                <w:lang w:val="en-US" w:eastAsia="zh-CN"/>
              </w:rPr>
              <w:t>处，相隔</w:t>
            </w:r>
            <w:r>
              <w:rPr>
                <w:rFonts w:hint="default" w:ascii="Times New Roman" w:hAnsi="Times New Roman" w:cs="Times New Roman"/>
                <w:color w:val="auto"/>
                <w:kern w:val="0"/>
                <w:sz w:val="24"/>
                <w:highlight w:val="none"/>
              </w:rPr>
              <w:t>距离＜5km，监测时限未超过三年，符合《建设项目环境影响报告表编制技术指南》（污染影响类）（试行）中质量数据有效性的相关要求。</w:t>
            </w:r>
            <w:r>
              <w:rPr>
                <w:rFonts w:hint="default" w:ascii="Times New Roman" w:hAnsi="Times New Roman" w:cs="Times New Roman"/>
                <w:color w:val="auto"/>
                <w:sz w:val="24"/>
                <w:highlight w:val="none"/>
              </w:rPr>
              <w:t>引用监测点位图见附图</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，结果如下</w:t>
            </w:r>
            <w:r>
              <w:rPr>
                <w:rFonts w:hint="eastAsia" w:ascii="Times New Roman" w:hAnsi="Times New Roman" w:cs="Times New Roman"/>
                <w:color w:val="auto"/>
                <w:sz w:val="24"/>
                <w:highlight w:val="none"/>
                <w:lang w:eastAsia="zh-CN"/>
              </w:rPr>
              <w:t>。</w:t>
            </w:r>
          </w:p>
          <w:p w14:paraId="7315AA50">
            <w:pPr>
              <w:tabs>
                <w:tab w:val="left" w:leader="middleDot" w:pos="8399"/>
              </w:tabs>
              <w:ind w:firstLine="42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表3-2  特征污染物</w:t>
            </w:r>
            <w:r>
              <w:rPr>
                <w:rFonts w:hint="eastAsia" w:ascii="Times New Roman" w:hAnsi="Times New Roman" w:cs="Times New Roman"/>
                <w:b/>
                <w:bCs/>
                <w:color w:val="auto"/>
                <w:highlight w:val="none"/>
                <w:lang w:eastAsia="zh-CN"/>
              </w:rPr>
              <w:t>引用</w:t>
            </w:r>
            <w:r>
              <w:rPr>
                <w:rFonts w:hint="default" w:ascii="Times New Roman" w:hAnsi="Times New Roman" w:cs="Times New Roman"/>
                <w:b/>
                <w:bCs/>
                <w:color w:val="auto"/>
                <w:highlight w:val="none"/>
              </w:rPr>
              <w:t>监测点位基本信息表</w:t>
            </w:r>
          </w:p>
          <w:tbl>
            <w:tblPr>
              <w:tblStyle w:val="28"/>
              <w:tblW w:w="8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6"/>
              <w:gridCol w:w="902"/>
              <w:gridCol w:w="1050"/>
              <w:gridCol w:w="1400"/>
              <w:gridCol w:w="1449"/>
              <w:gridCol w:w="1076"/>
              <w:gridCol w:w="1095"/>
            </w:tblGrid>
            <w:tr w14:paraId="01AA0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96" w:type="dxa"/>
                  <w:vMerge w:val="restart"/>
                  <w:tcBorders>
                    <w:tl2br w:val="nil"/>
                    <w:tr2bl w:val="nil"/>
                  </w:tcBorders>
                  <w:noWrap w:val="0"/>
                  <w:vAlign w:val="center"/>
                </w:tcPr>
                <w:p w14:paraId="0DB87744">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监测点名称</w:t>
                  </w:r>
                </w:p>
              </w:tc>
              <w:tc>
                <w:tcPr>
                  <w:tcW w:w="1952" w:type="dxa"/>
                  <w:gridSpan w:val="2"/>
                  <w:tcBorders>
                    <w:tl2br w:val="nil"/>
                    <w:tr2bl w:val="nil"/>
                  </w:tcBorders>
                  <w:noWrap w:val="0"/>
                  <w:vAlign w:val="center"/>
                </w:tcPr>
                <w:p w14:paraId="4B681763">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监测点坐标/m</w:t>
                  </w:r>
                </w:p>
              </w:tc>
              <w:tc>
                <w:tcPr>
                  <w:tcW w:w="1400" w:type="dxa"/>
                  <w:vMerge w:val="restart"/>
                  <w:tcBorders>
                    <w:tl2br w:val="nil"/>
                    <w:tr2bl w:val="nil"/>
                  </w:tcBorders>
                  <w:noWrap w:val="0"/>
                  <w:vAlign w:val="center"/>
                </w:tcPr>
                <w:p w14:paraId="3733FDBC">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监测因子</w:t>
                  </w:r>
                </w:p>
              </w:tc>
              <w:tc>
                <w:tcPr>
                  <w:tcW w:w="1449" w:type="dxa"/>
                  <w:vMerge w:val="restart"/>
                  <w:tcBorders>
                    <w:tl2br w:val="nil"/>
                    <w:tr2bl w:val="nil"/>
                  </w:tcBorders>
                  <w:noWrap w:val="0"/>
                  <w:vAlign w:val="center"/>
                </w:tcPr>
                <w:p w14:paraId="6FBB5D46">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监测时段</w:t>
                  </w:r>
                </w:p>
              </w:tc>
              <w:tc>
                <w:tcPr>
                  <w:tcW w:w="1076" w:type="dxa"/>
                  <w:vMerge w:val="restart"/>
                  <w:tcBorders>
                    <w:tl2br w:val="nil"/>
                    <w:tr2bl w:val="nil"/>
                  </w:tcBorders>
                  <w:noWrap w:val="0"/>
                  <w:vAlign w:val="center"/>
                </w:tcPr>
                <w:p w14:paraId="76300827">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相对厂址方位</w:t>
                  </w:r>
                </w:p>
              </w:tc>
              <w:tc>
                <w:tcPr>
                  <w:tcW w:w="1095" w:type="dxa"/>
                  <w:vMerge w:val="restart"/>
                  <w:tcBorders>
                    <w:tl2br w:val="nil"/>
                    <w:tr2bl w:val="nil"/>
                  </w:tcBorders>
                  <w:noWrap w:val="0"/>
                  <w:vAlign w:val="center"/>
                </w:tcPr>
                <w:p w14:paraId="41ACAD2B">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相对厂界距离/m</w:t>
                  </w:r>
                </w:p>
              </w:tc>
            </w:tr>
            <w:tr w14:paraId="535D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96" w:type="dxa"/>
                  <w:vMerge w:val="continue"/>
                  <w:tcBorders>
                    <w:tl2br w:val="nil"/>
                    <w:tr2bl w:val="nil"/>
                  </w:tcBorders>
                  <w:noWrap w:val="0"/>
                  <w:vAlign w:val="center"/>
                </w:tcPr>
                <w:p w14:paraId="31B4DB6C">
                  <w:pPr>
                    <w:pStyle w:val="9"/>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highlight w:val="none"/>
                    </w:rPr>
                  </w:pPr>
                </w:p>
              </w:tc>
              <w:tc>
                <w:tcPr>
                  <w:tcW w:w="902" w:type="dxa"/>
                  <w:tcBorders>
                    <w:tl2br w:val="nil"/>
                    <w:tr2bl w:val="nil"/>
                  </w:tcBorders>
                  <w:noWrap w:val="0"/>
                  <w:vAlign w:val="center"/>
                </w:tcPr>
                <w:p w14:paraId="6988323B">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X</w:t>
                  </w:r>
                </w:p>
              </w:tc>
              <w:tc>
                <w:tcPr>
                  <w:tcW w:w="1050" w:type="dxa"/>
                  <w:tcBorders>
                    <w:tl2br w:val="nil"/>
                    <w:tr2bl w:val="nil"/>
                  </w:tcBorders>
                  <w:noWrap w:val="0"/>
                  <w:vAlign w:val="center"/>
                </w:tcPr>
                <w:p w14:paraId="5FACA98B">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Y</w:t>
                  </w:r>
                </w:p>
              </w:tc>
              <w:tc>
                <w:tcPr>
                  <w:tcW w:w="1400" w:type="dxa"/>
                  <w:vMerge w:val="continue"/>
                  <w:tcBorders>
                    <w:tl2br w:val="nil"/>
                    <w:tr2bl w:val="nil"/>
                  </w:tcBorders>
                  <w:noWrap w:val="0"/>
                  <w:vAlign w:val="center"/>
                </w:tcPr>
                <w:p w14:paraId="7EA56F83">
                  <w:pPr>
                    <w:pStyle w:val="9"/>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highlight w:val="none"/>
                    </w:rPr>
                  </w:pPr>
                </w:p>
              </w:tc>
              <w:tc>
                <w:tcPr>
                  <w:tcW w:w="1449" w:type="dxa"/>
                  <w:vMerge w:val="continue"/>
                  <w:tcBorders>
                    <w:tl2br w:val="nil"/>
                    <w:tr2bl w:val="nil"/>
                  </w:tcBorders>
                  <w:noWrap w:val="0"/>
                  <w:vAlign w:val="center"/>
                </w:tcPr>
                <w:p w14:paraId="0AE7251D">
                  <w:pPr>
                    <w:pStyle w:val="9"/>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highlight w:val="none"/>
                    </w:rPr>
                  </w:pPr>
                </w:p>
              </w:tc>
              <w:tc>
                <w:tcPr>
                  <w:tcW w:w="1076" w:type="dxa"/>
                  <w:vMerge w:val="continue"/>
                  <w:tcBorders>
                    <w:tl2br w:val="nil"/>
                    <w:tr2bl w:val="nil"/>
                  </w:tcBorders>
                  <w:noWrap w:val="0"/>
                  <w:vAlign w:val="center"/>
                </w:tcPr>
                <w:p w14:paraId="376C2C4D">
                  <w:pPr>
                    <w:pStyle w:val="9"/>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highlight w:val="none"/>
                    </w:rPr>
                  </w:pPr>
                </w:p>
              </w:tc>
              <w:tc>
                <w:tcPr>
                  <w:tcW w:w="1095" w:type="dxa"/>
                  <w:vMerge w:val="continue"/>
                  <w:tcBorders>
                    <w:tl2br w:val="nil"/>
                    <w:tr2bl w:val="nil"/>
                  </w:tcBorders>
                  <w:noWrap w:val="0"/>
                  <w:vAlign w:val="center"/>
                </w:tcPr>
                <w:p w14:paraId="56FA8709">
                  <w:pPr>
                    <w:pStyle w:val="9"/>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highlight w:val="none"/>
                    </w:rPr>
                  </w:pPr>
                </w:p>
              </w:tc>
            </w:tr>
            <w:tr w14:paraId="1BAB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096" w:type="dxa"/>
                  <w:tcBorders>
                    <w:tl2br w:val="nil"/>
                    <w:tr2bl w:val="nil"/>
                  </w:tcBorders>
                  <w:noWrap w:val="0"/>
                  <w:vAlign w:val="center"/>
                </w:tcPr>
                <w:p w14:paraId="286D2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项目地下风向</w:t>
                  </w:r>
                </w:p>
              </w:tc>
              <w:tc>
                <w:tcPr>
                  <w:tcW w:w="902" w:type="dxa"/>
                  <w:tcBorders>
                    <w:tl2br w:val="nil"/>
                    <w:tr2bl w:val="nil"/>
                  </w:tcBorders>
                  <w:noWrap w:val="0"/>
                  <w:vAlign w:val="center"/>
                </w:tcPr>
                <w:p w14:paraId="5D5113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739221</w:t>
                  </w:r>
                </w:p>
              </w:tc>
              <w:tc>
                <w:tcPr>
                  <w:tcW w:w="1050" w:type="dxa"/>
                  <w:tcBorders>
                    <w:tl2br w:val="nil"/>
                    <w:tr2bl w:val="nil"/>
                  </w:tcBorders>
                  <w:noWrap w:val="0"/>
                  <w:vAlign w:val="center"/>
                </w:tcPr>
                <w:p w14:paraId="41CD0B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3678327</w:t>
                  </w:r>
                </w:p>
              </w:tc>
              <w:tc>
                <w:tcPr>
                  <w:tcW w:w="1400" w:type="dxa"/>
                  <w:tcBorders>
                    <w:tl2br w:val="nil"/>
                    <w:tr2bl w:val="nil"/>
                  </w:tcBorders>
                  <w:noWrap w:val="0"/>
                  <w:vAlign w:val="center"/>
                </w:tcPr>
                <w:p w14:paraId="7911B54A">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NMHC</w:t>
                  </w:r>
                </w:p>
              </w:tc>
              <w:tc>
                <w:tcPr>
                  <w:tcW w:w="1449" w:type="dxa"/>
                  <w:tcBorders>
                    <w:tl2br w:val="nil"/>
                    <w:tr2bl w:val="nil"/>
                  </w:tcBorders>
                  <w:noWrap w:val="0"/>
                  <w:vAlign w:val="center"/>
                </w:tcPr>
                <w:p w14:paraId="32A681F6">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202</w:t>
                  </w:r>
                  <w:r>
                    <w:rPr>
                      <w:rFonts w:hint="eastAsia" w:ascii="Times New Roman" w:hAnsi="Times New Roman" w:eastAsia="宋体"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val="en-US" w:eastAsia="zh-CN"/>
                    </w:rPr>
                    <w:t>8</w:t>
                  </w:r>
                  <w:r>
                    <w:rPr>
                      <w:rFonts w:hint="default" w:ascii="Times New Roman" w:hAnsi="Times New Roman" w:eastAsia="宋体" w:cs="Times New Roman"/>
                      <w:b w:val="0"/>
                      <w:bCs/>
                      <w:color w:val="auto"/>
                      <w:sz w:val="21"/>
                      <w:szCs w:val="21"/>
                      <w:highlight w:val="none"/>
                    </w:rPr>
                    <w:t>.2</w:t>
                  </w:r>
                  <w:r>
                    <w:rPr>
                      <w:rFonts w:hint="eastAsia"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8</w:t>
                  </w:r>
                  <w:r>
                    <w:rPr>
                      <w:rFonts w:hint="default" w:ascii="Times New Roman" w:hAnsi="Times New Roman" w:eastAsia="宋体" w:cs="Times New Roman"/>
                      <w:b w:val="0"/>
                      <w:bCs/>
                      <w:color w:val="auto"/>
                      <w:sz w:val="21"/>
                      <w:szCs w:val="21"/>
                      <w:highlight w:val="none"/>
                    </w:rPr>
                    <w:t>.</w:t>
                  </w:r>
                  <w:r>
                    <w:rPr>
                      <w:rFonts w:hint="eastAsia" w:ascii="Times New Roman" w:hAnsi="Times New Roman" w:eastAsia="宋体" w:cs="Times New Roman"/>
                      <w:b w:val="0"/>
                      <w:bCs/>
                      <w:color w:val="auto"/>
                      <w:sz w:val="21"/>
                      <w:szCs w:val="21"/>
                      <w:highlight w:val="none"/>
                      <w:lang w:val="en-US" w:eastAsia="zh-CN"/>
                    </w:rPr>
                    <w:t>30</w:t>
                  </w:r>
                </w:p>
              </w:tc>
              <w:tc>
                <w:tcPr>
                  <w:tcW w:w="1076" w:type="dxa"/>
                  <w:tcBorders>
                    <w:tl2br w:val="nil"/>
                    <w:tr2bl w:val="nil"/>
                  </w:tcBorders>
                  <w:noWrap w:val="0"/>
                  <w:vAlign w:val="center"/>
                </w:tcPr>
                <w:p w14:paraId="20BBA9E0">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SW</w:t>
                  </w:r>
                </w:p>
              </w:tc>
              <w:tc>
                <w:tcPr>
                  <w:tcW w:w="1095" w:type="dxa"/>
                  <w:tcBorders>
                    <w:tl2br w:val="nil"/>
                    <w:tr2bl w:val="nil"/>
                  </w:tcBorders>
                  <w:noWrap w:val="0"/>
                  <w:vAlign w:val="center"/>
                </w:tcPr>
                <w:p w14:paraId="2A7E188B">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250</w:t>
                  </w:r>
                </w:p>
              </w:tc>
            </w:tr>
          </w:tbl>
          <w:p w14:paraId="73A1373A">
            <w:pPr>
              <w:tabs>
                <w:tab w:val="left" w:leader="middleDot" w:pos="8399"/>
              </w:tabs>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表3-3  特征污染物现状</w:t>
            </w:r>
            <w:r>
              <w:rPr>
                <w:rFonts w:hint="eastAsia" w:ascii="Times New Roman" w:hAnsi="Times New Roman" w:cs="Times New Roman"/>
                <w:b/>
                <w:bCs/>
                <w:color w:val="auto"/>
                <w:highlight w:val="none"/>
                <w:lang w:eastAsia="zh-CN"/>
              </w:rPr>
              <w:t>引用</w:t>
            </w:r>
            <w:r>
              <w:rPr>
                <w:rFonts w:hint="default" w:ascii="Times New Roman" w:hAnsi="Times New Roman" w:cs="Times New Roman"/>
                <w:b/>
                <w:bCs/>
                <w:color w:val="auto"/>
                <w:highlight w:val="none"/>
              </w:rPr>
              <w:t>监测结果</w:t>
            </w:r>
          </w:p>
          <w:tbl>
            <w:tblPr>
              <w:tblStyle w:val="28"/>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896"/>
              <w:gridCol w:w="1480"/>
              <w:gridCol w:w="1686"/>
              <w:gridCol w:w="1391"/>
              <w:gridCol w:w="825"/>
              <w:gridCol w:w="863"/>
            </w:tblGrid>
            <w:tr w14:paraId="6464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57" w:type="dxa"/>
                  <w:tcBorders>
                    <w:tl2br w:val="nil"/>
                    <w:tr2bl w:val="nil"/>
                  </w:tcBorders>
                  <w:noWrap w:val="0"/>
                  <w:vAlign w:val="center"/>
                </w:tcPr>
                <w:p w14:paraId="7F20DB82">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污染物</w:t>
                  </w:r>
                </w:p>
              </w:tc>
              <w:tc>
                <w:tcPr>
                  <w:tcW w:w="896" w:type="dxa"/>
                  <w:tcBorders>
                    <w:tl2br w:val="nil"/>
                    <w:tr2bl w:val="nil"/>
                  </w:tcBorders>
                  <w:noWrap w:val="0"/>
                  <w:vAlign w:val="center"/>
                </w:tcPr>
                <w:p w14:paraId="77F685F8">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平均时间</w:t>
                  </w:r>
                </w:p>
              </w:tc>
              <w:tc>
                <w:tcPr>
                  <w:tcW w:w="1480" w:type="dxa"/>
                  <w:tcBorders>
                    <w:tl2br w:val="nil"/>
                    <w:tr2bl w:val="nil"/>
                  </w:tcBorders>
                  <w:noWrap w:val="0"/>
                  <w:vAlign w:val="center"/>
                </w:tcPr>
                <w:p w14:paraId="35DFCF18">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评价标准（mg/m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1686" w:type="dxa"/>
                  <w:tcBorders>
                    <w:tl2br w:val="nil"/>
                    <w:tr2bl w:val="nil"/>
                  </w:tcBorders>
                  <w:noWrap w:val="0"/>
                  <w:vAlign w:val="center"/>
                </w:tcPr>
                <w:p w14:paraId="550CD072">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监测浓度范围（mg/m</w:t>
                  </w:r>
                  <w:r>
                    <w:rPr>
                      <w:rFonts w:hint="default" w:ascii="Times New Roman" w:hAnsi="Times New Roman" w:cs="Times New Roman"/>
                      <w:b w:val="0"/>
                      <w:bCs/>
                      <w:color w:val="auto"/>
                      <w:sz w:val="21"/>
                      <w:szCs w:val="21"/>
                      <w:highlight w:val="none"/>
                      <w:vertAlign w:val="superscript"/>
                    </w:rPr>
                    <w:t>3</w:t>
                  </w:r>
                  <w:r>
                    <w:rPr>
                      <w:rFonts w:hint="default" w:ascii="Times New Roman" w:hAnsi="Times New Roman" w:cs="Times New Roman"/>
                      <w:b w:val="0"/>
                      <w:bCs/>
                      <w:color w:val="auto"/>
                      <w:sz w:val="21"/>
                      <w:szCs w:val="21"/>
                      <w:highlight w:val="none"/>
                    </w:rPr>
                    <w:t>）</w:t>
                  </w:r>
                </w:p>
              </w:tc>
              <w:tc>
                <w:tcPr>
                  <w:tcW w:w="1391" w:type="dxa"/>
                  <w:tcBorders>
                    <w:tl2br w:val="nil"/>
                    <w:tr2bl w:val="nil"/>
                  </w:tcBorders>
                  <w:noWrap w:val="0"/>
                  <w:vAlign w:val="center"/>
                </w:tcPr>
                <w:p w14:paraId="3BA129AC">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最大浓度占标率/%</w:t>
                  </w:r>
                </w:p>
              </w:tc>
              <w:tc>
                <w:tcPr>
                  <w:tcW w:w="825" w:type="dxa"/>
                  <w:tcBorders>
                    <w:tl2br w:val="nil"/>
                    <w:tr2bl w:val="nil"/>
                  </w:tcBorders>
                  <w:noWrap w:val="0"/>
                  <w:vAlign w:val="center"/>
                </w:tcPr>
                <w:p w14:paraId="49CE7623">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超标率/%</w:t>
                  </w:r>
                </w:p>
              </w:tc>
              <w:tc>
                <w:tcPr>
                  <w:tcW w:w="863" w:type="dxa"/>
                  <w:tcBorders>
                    <w:tl2br w:val="nil"/>
                    <w:tr2bl w:val="nil"/>
                  </w:tcBorders>
                  <w:noWrap w:val="0"/>
                  <w:vAlign w:val="center"/>
                </w:tcPr>
                <w:p w14:paraId="7E48E876">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达标情况</w:t>
                  </w:r>
                </w:p>
              </w:tc>
            </w:tr>
            <w:tr w14:paraId="0AFD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tcBorders>
                    <w:tl2br w:val="nil"/>
                    <w:tr2bl w:val="nil"/>
                  </w:tcBorders>
                  <w:noWrap w:val="0"/>
                  <w:vAlign w:val="center"/>
                </w:tcPr>
                <w:p w14:paraId="7C27671B">
                  <w:pPr>
                    <w:pStyle w:val="8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NMHC</w:t>
                  </w:r>
                </w:p>
              </w:tc>
              <w:tc>
                <w:tcPr>
                  <w:tcW w:w="896" w:type="dxa"/>
                  <w:tcBorders>
                    <w:tl2br w:val="nil"/>
                    <w:tr2bl w:val="nil"/>
                  </w:tcBorders>
                  <w:noWrap w:val="0"/>
                  <w:vAlign w:val="center"/>
                </w:tcPr>
                <w:p w14:paraId="3B5B2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1h</w:t>
                  </w:r>
                </w:p>
              </w:tc>
              <w:tc>
                <w:tcPr>
                  <w:tcW w:w="1480" w:type="dxa"/>
                  <w:tcBorders>
                    <w:tl2br w:val="nil"/>
                    <w:tr2bl w:val="nil"/>
                  </w:tcBorders>
                  <w:noWrap w:val="0"/>
                  <w:vAlign w:val="center"/>
                </w:tcPr>
                <w:p w14:paraId="3D36B4C9">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cs="Times New Roman"/>
                      <w:color w:val="auto"/>
                      <w:sz w:val="21"/>
                      <w:szCs w:val="24"/>
                      <w:highlight w:val="none"/>
                      <w:lang w:val="en-US" w:eastAsia="zh-CN"/>
                    </w:rPr>
                    <w:t>2.0</w:t>
                  </w:r>
                </w:p>
              </w:tc>
              <w:tc>
                <w:tcPr>
                  <w:tcW w:w="1686" w:type="dxa"/>
                  <w:tcBorders>
                    <w:tl2br w:val="nil"/>
                    <w:tr2bl w:val="nil"/>
                  </w:tcBorders>
                  <w:noWrap w:val="0"/>
                  <w:vAlign w:val="center"/>
                </w:tcPr>
                <w:p w14:paraId="65B075DF">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cs="Times New Roman"/>
                      <w:color w:val="auto"/>
                      <w:sz w:val="21"/>
                      <w:szCs w:val="24"/>
                      <w:highlight w:val="none"/>
                      <w:lang w:val="en-US" w:eastAsia="zh-CN"/>
                    </w:rPr>
                    <w:t>1.36~1.62</w:t>
                  </w:r>
                </w:p>
              </w:tc>
              <w:tc>
                <w:tcPr>
                  <w:tcW w:w="1391" w:type="dxa"/>
                  <w:tcBorders>
                    <w:tl2br w:val="nil"/>
                    <w:tr2bl w:val="nil"/>
                  </w:tcBorders>
                  <w:noWrap w:val="0"/>
                  <w:vAlign w:val="center"/>
                </w:tcPr>
                <w:p w14:paraId="27454733">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4"/>
                      <w:highlight w:val="none"/>
                      <w:lang w:val="en-US" w:eastAsia="zh-CN"/>
                    </w:rPr>
                  </w:pPr>
                  <w:r>
                    <w:rPr>
                      <w:rFonts w:hint="eastAsia" w:ascii="Times New Roman" w:hAnsi="Times New Roman" w:cs="Times New Roman"/>
                      <w:color w:val="auto"/>
                      <w:sz w:val="21"/>
                      <w:szCs w:val="24"/>
                      <w:highlight w:val="none"/>
                      <w:lang w:val="en-US" w:eastAsia="zh-CN"/>
                    </w:rPr>
                    <w:t>81</w:t>
                  </w:r>
                </w:p>
              </w:tc>
              <w:tc>
                <w:tcPr>
                  <w:tcW w:w="825" w:type="dxa"/>
                  <w:tcBorders>
                    <w:tl2br w:val="nil"/>
                    <w:tr2bl w:val="nil"/>
                  </w:tcBorders>
                  <w:noWrap w:val="0"/>
                  <w:vAlign w:val="center"/>
                </w:tcPr>
                <w:p w14:paraId="2679DAB8">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4"/>
                      <w:highlight w:val="none"/>
                      <w:lang w:val="en-US" w:eastAsia="zh-CN"/>
                    </w:rPr>
                  </w:pPr>
                  <w:r>
                    <w:rPr>
                      <w:rFonts w:hint="eastAsia" w:ascii="Times New Roman" w:hAnsi="Times New Roman" w:cs="Times New Roman"/>
                      <w:color w:val="auto"/>
                      <w:sz w:val="21"/>
                      <w:szCs w:val="24"/>
                      <w:highlight w:val="none"/>
                      <w:lang w:val="en-US" w:eastAsia="zh-CN"/>
                    </w:rPr>
                    <w:t>0</w:t>
                  </w:r>
                </w:p>
              </w:tc>
              <w:tc>
                <w:tcPr>
                  <w:tcW w:w="863" w:type="dxa"/>
                  <w:tcBorders>
                    <w:tl2br w:val="nil"/>
                    <w:tr2bl w:val="nil"/>
                  </w:tcBorders>
                  <w:noWrap w:val="0"/>
                  <w:vAlign w:val="center"/>
                </w:tcPr>
                <w:p w14:paraId="43F1DD16">
                  <w:pPr>
                    <w:pStyle w:val="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4"/>
                      <w:highlight w:val="none"/>
                      <w:lang w:eastAsia="zh-CN"/>
                    </w:rPr>
                  </w:pPr>
                  <w:r>
                    <w:rPr>
                      <w:rFonts w:hint="eastAsia" w:ascii="Times New Roman" w:hAnsi="Times New Roman" w:cs="Times New Roman"/>
                      <w:color w:val="auto"/>
                      <w:sz w:val="21"/>
                      <w:szCs w:val="24"/>
                      <w:highlight w:val="none"/>
                      <w:lang w:eastAsia="zh-CN"/>
                    </w:rPr>
                    <w:t>达标</w:t>
                  </w:r>
                </w:p>
              </w:tc>
            </w:tr>
          </w:tbl>
          <w:p w14:paraId="645A8A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rPr>
              <w:t>根</w:t>
            </w:r>
            <w:r>
              <w:rPr>
                <w:rFonts w:hint="default" w:ascii="Times New Roman" w:hAnsi="Times New Roman" w:eastAsia="宋体" w:cs="Times New Roman"/>
                <w:color w:val="auto"/>
                <w:sz w:val="24"/>
                <w:szCs w:val="24"/>
                <w:highlight w:val="none"/>
              </w:rPr>
              <w:t>据监测结果可知，项目区域</w:t>
            </w:r>
            <w:r>
              <w:rPr>
                <w:rFonts w:hint="eastAsia" w:ascii="宋体" w:hAnsi="宋体" w:eastAsia="宋体" w:cs="宋体"/>
                <w:b w:val="0"/>
                <w:bCs w:val="0"/>
                <w:color w:val="auto"/>
                <w:sz w:val="24"/>
                <w:szCs w:val="24"/>
                <w:highlight w:val="none"/>
              </w:rPr>
              <w:t>非甲烷总烃</w:t>
            </w:r>
            <w:r>
              <w:rPr>
                <w:rFonts w:ascii="Times New Roman PS MT" w:hAnsi="Times New Roman PS MT" w:eastAsia="Times New Roman PS MT" w:cs="Times New Roman PS MT"/>
                <w:b w:val="0"/>
                <w:bCs w:val="0"/>
                <w:color w:val="auto"/>
                <w:sz w:val="24"/>
                <w:szCs w:val="24"/>
                <w:highlight w:val="none"/>
              </w:rPr>
              <w:t>1</w:t>
            </w:r>
            <w:r>
              <w:rPr>
                <w:rFonts w:hint="eastAsia" w:ascii="宋体" w:hAnsi="宋体" w:eastAsia="宋体" w:cs="宋体"/>
                <w:b w:val="0"/>
                <w:bCs w:val="0"/>
                <w:color w:val="auto"/>
                <w:sz w:val="24"/>
                <w:szCs w:val="24"/>
                <w:highlight w:val="none"/>
              </w:rPr>
              <w:t>小时平均浓度满足《大气污染物综合排放标准详解》（国家环境保护局科技标准司 中国环境科学出版社）标准要求</w:t>
            </w:r>
            <w:r>
              <w:rPr>
                <w:rFonts w:hint="eastAsia" w:ascii="宋体" w:hAnsi="宋体" w:eastAsia="宋体" w:cs="宋体"/>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rPr>
              <w:t>整体而言，项目区大气环境质量良好。</w:t>
            </w:r>
          </w:p>
          <w:p w14:paraId="44B56352">
            <w:pPr>
              <w:adjustRightInd w:val="0"/>
              <w:snapToGrid w:val="0"/>
              <w:spacing w:line="360" w:lineRule="auto"/>
              <w:rPr>
                <w:b/>
                <w:bCs/>
                <w:color w:val="auto"/>
                <w:sz w:val="24"/>
                <w:highlight w:val="none"/>
              </w:rPr>
            </w:pPr>
            <w:r>
              <w:rPr>
                <w:b/>
                <w:bCs/>
                <w:color w:val="auto"/>
                <w:sz w:val="24"/>
                <w:highlight w:val="none"/>
              </w:rPr>
              <w:t>二、地表水环境质量现状</w:t>
            </w:r>
          </w:p>
          <w:p w14:paraId="63040584">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项目区域内地表水为</w:t>
            </w:r>
            <w:r>
              <w:rPr>
                <w:rFonts w:hint="default" w:ascii="Times New Roman" w:hAnsi="Times New Roman" w:cs="Times New Roman"/>
                <w:color w:val="auto"/>
                <w:sz w:val="24"/>
                <w:highlight w:val="none"/>
                <w:lang w:eastAsia="zh-CN"/>
              </w:rPr>
              <w:t>汉江</w:t>
            </w:r>
            <w:r>
              <w:rPr>
                <w:rFonts w:hint="eastAsia" w:ascii="Times New Roman" w:hAnsi="Times New Roman" w:cs="Times New Roman"/>
                <w:color w:val="auto"/>
                <w:sz w:val="24"/>
                <w:highlight w:val="none"/>
                <w:lang w:eastAsia="zh-CN"/>
              </w:rPr>
              <w:t>和</w:t>
            </w:r>
            <w:r>
              <w:rPr>
                <w:rFonts w:hint="eastAsia" w:ascii="宋体" w:hAnsi="宋体" w:eastAsia="宋体" w:cs="宋体"/>
                <w:b w:val="0"/>
                <w:bCs w:val="0"/>
                <w:color w:val="auto"/>
                <w:sz w:val="24"/>
                <w:szCs w:val="24"/>
                <w:highlight w:val="none"/>
              </w:rPr>
              <w:t>天宁寺河（溪龙河）</w:t>
            </w:r>
            <w:r>
              <w:rPr>
                <w:rFonts w:hint="default" w:ascii="Times New Roman" w:hAnsi="Times New Roman" w:cs="Times New Roman"/>
                <w:color w:val="auto"/>
                <w:sz w:val="24"/>
                <w:highlight w:val="none"/>
              </w:rPr>
              <w:t>，汉江-洋县开发利用区（党水河口至东村）水质目标为《地表水环境质量标准》（GB3838-2002）Ⅲ类</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天宁寺河（又名溪龙河）为汉江一级支流，位于洋县开发利用区，无水功能区划，参照汉江-洋县开发利用区水质目标为《地表水环境质量标准》（GB3838-2002）Ⅲ类。</w:t>
            </w:r>
            <w:r>
              <w:rPr>
                <w:rFonts w:hint="eastAsia" w:ascii="Times New Roman" w:hAnsi="Times New Roman" w:cs="Times New Roman"/>
                <w:color w:val="auto"/>
                <w:sz w:val="24"/>
                <w:highlight w:val="none"/>
                <w:lang w:eastAsia="zh-CN"/>
              </w:rPr>
              <w:t>经对照本项目区域汉江位于党水河入河口下游，因此项目区域水质功能区属于</w:t>
            </w:r>
            <w:r>
              <w:rPr>
                <w:rFonts w:hint="default" w:ascii="Times New Roman" w:hAnsi="Times New Roman" w:cs="Times New Roman"/>
                <w:color w:val="auto"/>
                <w:sz w:val="24"/>
                <w:highlight w:val="none"/>
              </w:rPr>
              <w:t>Ⅲ类</w:t>
            </w:r>
            <w:r>
              <w:rPr>
                <w:rFonts w:hint="eastAsia" w:ascii="Times New Roman" w:hAnsi="Times New Roman" w:cs="Times New Roman"/>
                <w:color w:val="auto"/>
                <w:sz w:val="24"/>
                <w:highlight w:val="none"/>
                <w:lang w:eastAsia="zh-CN"/>
              </w:rPr>
              <w:t>。</w:t>
            </w:r>
          </w:p>
          <w:p w14:paraId="20F7E7E3">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根据《陕西洋县经济技术开发区总体发展规划（2024-2035年）环境影响报告书》中监测结果可知，区域天宁寺河（溪龙河）入汉江下游1500m、</w:t>
            </w:r>
            <w:r>
              <w:rPr>
                <w:rFonts w:hint="default" w:ascii="Times New Roman" w:hAnsi="Times New Roman" w:eastAsia="宋体" w:cs="Times New Roman"/>
                <w:b w:val="0"/>
                <w:bCs w:val="0"/>
                <w:color w:val="auto"/>
                <w:sz w:val="24"/>
                <w:szCs w:val="24"/>
                <w:highlight w:val="none"/>
              </w:rPr>
              <w:t>天宁寺河绿色有机产业园规划范围上游</w:t>
            </w:r>
            <w:r>
              <w:rPr>
                <w:rFonts w:hint="default" w:ascii="Times New Roman" w:hAnsi="Times New Roman" w:eastAsia="宋体" w:cs="Times New Roman"/>
                <w:b w:val="0"/>
                <w:bCs w:val="0"/>
                <w:color w:val="auto"/>
                <w:sz w:val="24"/>
                <w:szCs w:val="24"/>
                <w:highlight w:val="none"/>
                <w:lang w:val="en-US" w:eastAsia="zh-CN"/>
              </w:rPr>
              <w:t>1000m</w:t>
            </w:r>
            <w:r>
              <w:rPr>
                <w:rFonts w:hint="eastAsia" w:ascii="Times New Roman" w:hAnsi="Times New Roman" w:eastAsia="宋体" w:cs="Times New Roman"/>
                <w:b w:val="0"/>
                <w:bCs w:val="0"/>
                <w:color w:val="auto"/>
                <w:sz w:val="24"/>
                <w:szCs w:val="24"/>
                <w:highlight w:val="none"/>
                <w:lang w:val="en-US" w:eastAsia="zh-CN"/>
              </w:rPr>
              <w:t>处2</w:t>
            </w:r>
            <w:r>
              <w:rPr>
                <w:rFonts w:hint="default" w:ascii="Times New Roman" w:hAnsi="Times New Roman" w:eastAsia="宋体" w:cs="Times New Roman"/>
                <w:b w:val="0"/>
                <w:bCs w:val="0"/>
                <w:color w:val="auto"/>
                <w:sz w:val="24"/>
                <w:szCs w:val="24"/>
                <w:highlight w:val="none"/>
                <w:lang w:val="en-US" w:eastAsia="zh-CN"/>
              </w:rPr>
              <w:t>个监测断面的水质监测因子均满足《地表水环境质量标准》（GB3838-2002）Ⅲ类标准限值，因此</w:t>
            </w:r>
            <w:r>
              <w:rPr>
                <w:rFonts w:hint="default" w:ascii="Times New Roman" w:hAnsi="Times New Roman" w:cs="Times New Roman"/>
                <w:color w:val="auto"/>
                <w:sz w:val="24"/>
                <w:szCs w:val="24"/>
                <w:highlight w:val="none"/>
              </w:rPr>
              <w:t>通过类比分析，项目所在区域水质满足《地表水环境质量标准》（GB3838-2002）Ⅲ类水质要求。</w:t>
            </w:r>
          </w:p>
          <w:p w14:paraId="3663A5C5">
            <w:pPr>
              <w:adjustRightInd w:val="0"/>
              <w:snapToGrid w:val="0"/>
              <w:spacing w:line="360" w:lineRule="auto"/>
              <w:jc w:val="left"/>
              <w:rPr>
                <w:b/>
                <w:bCs/>
                <w:color w:val="auto"/>
                <w:sz w:val="24"/>
                <w:highlight w:val="none"/>
              </w:rPr>
            </w:pPr>
            <w:r>
              <w:rPr>
                <w:rFonts w:hint="eastAsia"/>
                <w:b/>
                <w:bCs/>
                <w:color w:val="auto"/>
                <w:sz w:val="24"/>
                <w:highlight w:val="none"/>
              </w:rPr>
              <w:t>三、声环境质量现状</w:t>
            </w:r>
          </w:p>
          <w:p w14:paraId="2D2C69EF">
            <w:pPr>
              <w:pStyle w:val="43"/>
              <w:snapToGrid w:val="0"/>
              <w:spacing w:line="360" w:lineRule="auto"/>
              <w:ind w:firstLine="480" w:firstLineChars="200"/>
              <w:rPr>
                <w:rFonts w:ascii="Times New Roman" w:cs="Times New Roman"/>
                <w:color w:val="auto"/>
                <w:highlight w:val="none"/>
              </w:rPr>
            </w:pPr>
            <w:r>
              <w:rPr>
                <w:rFonts w:ascii="Times New Roman" w:cs="Times New Roman"/>
                <w:color w:val="auto"/>
                <w:highlight w:val="none"/>
              </w:rPr>
              <w:t>据现场踏勘，本项目位于</w:t>
            </w:r>
            <w:r>
              <w:rPr>
                <w:rFonts w:hint="default" w:ascii="Times New Roman" w:hAnsi="Times New Roman" w:cs="Times New Roman"/>
                <w:color w:val="auto"/>
                <w:kern w:val="0"/>
                <w:szCs w:val="21"/>
                <w:highlight w:val="none"/>
              </w:rPr>
              <w:t>洋县经济技术开发区</w:t>
            </w:r>
            <w:r>
              <w:rPr>
                <w:rFonts w:hint="eastAsia" w:ascii="Times New Roman" w:hAnsi="Times New Roman" w:cs="Times New Roman"/>
                <w:color w:val="auto"/>
                <w:kern w:val="0"/>
                <w:szCs w:val="21"/>
                <w:highlight w:val="none"/>
                <w:lang w:eastAsia="zh-CN"/>
              </w:rPr>
              <w:t>中的绿色有机产业园</w:t>
            </w:r>
            <w:r>
              <w:rPr>
                <w:rFonts w:hint="eastAsia" w:ascii="Times New Roman" w:cs="Times New Roman"/>
                <w:color w:val="auto"/>
                <w:highlight w:val="none"/>
              </w:rPr>
              <w:t>，</w:t>
            </w:r>
            <w:r>
              <w:rPr>
                <w:rFonts w:hint="eastAsia" w:ascii="Times New Roman" w:cs="Times New Roman"/>
                <w:color w:val="auto"/>
                <w:highlight w:val="none"/>
                <w:lang w:eastAsia="zh-CN"/>
              </w:rPr>
              <w:t>经对照绿色有机产业园与洋县声环境功能区划对照图（附图</w:t>
            </w:r>
            <w:r>
              <w:rPr>
                <w:rFonts w:hint="eastAsia" w:ascii="Times New Roman" w:cs="Times New Roman"/>
                <w:color w:val="auto"/>
                <w:highlight w:val="none"/>
                <w:lang w:val="en-US" w:eastAsia="zh-CN"/>
              </w:rPr>
              <w:t>5</w:t>
            </w:r>
            <w:r>
              <w:rPr>
                <w:rFonts w:hint="eastAsia" w:ascii="Times New Roman" w:cs="Times New Roman"/>
                <w:color w:val="auto"/>
                <w:highlight w:val="none"/>
                <w:lang w:eastAsia="zh-CN"/>
              </w:rPr>
              <w:t>）可知，项目区域声环境功能区划主要为</w:t>
            </w:r>
            <w:r>
              <w:rPr>
                <w:rFonts w:hint="eastAsia" w:ascii="Times New Roman" w:cs="Times New Roman"/>
                <w:color w:val="auto"/>
                <w:highlight w:val="none"/>
                <w:lang w:val="en-US" w:eastAsia="zh-CN"/>
              </w:rPr>
              <w:t>3类区，项目</w:t>
            </w:r>
            <w:r>
              <w:rPr>
                <w:rFonts w:hint="eastAsia" w:ascii="Times New Roman" w:cs="Times New Roman"/>
                <w:color w:val="auto"/>
                <w:highlight w:val="none"/>
              </w:rPr>
              <w:t>周边多为工业企业</w:t>
            </w:r>
            <w:r>
              <w:rPr>
                <w:rFonts w:ascii="Times New Roman" w:cs="Times New Roman"/>
                <w:color w:val="auto"/>
                <w:highlight w:val="none"/>
              </w:rPr>
              <w:t>，周边50m范围内敏感点</w:t>
            </w:r>
            <w:r>
              <w:rPr>
                <w:rFonts w:hint="eastAsia" w:ascii="Times New Roman" w:cs="Times New Roman"/>
                <w:color w:val="auto"/>
                <w:highlight w:val="none"/>
                <w:lang w:eastAsia="zh-CN"/>
              </w:rPr>
              <w:t>主要为西侧自强花园小区住户及南侧警犬训练基地</w:t>
            </w:r>
            <w:r>
              <w:rPr>
                <w:rFonts w:ascii="Times New Roman" w:cs="Times New Roman"/>
                <w:color w:val="auto"/>
                <w:highlight w:val="none"/>
              </w:rPr>
              <w:t>，建设单位委托</w:t>
            </w:r>
            <w:r>
              <w:rPr>
                <w:rFonts w:hint="eastAsia" w:ascii="Times New Roman" w:cs="Times New Roman"/>
                <w:color w:val="auto"/>
                <w:highlight w:val="none"/>
              </w:rPr>
              <w:t>汉环集团陕西名鸿检测有限公司</w:t>
            </w:r>
            <w:r>
              <w:rPr>
                <w:rFonts w:ascii="Times New Roman" w:cs="Times New Roman"/>
                <w:color w:val="auto"/>
                <w:highlight w:val="none"/>
              </w:rPr>
              <w:t>于</w:t>
            </w:r>
            <w:r>
              <w:rPr>
                <w:rFonts w:hint="eastAsia" w:ascii="Times New Roman" w:cs="Times New Roman"/>
                <w:color w:val="auto"/>
                <w:highlight w:val="none"/>
                <w:lang w:eastAsia="zh-CN"/>
              </w:rPr>
              <w:t>2026年2月2日</w:t>
            </w:r>
            <w:r>
              <w:rPr>
                <w:rFonts w:ascii="Times New Roman" w:cs="Times New Roman"/>
                <w:color w:val="auto"/>
                <w:highlight w:val="none"/>
              </w:rPr>
              <w:t>对项目</w:t>
            </w:r>
            <w:r>
              <w:rPr>
                <w:rFonts w:hint="eastAsia" w:ascii="Times New Roman" w:cs="Times New Roman"/>
                <w:color w:val="auto"/>
                <w:highlight w:val="none"/>
              </w:rPr>
              <w:t>区域</w:t>
            </w:r>
            <w:r>
              <w:rPr>
                <w:rFonts w:hint="eastAsia" w:ascii="Times New Roman" w:cs="Times New Roman"/>
                <w:color w:val="auto"/>
                <w:highlight w:val="none"/>
                <w:lang w:eastAsia="zh-CN"/>
              </w:rPr>
              <w:t>周边敏感点处</w:t>
            </w:r>
            <w:r>
              <w:rPr>
                <w:rFonts w:ascii="Times New Roman" w:cs="Times New Roman"/>
                <w:color w:val="auto"/>
                <w:highlight w:val="none"/>
              </w:rPr>
              <w:t>声环境质量进行了监测，</w:t>
            </w:r>
            <w:r>
              <w:rPr>
                <w:rFonts w:hint="eastAsia" w:ascii="Times New Roman" w:cs="Times New Roman"/>
                <w:color w:val="auto"/>
                <w:highlight w:val="none"/>
              </w:rPr>
              <w:t>监测点位图见</w:t>
            </w:r>
            <w:r>
              <w:rPr>
                <w:rFonts w:hint="eastAsia" w:ascii="Times New Roman" w:cs="Times New Roman"/>
                <w:color w:val="auto"/>
                <w:highlight w:val="none"/>
                <w:lang w:eastAsia="zh-CN"/>
              </w:rPr>
              <w:t>附图</w:t>
            </w:r>
            <w:r>
              <w:rPr>
                <w:rFonts w:hint="eastAsia" w:ascii="Times New Roman" w:cs="Times New Roman"/>
                <w:color w:val="auto"/>
                <w:highlight w:val="none"/>
                <w:lang w:val="en-US" w:eastAsia="zh-CN"/>
              </w:rPr>
              <w:t>4</w:t>
            </w:r>
            <w:r>
              <w:rPr>
                <w:rFonts w:hint="eastAsia" w:ascii="Times New Roman" w:cs="Times New Roman"/>
                <w:color w:val="auto"/>
                <w:highlight w:val="none"/>
              </w:rPr>
              <w:t>，</w:t>
            </w:r>
            <w:r>
              <w:rPr>
                <w:rFonts w:ascii="Times New Roman" w:cs="Times New Roman"/>
                <w:color w:val="auto"/>
                <w:highlight w:val="none"/>
              </w:rPr>
              <w:t>监测结果如下：</w:t>
            </w:r>
          </w:p>
          <w:p w14:paraId="4B756233">
            <w:pPr>
              <w:pStyle w:val="43"/>
              <w:snapToGrid w:val="0"/>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表</w:t>
            </w:r>
            <w:r>
              <w:rPr>
                <w:rFonts w:hint="eastAsia" w:ascii="Times New Roman" w:cs="Times New Roman"/>
                <w:b/>
                <w:bCs/>
                <w:color w:val="auto"/>
                <w:sz w:val="21"/>
                <w:szCs w:val="21"/>
                <w:highlight w:val="none"/>
              </w:rPr>
              <w:t>3-</w:t>
            </w:r>
            <w:r>
              <w:rPr>
                <w:rFonts w:hint="eastAsia" w:ascii="Times New Roman" w:cs="Times New Roman"/>
                <w:b/>
                <w:bCs/>
                <w:color w:val="auto"/>
                <w:sz w:val="21"/>
                <w:szCs w:val="21"/>
                <w:highlight w:val="none"/>
                <w:lang w:val="en-US" w:eastAsia="zh-CN"/>
              </w:rPr>
              <w:t>4</w:t>
            </w:r>
            <w:r>
              <w:rPr>
                <w:rFonts w:ascii="Times New Roman" w:cs="Times New Roman"/>
                <w:b/>
                <w:bCs/>
                <w:color w:val="auto"/>
                <w:sz w:val="21"/>
                <w:szCs w:val="21"/>
                <w:highlight w:val="none"/>
              </w:rPr>
              <w:t xml:space="preserve">  项目厂界噪声</w:t>
            </w:r>
            <w:r>
              <w:rPr>
                <w:rFonts w:hint="eastAsia" w:ascii="Times New Roman" w:cs="Times New Roman"/>
                <w:b/>
                <w:bCs/>
                <w:color w:val="auto"/>
                <w:sz w:val="21"/>
                <w:szCs w:val="21"/>
                <w:highlight w:val="none"/>
              </w:rPr>
              <w:t>监测</w:t>
            </w:r>
            <w:r>
              <w:rPr>
                <w:rFonts w:ascii="Times New Roman" w:cs="Times New Roman"/>
                <w:b/>
                <w:bCs/>
                <w:color w:val="auto"/>
                <w:sz w:val="21"/>
                <w:szCs w:val="21"/>
                <w:highlight w:val="none"/>
              </w:rPr>
              <w:t>值一览表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1"/>
              <w:gridCol w:w="2029"/>
              <w:gridCol w:w="3021"/>
            </w:tblGrid>
            <w:tr w14:paraId="3D9F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828" w:type="pct"/>
                  <w:vMerge w:val="restart"/>
                  <w:noWrap w:val="0"/>
                  <w:vAlign w:val="center"/>
                </w:tcPr>
                <w:p w14:paraId="3CD65079">
                  <w:pPr>
                    <w:keepNext w:val="0"/>
                    <w:keepLines w:val="0"/>
                    <w:pageBreakBefore w:val="0"/>
                    <w:kinsoku/>
                    <w:wordWrap/>
                    <w:overflowPunct/>
                    <w:topLinePunct w:val="0"/>
                    <w:autoSpaceDE/>
                    <w:autoSpaceDN/>
                    <w:bidi w:val="0"/>
                    <w:adjustRightInd w:val="0"/>
                    <w:snapToGrid w:val="0"/>
                    <w:spacing w:before="63" w:beforeLines="20" w:after="63" w:afterLines="20"/>
                    <w:jc w:val="center"/>
                    <w:textAlignment w:val="auto"/>
                    <w:rPr>
                      <w:bCs/>
                      <w:color w:val="auto"/>
                      <w:szCs w:val="21"/>
                      <w:highlight w:val="none"/>
                    </w:rPr>
                  </w:pPr>
                  <w:r>
                    <w:rPr>
                      <w:bCs/>
                      <w:color w:val="auto"/>
                      <w:szCs w:val="21"/>
                      <w:highlight w:val="none"/>
                    </w:rPr>
                    <w:t>监测点位</w:t>
                  </w:r>
                </w:p>
              </w:tc>
              <w:tc>
                <w:tcPr>
                  <w:tcW w:w="3171" w:type="pct"/>
                  <w:gridSpan w:val="2"/>
                  <w:noWrap w:val="0"/>
                  <w:vAlign w:val="center"/>
                </w:tcPr>
                <w:p w14:paraId="1B4B0B2F">
                  <w:pPr>
                    <w:keepNext w:val="0"/>
                    <w:keepLines w:val="0"/>
                    <w:pageBreakBefore w:val="0"/>
                    <w:kinsoku/>
                    <w:wordWrap/>
                    <w:overflowPunct/>
                    <w:topLinePunct w:val="0"/>
                    <w:autoSpaceDE/>
                    <w:autoSpaceDN/>
                    <w:bidi w:val="0"/>
                    <w:adjustRightInd w:val="0"/>
                    <w:snapToGrid w:val="0"/>
                    <w:spacing w:before="63" w:beforeLines="20" w:after="63" w:afterLines="20"/>
                    <w:jc w:val="center"/>
                    <w:textAlignment w:val="auto"/>
                    <w:rPr>
                      <w:bCs/>
                      <w:color w:val="auto"/>
                      <w:szCs w:val="21"/>
                      <w:highlight w:val="none"/>
                    </w:rPr>
                  </w:pPr>
                  <w:r>
                    <w:rPr>
                      <w:rFonts w:hint="eastAsia" w:ascii="Times New Roman" w:hAnsi="Times New Roman" w:cs="Times New Roman"/>
                      <w:bCs/>
                      <w:color w:val="auto"/>
                      <w:sz w:val="21"/>
                      <w:szCs w:val="21"/>
                      <w:highlight w:val="none"/>
                      <w:lang w:val="en-US" w:eastAsia="zh-CN"/>
                    </w:rPr>
                    <w:t>2026年2月2日</w:t>
                  </w:r>
                </w:p>
              </w:tc>
            </w:tr>
            <w:tr w14:paraId="28A3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1828" w:type="pct"/>
                  <w:vMerge w:val="continue"/>
                  <w:noWrap w:val="0"/>
                  <w:vAlign w:val="center"/>
                </w:tcPr>
                <w:p w14:paraId="34104517">
                  <w:pPr>
                    <w:keepNext w:val="0"/>
                    <w:keepLines w:val="0"/>
                    <w:pageBreakBefore w:val="0"/>
                    <w:kinsoku/>
                    <w:wordWrap/>
                    <w:overflowPunct/>
                    <w:topLinePunct w:val="0"/>
                    <w:autoSpaceDE/>
                    <w:autoSpaceDN/>
                    <w:bidi w:val="0"/>
                    <w:adjustRightInd w:val="0"/>
                    <w:snapToGrid w:val="0"/>
                    <w:spacing w:before="63" w:beforeLines="20" w:after="63" w:afterLines="20"/>
                    <w:jc w:val="center"/>
                    <w:textAlignment w:val="auto"/>
                    <w:rPr>
                      <w:color w:val="auto"/>
                      <w:szCs w:val="21"/>
                      <w:highlight w:val="none"/>
                    </w:rPr>
                  </w:pPr>
                </w:p>
              </w:tc>
              <w:tc>
                <w:tcPr>
                  <w:tcW w:w="1274" w:type="pct"/>
                  <w:noWrap w:val="0"/>
                  <w:vAlign w:val="center"/>
                </w:tcPr>
                <w:p w14:paraId="789B8E1B">
                  <w:pPr>
                    <w:keepNext w:val="0"/>
                    <w:keepLines w:val="0"/>
                    <w:pageBreakBefore w:val="0"/>
                    <w:kinsoku/>
                    <w:wordWrap/>
                    <w:overflowPunct/>
                    <w:topLinePunct w:val="0"/>
                    <w:autoSpaceDE/>
                    <w:autoSpaceDN/>
                    <w:bidi w:val="0"/>
                    <w:adjustRightInd w:val="0"/>
                    <w:snapToGrid w:val="0"/>
                    <w:spacing w:before="63" w:beforeLines="20" w:after="63" w:afterLines="20"/>
                    <w:jc w:val="center"/>
                    <w:textAlignment w:val="auto"/>
                    <w:rPr>
                      <w:bCs/>
                      <w:color w:val="auto"/>
                      <w:szCs w:val="21"/>
                      <w:highlight w:val="none"/>
                    </w:rPr>
                  </w:pPr>
                  <w:r>
                    <w:rPr>
                      <w:bCs/>
                      <w:color w:val="auto"/>
                      <w:szCs w:val="21"/>
                      <w:highlight w:val="none"/>
                    </w:rPr>
                    <w:t>昼间</w:t>
                  </w:r>
                </w:p>
              </w:tc>
              <w:tc>
                <w:tcPr>
                  <w:tcW w:w="1897" w:type="pct"/>
                  <w:noWrap w:val="0"/>
                  <w:vAlign w:val="center"/>
                </w:tcPr>
                <w:p w14:paraId="75863C6C">
                  <w:pPr>
                    <w:keepNext w:val="0"/>
                    <w:keepLines w:val="0"/>
                    <w:pageBreakBefore w:val="0"/>
                    <w:kinsoku/>
                    <w:wordWrap/>
                    <w:overflowPunct/>
                    <w:topLinePunct w:val="0"/>
                    <w:autoSpaceDE/>
                    <w:autoSpaceDN/>
                    <w:bidi w:val="0"/>
                    <w:adjustRightInd w:val="0"/>
                    <w:snapToGrid w:val="0"/>
                    <w:spacing w:before="63" w:beforeLines="20" w:after="63" w:afterLines="20"/>
                    <w:jc w:val="center"/>
                    <w:textAlignment w:val="auto"/>
                    <w:rPr>
                      <w:bCs/>
                      <w:color w:val="auto"/>
                      <w:szCs w:val="21"/>
                      <w:highlight w:val="none"/>
                    </w:rPr>
                  </w:pPr>
                  <w:r>
                    <w:rPr>
                      <w:bCs/>
                      <w:color w:val="auto"/>
                      <w:szCs w:val="21"/>
                      <w:highlight w:val="none"/>
                    </w:rPr>
                    <w:t>夜间</w:t>
                  </w:r>
                </w:p>
              </w:tc>
            </w:tr>
            <w:tr w14:paraId="14AD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828" w:type="pct"/>
                  <w:noWrap w:val="0"/>
                  <w:vAlign w:val="center"/>
                </w:tcPr>
                <w:p w14:paraId="39F02908">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color w:val="auto"/>
                      <w:szCs w:val="21"/>
                      <w:highlight w:val="none"/>
                    </w:rPr>
                  </w:pPr>
                  <w:r>
                    <w:rPr>
                      <w:color w:val="auto"/>
                      <w:szCs w:val="21"/>
                      <w:highlight w:val="none"/>
                    </w:rPr>
                    <w:t>1#</w:t>
                  </w:r>
                  <w:r>
                    <w:rPr>
                      <w:rFonts w:hint="eastAsia" w:ascii="Times New Roman" w:hAnsi="Times New Roman" w:eastAsia="宋体" w:cs="Times New Roman"/>
                      <w:color w:val="auto"/>
                      <w:sz w:val="21"/>
                      <w:szCs w:val="21"/>
                      <w:highlight w:val="none"/>
                      <w:lang w:val="en-US" w:eastAsia="zh-CN"/>
                    </w:rPr>
                    <w:t>西侧最近住户处6F</w:t>
                  </w:r>
                </w:p>
              </w:tc>
              <w:tc>
                <w:tcPr>
                  <w:tcW w:w="1274" w:type="pct"/>
                  <w:noWrap w:val="0"/>
                  <w:vAlign w:val="center"/>
                </w:tcPr>
                <w:p w14:paraId="4EB26549">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57</w:t>
                  </w:r>
                </w:p>
              </w:tc>
              <w:tc>
                <w:tcPr>
                  <w:tcW w:w="1897" w:type="pct"/>
                  <w:noWrap w:val="0"/>
                  <w:vAlign w:val="center"/>
                </w:tcPr>
                <w:p w14:paraId="64899FB7">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48</w:t>
                  </w:r>
                </w:p>
              </w:tc>
            </w:tr>
            <w:tr w14:paraId="3A03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28" w:type="pct"/>
                  <w:noWrap w:val="0"/>
                  <w:vAlign w:val="center"/>
                </w:tcPr>
                <w:p w14:paraId="3CC288BD">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color w:val="auto"/>
                      <w:szCs w:val="21"/>
                      <w:highlight w:val="none"/>
                    </w:rPr>
                  </w:pPr>
                  <w:r>
                    <w:rPr>
                      <w:color w:val="auto"/>
                      <w:szCs w:val="21"/>
                      <w:highlight w:val="none"/>
                    </w:rPr>
                    <w:t>2#</w:t>
                  </w:r>
                  <w:r>
                    <w:rPr>
                      <w:rFonts w:hint="eastAsia" w:ascii="Times New Roman" w:hAnsi="Times New Roman" w:eastAsia="宋体" w:cs="Times New Roman"/>
                      <w:color w:val="auto"/>
                      <w:sz w:val="21"/>
                      <w:szCs w:val="21"/>
                      <w:highlight w:val="none"/>
                      <w:lang w:val="en-US" w:eastAsia="zh-CN"/>
                    </w:rPr>
                    <w:t>西侧最近住户处3F</w:t>
                  </w:r>
                </w:p>
              </w:tc>
              <w:tc>
                <w:tcPr>
                  <w:tcW w:w="1274" w:type="pct"/>
                  <w:noWrap w:val="0"/>
                  <w:vAlign w:val="center"/>
                </w:tcPr>
                <w:p w14:paraId="69F2CB51">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59</w:t>
                  </w:r>
                </w:p>
              </w:tc>
              <w:tc>
                <w:tcPr>
                  <w:tcW w:w="1897" w:type="pct"/>
                  <w:noWrap w:val="0"/>
                  <w:vAlign w:val="center"/>
                </w:tcPr>
                <w:p w14:paraId="729E2608">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46</w:t>
                  </w:r>
                </w:p>
              </w:tc>
            </w:tr>
            <w:tr w14:paraId="6AC6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828" w:type="pct"/>
                  <w:noWrap w:val="0"/>
                  <w:vAlign w:val="center"/>
                </w:tcPr>
                <w:p w14:paraId="06D9101D">
                  <w:pPr>
                    <w:keepNext w:val="0"/>
                    <w:keepLines w:val="0"/>
                    <w:pageBreakBefore w:val="0"/>
                    <w:kinsoku/>
                    <w:wordWrap/>
                    <w:overflowPunct/>
                    <w:topLinePunct w:val="0"/>
                    <w:autoSpaceDE/>
                    <w:autoSpaceDN/>
                    <w:bidi w:val="0"/>
                    <w:adjustRightInd w:val="0"/>
                    <w:snapToGrid w:val="0"/>
                    <w:spacing w:before="63" w:beforeLines="20" w:after="63" w:afterLines="20"/>
                    <w:jc w:val="center"/>
                    <w:textAlignment w:val="auto"/>
                    <w:rPr>
                      <w:color w:val="auto"/>
                      <w:szCs w:val="21"/>
                      <w:highlight w:val="none"/>
                    </w:rPr>
                  </w:pPr>
                  <w:r>
                    <w:rPr>
                      <w:color w:val="auto"/>
                      <w:szCs w:val="21"/>
                      <w:highlight w:val="none"/>
                    </w:rPr>
                    <w:t>3#</w:t>
                  </w:r>
                  <w:r>
                    <w:rPr>
                      <w:rFonts w:hint="eastAsia" w:ascii="Times New Roman" w:hAnsi="Times New Roman" w:eastAsia="宋体" w:cs="Times New Roman"/>
                      <w:color w:val="auto"/>
                      <w:sz w:val="21"/>
                      <w:szCs w:val="21"/>
                      <w:highlight w:val="none"/>
                      <w:lang w:val="en-US" w:eastAsia="zh-CN"/>
                    </w:rPr>
                    <w:t>西侧最近住户处1F</w:t>
                  </w:r>
                </w:p>
              </w:tc>
              <w:tc>
                <w:tcPr>
                  <w:tcW w:w="1274" w:type="pct"/>
                  <w:noWrap w:val="0"/>
                  <w:vAlign w:val="center"/>
                </w:tcPr>
                <w:p w14:paraId="47B0C6A5">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56</w:t>
                  </w:r>
                </w:p>
              </w:tc>
              <w:tc>
                <w:tcPr>
                  <w:tcW w:w="1897" w:type="pct"/>
                  <w:noWrap w:val="0"/>
                  <w:vAlign w:val="center"/>
                </w:tcPr>
                <w:p w14:paraId="05A69594">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45</w:t>
                  </w:r>
                </w:p>
              </w:tc>
            </w:tr>
            <w:tr w14:paraId="44BB9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828" w:type="pct"/>
                  <w:noWrap w:val="0"/>
                  <w:vAlign w:val="center"/>
                </w:tcPr>
                <w:p w14:paraId="06B1DAB6">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color w:val="auto"/>
                      <w:szCs w:val="21"/>
                      <w:highlight w:val="none"/>
                    </w:rPr>
                  </w:pPr>
                  <w:r>
                    <w:rPr>
                      <w:color w:val="auto"/>
                      <w:szCs w:val="21"/>
                      <w:highlight w:val="none"/>
                    </w:rPr>
                    <w:t>4#</w:t>
                  </w:r>
                  <w:r>
                    <w:rPr>
                      <w:rFonts w:hint="eastAsia" w:ascii="Times New Roman" w:hAnsi="Times New Roman" w:eastAsia="宋体" w:cs="Times New Roman"/>
                      <w:color w:val="auto"/>
                      <w:sz w:val="21"/>
                      <w:szCs w:val="21"/>
                      <w:highlight w:val="none"/>
                      <w:lang w:val="en-US" w:eastAsia="zh-CN"/>
                    </w:rPr>
                    <w:t>南侧最近住户处警犬训练中心</w:t>
                  </w:r>
                </w:p>
              </w:tc>
              <w:tc>
                <w:tcPr>
                  <w:tcW w:w="1274" w:type="pct"/>
                  <w:noWrap w:val="0"/>
                  <w:vAlign w:val="center"/>
                </w:tcPr>
                <w:p w14:paraId="21AB7582">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58</w:t>
                  </w:r>
                </w:p>
              </w:tc>
              <w:tc>
                <w:tcPr>
                  <w:tcW w:w="1897" w:type="pct"/>
                  <w:noWrap w:val="0"/>
                  <w:vAlign w:val="center"/>
                </w:tcPr>
                <w:p w14:paraId="36CB7244">
                  <w:pPr>
                    <w:keepNext w:val="0"/>
                    <w:keepLines w:val="0"/>
                    <w:pageBreakBefore w:val="0"/>
                    <w:widowControl/>
                    <w:kinsoku/>
                    <w:wordWrap/>
                    <w:overflowPunct/>
                    <w:topLinePunct w:val="0"/>
                    <w:autoSpaceDE/>
                    <w:autoSpaceDN/>
                    <w:bidi w:val="0"/>
                    <w:spacing w:before="63" w:beforeLines="20" w:after="63" w:afterLines="20"/>
                    <w:jc w:val="center"/>
                    <w:textAlignment w:val="auto"/>
                    <w:rPr>
                      <w:color w:val="auto"/>
                      <w:szCs w:val="21"/>
                      <w:highlight w:val="none"/>
                    </w:rPr>
                  </w:pPr>
                  <w:r>
                    <w:rPr>
                      <w:rFonts w:hint="eastAsia" w:ascii="Times New Roman" w:hAnsi="Times New Roman" w:cs="Times New Roman"/>
                      <w:color w:val="auto"/>
                      <w:kern w:val="2"/>
                      <w:sz w:val="21"/>
                      <w:szCs w:val="21"/>
                      <w:highlight w:val="none"/>
                      <w:lang w:val="en-US" w:eastAsia="zh-CN" w:bidi="ar-SA"/>
                    </w:rPr>
                    <w:t>48</w:t>
                  </w:r>
                </w:p>
              </w:tc>
            </w:tr>
            <w:tr w14:paraId="0830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5000" w:type="pct"/>
                  <w:gridSpan w:val="3"/>
                  <w:noWrap w:val="0"/>
                  <w:vAlign w:val="center"/>
                </w:tcPr>
                <w:p w14:paraId="600004E1">
                  <w:pPr>
                    <w:keepNext w:val="0"/>
                    <w:keepLines w:val="0"/>
                    <w:pageBreakBefore w:val="0"/>
                    <w:widowControl/>
                    <w:kinsoku/>
                    <w:wordWrap/>
                    <w:overflowPunct/>
                    <w:topLinePunct w:val="0"/>
                    <w:autoSpaceDE/>
                    <w:autoSpaceDN/>
                    <w:bidi w:val="0"/>
                    <w:adjustRightInd w:val="0"/>
                    <w:snapToGrid w:val="0"/>
                    <w:spacing w:before="63" w:beforeLines="20" w:after="63" w:afterLines="20"/>
                    <w:jc w:val="center"/>
                    <w:textAlignment w:val="auto"/>
                    <w:rPr>
                      <w:color w:val="auto"/>
                      <w:szCs w:val="21"/>
                      <w:highlight w:val="none"/>
                    </w:rPr>
                  </w:pPr>
                  <w:r>
                    <w:rPr>
                      <w:color w:val="auto"/>
                      <w:szCs w:val="21"/>
                      <w:highlight w:val="none"/>
                    </w:rPr>
                    <w:t>声环境质量</w:t>
                  </w:r>
                  <w:r>
                    <w:rPr>
                      <w:rFonts w:hint="eastAsia"/>
                      <w:color w:val="auto"/>
                      <w:szCs w:val="21"/>
                      <w:highlight w:val="none"/>
                    </w:rPr>
                    <w:t>3</w:t>
                  </w:r>
                  <w:r>
                    <w:rPr>
                      <w:color w:val="auto"/>
                      <w:szCs w:val="21"/>
                      <w:highlight w:val="none"/>
                    </w:rPr>
                    <w:t>类区标准：昼间6</w:t>
                  </w:r>
                  <w:r>
                    <w:rPr>
                      <w:rFonts w:hint="eastAsia"/>
                      <w:color w:val="auto"/>
                      <w:szCs w:val="21"/>
                      <w:highlight w:val="none"/>
                    </w:rPr>
                    <w:t>5</w:t>
                  </w:r>
                  <w:r>
                    <w:rPr>
                      <w:color w:val="auto"/>
                      <w:szCs w:val="21"/>
                      <w:highlight w:val="none"/>
                    </w:rPr>
                    <w:t>dB(A</w:t>
                  </w:r>
                  <w:r>
                    <w:rPr>
                      <w:rFonts w:hint="eastAsia"/>
                      <w:color w:val="auto"/>
                      <w:szCs w:val="21"/>
                      <w:highlight w:val="none"/>
                      <w:lang w:eastAsia="zh-CN"/>
                    </w:rPr>
                    <w:t>）</w:t>
                  </w:r>
                  <w:r>
                    <w:rPr>
                      <w:color w:val="auto"/>
                      <w:szCs w:val="21"/>
                      <w:highlight w:val="none"/>
                    </w:rPr>
                    <w:t>，夜间</w:t>
                  </w:r>
                  <w:r>
                    <w:rPr>
                      <w:rFonts w:hint="eastAsia"/>
                      <w:color w:val="auto"/>
                      <w:szCs w:val="21"/>
                      <w:highlight w:val="none"/>
                    </w:rPr>
                    <w:t>55</w:t>
                  </w:r>
                  <w:r>
                    <w:rPr>
                      <w:color w:val="auto"/>
                      <w:szCs w:val="21"/>
                      <w:highlight w:val="none"/>
                    </w:rPr>
                    <w:t>dB(A)</w:t>
                  </w:r>
                </w:p>
              </w:tc>
            </w:tr>
          </w:tbl>
          <w:p w14:paraId="1F34BD0F">
            <w:pPr>
              <w:adjustRightInd w:val="0"/>
              <w:snapToGrid w:val="0"/>
              <w:spacing w:line="360" w:lineRule="auto"/>
              <w:ind w:firstLine="480" w:firstLineChars="200"/>
              <w:rPr>
                <w:rFonts w:hint="eastAsia"/>
                <w:color w:val="auto"/>
                <w:sz w:val="24"/>
                <w:highlight w:val="none"/>
              </w:rPr>
            </w:pPr>
            <w:r>
              <w:rPr>
                <w:color w:val="auto"/>
                <w:sz w:val="24"/>
                <w:highlight w:val="none"/>
              </w:rPr>
              <w:t>根据表</w:t>
            </w:r>
            <w:r>
              <w:rPr>
                <w:rFonts w:hint="eastAsia"/>
                <w:color w:val="auto"/>
                <w:sz w:val="24"/>
                <w:highlight w:val="none"/>
              </w:rPr>
              <w:t>3-</w:t>
            </w:r>
            <w:r>
              <w:rPr>
                <w:rFonts w:hint="eastAsia"/>
                <w:color w:val="auto"/>
                <w:sz w:val="24"/>
                <w:highlight w:val="none"/>
                <w:lang w:val="en-US" w:eastAsia="zh-CN"/>
              </w:rPr>
              <w:t>4</w:t>
            </w:r>
            <w:r>
              <w:rPr>
                <w:color w:val="auto"/>
                <w:sz w:val="24"/>
                <w:highlight w:val="none"/>
              </w:rPr>
              <w:t>分析可知</w:t>
            </w:r>
            <w:r>
              <w:rPr>
                <w:rFonts w:hint="eastAsia"/>
                <w:color w:val="auto"/>
                <w:sz w:val="24"/>
                <w:highlight w:val="none"/>
                <w:lang w:eastAsia="zh-CN"/>
              </w:rPr>
              <w:t>，</w:t>
            </w:r>
            <w:r>
              <w:rPr>
                <w:color w:val="auto"/>
                <w:sz w:val="24"/>
                <w:highlight w:val="none"/>
              </w:rPr>
              <w:t>项目区域</w:t>
            </w:r>
            <w:r>
              <w:rPr>
                <w:rFonts w:hint="eastAsia"/>
                <w:color w:val="auto"/>
                <w:sz w:val="24"/>
                <w:highlight w:val="none"/>
                <w:lang w:eastAsia="zh-CN"/>
              </w:rPr>
              <w:t>周边</w:t>
            </w:r>
            <w:r>
              <w:rPr>
                <w:color w:val="auto"/>
                <w:sz w:val="24"/>
                <w:highlight w:val="none"/>
              </w:rPr>
              <w:t>声环境</w:t>
            </w:r>
            <w:r>
              <w:rPr>
                <w:rFonts w:hint="eastAsia"/>
                <w:color w:val="auto"/>
                <w:sz w:val="24"/>
                <w:highlight w:val="none"/>
              </w:rPr>
              <w:t>现状</w:t>
            </w:r>
            <w:r>
              <w:rPr>
                <w:color w:val="auto"/>
                <w:sz w:val="24"/>
                <w:highlight w:val="none"/>
              </w:rPr>
              <w:t>能够满足《声环境质量标准》</w:t>
            </w:r>
            <w:r>
              <w:rPr>
                <w:rFonts w:hint="eastAsia"/>
                <w:color w:val="auto"/>
                <w:sz w:val="24"/>
                <w:highlight w:val="none"/>
                <w:lang w:eastAsia="zh-CN"/>
              </w:rPr>
              <w:t>（</w:t>
            </w:r>
            <w:r>
              <w:rPr>
                <w:color w:val="auto"/>
                <w:sz w:val="24"/>
                <w:highlight w:val="none"/>
              </w:rPr>
              <w:t>GB3096-2008</w:t>
            </w:r>
            <w:r>
              <w:rPr>
                <w:rFonts w:hint="eastAsia"/>
                <w:color w:val="auto"/>
                <w:sz w:val="24"/>
                <w:highlight w:val="none"/>
                <w:lang w:eastAsia="zh-CN"/>
              </w:rPr>
              <w:t>）</w:t>
            </w:r>
            <w:r>
              <w:rPr>
                <w:color w:val="auto"/>
                <w:sz w:val="24"/>
                <w:highlight w:val="none"/>
              </w:rPr>
              <w:t>中</w:t>
            </w:r>
            <w:r>
              <w:rPr>
                <w:rFonts w:hint="eastAsia"/>
                <w:color w:val="auto"/>
                <w:sz w:val="24"/>
                <w:highlight w:val="none"/>
              </w:rPr>
              <w:t>3</w:t>
            </w:r>
            <w:r>
              <w:rPr>
                <w:color w:val="auto"/>
                <w:sz w:val="24"/>
                <w:highlight w:val="none"/>
              </w:rPr>
              <w:t>类功能区标准</w:t>
            </w:r>
            <w:r>
              <w:rPr>
                <w:rFonts w:hint="eastAsia"/>
                <w:color w:val="auto"/>
                <w:sz w:val="24"/>
                <w:highlight w:val="none"/>
              </w:rPr>
              <w:t>。</w:t>
            </w:r>
          </w:p>
          <w:p w14:paraId="0D2C6F9C">
            <w:pPr>
              <w:pStyle w:val="47"/>
              <w:spacing w:line="360" w:lineRule="auto"/>
              <w:ind w:firstLine="0" w:firstLineChars="0"/>
              <w:rPr>
                <w:rFonts w:hint="eastAsia"/>
                <w:b/>
                <w:bCs w:val="0"/>
                <w:color w:val="auto"/>
                <w:sz w:val="24"/>
                <w:highlight w:val="none"/>
              </w:rPr>
            </w:pPr>
            <w:r>
              <w:rPr>
                <w:rFonts w:hint="eastAsia"/>
                <w:b/>
                <w:bCs w:val="0"/>
                <w:color w:val="auto"/>
                <w:sz w:val="24"/>
                <w:highlight w:val="none"/>
                <w:lang w:eastAsia="zh-CN"/>
              </w:rPr>
              <w:t>四、</w:t>
            </w:r>
            <w:r>
              <w:rPr>
                <w:rFonts w:hint="eastAsia"/>
                <w:b/>
                <w:bCs w:val="0"/>
                <w:color w:val="auto"/>
                <w:sz w:val="24"/>
                <w:highlight w:val="none"/>
              </w:rPr>
              <w:t>生态环境质量现状</w:t>
            </w:r>
          </w:p>
          <w:p w14:paraId="4FD0157E">
            <w:pPr>
              <w:pStyle w:val="47"/>
              <w:spacing w:line="360" w:lineRule="auto"/>
              <w:rPr>
                <w:rFonts w:ascii="宋体" w:cs="宋体"/>
                <w:color w:val="auto"/>
                <w:kern w:val="0"/>
                <w:szCs w:val="21"/>
                <w:highlight w:val="none"/>
              </w:rPr>
            </w:pPr>
            <w:r>
              <w:rPr>
                <w:rFonts w:hint="eastAsia"/>
                <w:color w:val="auto"/>
                <w:sz w:val="24"/>
                <w:szCs w:val="24"/>
                <w:highlight w:val="none"/>
              </w:rPr>
              <w:t>本项目位于</w:t>
            </w:r>
            <w:r>
              <w:rPr>
                <w:rFonts w:hint="default" w:ascii="Times New Roman" w:hAnsi="Times New Roman" w:cs="Times New Roman"/>
                <w:color w:val="auto"/>
                <w:kern w:val="0"/>
                <w:sz w:val="24"/>
                <w:szCs w:val="24"/>
                <w:highlight w:val="none"/>
              </w:rPr>
              <w:t>洋县经济技术开发区</w:t>
            </w:r>
            <w:r>
              <w:rPr>
                <w:rFonts w:hint="eastAsia"/>
                <w:color w:val="auto"/>
                <w:sz w:val="24"/>
                <w:szCs w:val="24"/>
                <w:highlight w:val="none"/>
              </w:rPr>
              <w:t>内，</w:t>
            </w:r>
            <w:r>
              <w:rPr>
                <w:rFonts w:hint="eastAsia"/>
                <w:color w:val="auto"/>
                <w:sz w:val="24"/>
                <w:szCs w:val="24"/>
                <w:highlight w:val="none"/>
                <w:lang w:eastAsia="zh-CN"/>
              </w:rPr>
              <w:t>项目用地为工业</w:t>
            </w:r>
            <w:r>
              <w:rPr>
                <w:rFonts w:hint="eastAsia"/>
                <w:color w:val="auto"/>
                <w:sz w:val="24"/>
                <w:highlight w:val="none"/>
                <w:lang w:eastAsia="zh-CN"/>
              </w:rPr>
              <w:t>用地</w:t>
            </w:r>
            <w:r>
              <w:rPr>
                <w:rFonts w:hint="eastAsia"/>
                <w:color w:val="auto"/>
                <w:sz w:val="24"/>
                <w:highlight w:val="none"/>
              </w:rPr>
              <w:t>，周边区域以工业企业、建制村镇以及杂木林地等人工生态系统为主，据调查项目区无中大型野生保护动物以及珍稀保护植物存在，项目区域不涉及生态环境保护目标。</w:t>
            </w:r>
          </w:p>
        </w:tc>
      </w:tr>
      <w:tr w14:paraId="1DC95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00" w:type="dxa"/>
            <w:noWrap w:val="0"/>
            <w:vAlign w:val="center"/>
          </w:tcPr>
          <w:p w14:paraId="4BE13805">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环境</w:t>
            </w:r>
          </w:p>
          <w:p w14:paraId="014097FA">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保护</w:t>
            </w:r>
          </w:p>
          <w:p w14:paraId="2932AC10">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目标</w:t>
            </w:r>
          </w:p>
        </w:tc>
        <w:tc>
          <w:tcPr>
            <w:tcW w:w="8190" w:type="dxa"/>
            <w:noWrap w:val="0"/>
            <w:vAlign w:val="center"/>
          </w:tcPr>
          <w:p w14:paraId="2194312F">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现场踏勘，</w:t>
            </w:r>
            <w:r>
              <w:rPr>
                <w:color w:val="auto"/>
                <w:kern w:val="0"/>
                <w:sz w:val="24"/>
                <w:highlight w:val="none"/>
              </w:rPr>
              <w:t>项目</w:t>
            </w:r>
            <w:r>
              <w:rPr>
                <w:rFonts w:hint="eastAsia"/>
                <w:color w:val="auto"/>
                <w:kern w:val="0"/>
                <w:sz w:val="24"/>
                <w:highlight w:val="none"/>
              </w:rPr>
              <w:t>位于</w:t>
            </w:r>
            <w:r>
              <w:rPr>
                <w:rFonts w:hint="eastAsia"/>
                <w:color w:val="auto"/>
                <w:sz w:val="24"/>
                <w:highlight w:val="none"/>
                <w:lang w:eastAsia="zh-CN"/>
              </w:rPr>
              <w:t>陕西洋县经济技术开发区</w:t>
            </w:r>
            <w:r>
              <w:rPr>
                <w:rFonts w:hint="eastAsia"/>
                <w:color w:val="auto"/>
                <w:sz w:val="24"/>
                <w:highlight w:val="none"/>
              </w:rPr>
              <w:t>内</w:t>
            </w:r>
            <w:r>
              <w:rPr>
                <w:rFonts w:hint="eastAsia"/>
                <w:color w:val="auto"/>
                <w:kern w:val="0"/>
                <w:sz w:val="24"/>
                <w:highlight w:val="none"/>
              </w:rPr>
              <w:t>，</w:t>
            </w:r>
            <w:r>
              <w:rPr>
                <w:rFonts w:hint="eastAsia"/>
                <w:color w:val="auto"/>
                <w:kern w:val="0"/>
                <w:sz w:val="24"/>
                <w:highlight w:val="none"/>
                <w:lang w:eastAsia="zh-CN"/>
              </w:rPr>
              <w:t>周边环境保护目标分布</w:t>
            </w:r>
            <w:r>
              <w:rPr>
                <w:rFonts w:hint="eastAsia"/>
                <w:color w:val="auto"/>
                <w:kern w:val="0"/>
                <w:sz w:val="24"/>
                <w:highlight w:val="none"/>
              </w:rPr>
              <w:t>情况如下：</w:t>
            </w:r>
          </w:p>
          <w:p w14:paraId="034E596A">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东侧</w:t>
            </w:r>
            <w:r>
              <w:rPr>
                <w:rFonts w:hint="eastAsia"/>
                <w:color w:val="auto"/>
                <w:kern w:val="0"/>
                <w:sz w:val="24"/>
                <w:highlight w:val="none"/>
                <w:lang w:eastAsia="zh-CN"/>
              </w:rPr>
              <w:t>紧靠滨河西路，</w:t>
            </w:r>
            <w:r>
              <w:rPr>
                <w:rFonts w:hint="eastAsia"/>
                <w:color w:val="auto"/>
                <w:kern w:val="0"/>
                <w:sz w:val="24"/>
                <w:highlight w:val="none"/>
                <w:lang w:val="en-US" w:eastAsia="zh-CN"/>
              </w:rPr>
              <w:t>350m</w:t>
            </w:r>
            <w:r>
              <w:rPr>
                <w:rFonts w:hint="eastAsia"/>
                <w:color w:val="auto"/>
                <w:kern w:val="0"/>
                <w:sz w:val="24"/>
                <w:highlight w:val="none"/>
              </w:rPr>
              <w:t>~</w:t>
            </w:r>
            <w:r>
              <w:rPr>
                <w:rFonts w:hint="eastAsia"/>
                <w:color w:val="auto"/>
                <w:kern w:val="0"/>
                <w:sz w:val="24"/>
                <w:highlight w:val="none"/>
                <w:lang w:val="en-US" w:eastAsia="zh-CN"/>
              </w:rPr>
              <w:t>50</w:t>
            </w:r>
            <w:r>
              <w:rPr>
                <w:rFonts w:hint="eastAsia"/>
                <w:color w:val="auto"/>
                <w:kern w:val="0"/>
                <w:sz w:val="24"/>
                <w:highlight w:val="none"/>
              </w:rPr>
              <w:t>0m处为</w:t>
            </w:r>
            <w:r>
              <w:rPr>
                <w:rFonts w:hint="eastAsia"/>
                <w:color w:val="auto"/>
                <w:kern w:val="0"/>
                <w:sz w:val="24"/>
                <w:highlight w:val="none"/>
                <w:lang w:eastAsia="zh-CN"/>
              </w:rPr>
              <w:t>北瞿村住户</w:t>
            </w:r>
            <w:r>
              <w:rPr>
                <w:rFonts w:hint="eastAsia"/>
                <w:color w:val="auto"/>
                <w:kern w:val="0"/>
                <w:sz w:val="24"/>
                <w:highlight w:val="none"/>
              </w:rPr>
              <w:t>；</w:t>
            </w:r>
            <w:r>
              <w:rPr>
                <w:rFonts w:hint="eastAsia"/>
                <w:color w:val="auto"/>
                <w:kern w:val="0"/>
                <w:sz w:val="24"/>
                <w:highlight w:val="none"/>
                <w:lang w:eastAsia="zh-CN"/>
              </w:rPr>
              <w:t>东南侧</w:t>
            </w:r>
            <w:r>
              <w:rPr>
                <w:rFonts w:hint="eastAsia"/>
                <w:color w:val="auto"/>
                <w:kern w:val="0"/>
                <w:sz w:val="24"/>
                <w:highlight w:val="none"/>
                <w:lang w:val="en-US" w:eastAsia="zh-CN"/>
              </w:rPr>
              <w:t>115m~500m处为</w:t>
            </w:r>
            <w:r>
              <w:rPr>
                <w:rFonts w:hint="eastAsia"/>
                <w:color w:val="auto"/>
                <w:kern w:val="0"/>
                <w:sz w:val="24"/>
                <w:highlight w:val="none"/>
                <w:lang w:eastAsia="zh-CN"/>
              </w:rPr>
              <w:t>北瞿村住户</w:t>
            </w:r>
            <w:r>
              <w:rPr>
                <w:rFonts w:hint="eastAsia"/>
                <w:color w:val="auto"/>
                <w:kern w:val="0"/>
                <w:sz w:val="24"/>
                <w:highlight w:val="none"/>
                <w:lang w:val="en-US" w:eastAsia="zh-CN"/>
              </w:rPr>
              <w:t>；东南侧35</w:t>
            </w:r>
            <w:r>
              <w:rPr>
                <w:rFonts w:hint="eastAsia"/>
                <w:color w:val="auto"/>
                <w:kern w:val="0"/>
                <w:sz w:val="24"/>
                <w:highlight w:val="none"/>
              </w:rPr>
              <w:t>0</w:t>
            </w:r>
            <w:r>
              <w:rPr>
                <w:rFonts w:hint="eastAsia"/>
                <w:color w:val="auto"/>
                <w:kern w:val="0"/>
                <w:sz w:val="24"/>
                <w:highlight w:val="none"/>
                <w:lang w:val="en-US" w:eastAsia="zh-CN"/>
              </w:rPr>
              <w:t>m</w:t>
            </w:r>
            <w:r>
              <w:rPr>
                <w:rFonts w:hint="eastAsia"/>
                <w:color w:val="auto"/>
                <w:kern w:val="0"/>
                <w:sz w:val="24"/>
                <w:highlight w:val="none"/>
              </w:rPr>
              <w:t>~500m处为</w:t>
            </w:r>
            <w:r>
              <w:rPr>
                <w:rFonts w:hint="eastAsia"/>
                <w:color w:val="auto"/>
                <w:kern w:val="0"/>
                <w:sz w:val="24"/>
                <w:highlight w:val="none"/>
                <w:lang w:eastAsia="zh-CN"/>
              </w:rPr>
              <w:t>冉家村住户</w:t>
            </w:r>
            <w:r>
              <w:rPr>
                <w:rFonts w:hint="eastAsia"/>
                <w:color w:val="auto"/>
                <w:kern w:val="0"/>
                <w:sz w:val="24"/>
                <w:highlight w:val="none"/>
              </w:rPr>
              <w:t>；</w:t>
            </w:r>
          </w:p>
          <w:p w14:paraId="4CAA3BFA">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西侧紧邻</w:t>
            </w:r>
            <w:r>
              <w:rPr>
                <w:rFonts w:hint="eastAsia"/>
                <w:color w:val="auto"/>
                <w:kern w:val="0"/>
                <w:sz w:val="24"/>
                <w:highlight w:val="none"/>
                <w:lang w:eastAsia="zh-CN"/>
              </w:rPr>
              <w:t>洋县金桥有机食品包装</w:t>
            </w:r>
            <w:r>
              <w:rPr>
                <w:rFonts w:hint="eastAsia"/>
                <w:color w:val="auto"/>
                <w:kern w:val="0"/>
                <w:sz w:val="24"/>
                <w:highlight w:val="none"/>
              </w:rPr>
              <w:t>有限公司；</w:t>
            </w:r>
            <w:r>
              <w:rPr>
                <w:rFonts w:hint="eastAsia"/>
                <w:color w:val="auto"/>
                <w:kern w:val="0"/>
                <w:sz w:val="24"/>
                <w:highlight w:val="none"/>
                <w:lang w:eastAsia="zh-CN"/>
              </w:rPr>
              <w:t>西南侧</w:t>
            </w:r>
            <w:r>
              <w:rPr>
                <w:rFonts w:hint="eastAsia"/>
                <w:color w:val="auto"/>
                <w:kern w:val="0"/>
                <w:sz w:val="24"/>
                <w:highlight w:val="none"/>
                <w:lang w:val="en-US" w:eastAsia="zh-CN"/>
              </w:rPr>
              <w:t>10m~120m处为自强花园小区住户；13</w:t>
            </w:r>
            <w:r>
              <w:rPr>
                <w:rFonts w:hint="eastAsia"/>
                <w:color w:val="auto"/>
                <w:kern w:val="0"/>
                <w:sz w:val="24"/>
                <w:highlight w:val="none"/>
              </w:rPr>
              <w:t>0~500m处为</w:t>
            </w:r>
            <w:r>
              <w:rPr>
                <w:rFonts w:hint="eastAsia"/>
                <w:color w:val="auto"/>
                <w:kern w:val="0"/>
                <w:sz w:val="24"/>
                <w:highlight w:val="none"/>
                <w:lang w:val="en-US" w:eastAsia="zh-CN"/>
              </w:rPr>
              <w:t>洋洲街道办</w:t>
            </w:r>
            <w:r>
              <w:rPr>
                <w:rFonts w:hint="eastAsia"/>
                <w:color w:val="auto"/>
                <w:kern w:val="0"/>
                <w:sz w:val="24"/>
                <w:highlight w:val="none"/>
              </w:rPr>
              <w:t>住户；</w:t>
            </w:r>
          </w:p>
          <w:p w14:paraId="273AB1F6">
            <w:pPr>
              <w:adjustRightInd w:val="0"/>
              <w:snapToGrid w:val="0"/>
              <w:spacing w:line="360" w:lineRule="auto"/>
              <w:ind w:firstLine="480" w:firstLineChars="200"/>
              <w:rPr>
                <w:rFonts w:hint="default" w:eastAsia="宋体"/>
                <w:color w:val="auto"/>
                <w:kern w:val="0"/>
                <w:sz w:val="24"/>
                <w:highlight w:val="none"/>
                <w:lang w:val="en-US" w:eastAsia="zh-CN"/>
              </w:rPr>
            </w:pPr>
            <w:r>
              <w:rPr>
                <w:rFonts w:hint="eastAsia"/>
                <w:color w:val="auto"/>
                <w:kern w:val="0"/>
                <w:sz w:val="24"/>
                <w:highlight w:val="none"/>
              </w:rPr>
              <w:t>北侧</w:t>
            </w:r>
            <w:r>
              <w:rPr>
                <w:rFonts w:hint="eastAsia"/>
                <w:color w:val="auto"/>
                <w:kern w:val="0"/>
                <w:sz w:val="24"/>
                <w:highlight w:val="none"/>
                <w:lang w:val="en-US" w:eastAsia="zh-CN"/>
              </w:rPr>
              <w:t>20m~250m处为</w:t>
            </w:r>
            <w:r>
              <w:rPr>
                <w:rFonts w:hint="eastAsia"/>
                <w:color w:val="auto"/>
                <w:kern w:val="0"/>
                <w:sz w:val="24"/>
                <w:highlight w:val="none"/>
              </w:rPr>
              <w:t>汉中市华瑞牡丹生物科技有限公司</w:t>
            </w:r>
            <w:r>
              <w:rPr>
                <w:rFonts w:hint="eastAsia"/>
                <w:color w:val="auto"/>
                <w:kern w:val="0"/>
                <w:sz w:val="24"/>
                <w:highlight w:val="none"/>
                <w:lang w:eastAsia="zh-CN"/>
              </w:rPr>
              <w:t>；西北侧</w:t>
            </w:r>
            <w:r>
              <w:rPr>
                <w:rFonts w:hint="eastAsia"/>
                <w:color w:val="auto"/>
                <w:kern w:val="0"/>
                <w:sz w:val="24"/>
                <w:highlight w:val="none"/>
                <w:lang w:val="en-US" w:eastAsia="zh-CN"/>
              </w:rPr>
              <w:t>150~500m处为园区其他企业；</w:t>
            </w:r>
          </w:p>
          <w:p w14:paraId="0FDBC9C1">
            <w:pPr>
              <w:adjustRightInd w:val="0"/>
              <w:snapToGrid w:val="0"/>
              <w:spacing w:line="360" w:lineRule="auto"/>
              <w:ind w:firstLine="480" w:firstLineChars="200"/>
              <w:rPr>
                <w:rFonts w:hint="default" w:eastAsia="宋体"/>
                <w:color w:val="auto"/>
                <w:kern w:val="0"/>
                <w:sz w:val="24"/>
                <w:highlight w:val="none"/>
                <w:lang w:val="en-US" w:eastAsia="zh-CN"/>
              </w:rPr>
            </w:pPr>
            <w:r>
              <w:rPr>
                <w:rFonts w:hint="eastAsia"/>
                <w:color w:val="auto"/>
                <w:kern w:val="0"/>
                <w:sz w:val="24"/>
                <w:highlight w:val="none"/>
              </w:rPr>
              <w:t>南侧</w:t>
            </w:r>
            <w:r>
              <w:rPr>
                <w:rFonts w:hint="eastAsia"/>
                <w:color w:val="auto"/>
                <w:kern w:val="0"/>
                <w:sz w:val="24"/>
                <w:highlight w:val="none"/>
                <w:lang w:eastAsia="zh-CN"/>
              </w:rPr>
              <w:t>紧邻洋县警犬训练中心</w:t>
            </w:r>
            <w:r>
              <w:rPr>
                <w:rFonts w:hint="eastAsia"/>
                <w:color w:val="auto"/>
                <w:kern w:val="0"/>
                <w:sz w:val="24"/>
                <w:highlight w:val="none"/>
              </w:rPr>
              <w:t>，</w:t>
            </w:r>
            <w:r>
              <w:rPr>
                <w:rFonts w:hint="eastAsia"/>
                <w:color w:val="auto"/>
                <w:kern w:val="0"/>
                <w:sz w:val="24"/>
                <w:highlight w:val="none"/>
                <w:lang w:eastAsia="zh-CN"/>
              </w:rPr>
              <w:t>西南侧</w:t>
            </w:r>
            <w:r>
              <w:rPr>
                <w:rFonts w:hint="eastAsia"/>
                <w:color w:val="auto"/>
                <w:kern w:val="0"/>
                <w:sz w:val="24"/>
                <w:highlight w:val="none"/>
                <w:lang w:val="en-US" w:eastAsia="zh-CN"/>
              </w:rPr>
              <w:t>135m至160m处为洋县气象局；西南侧195m至430m处为学府花园小区住户；330m至500m处为洋洲街道办住户。</w:t>
            </w:r>
          </w:p>
          <w:p w14:paraId="049CF828">
            <w:pPr>
              <w:numPr>
                <w:ilvl w:val="0"/>
                <w:numId w:val="11"/>
              </w:numPr>
              <w:adjustRightInd w:val="0"/>
              <w:snapToGrid w:val="0"/>
              <w:spacing w:line="360" w:lineRule="auto"/>
              <w:ind w:left="0" w:firstLine="482" w:firstLineChars="200"/>
              <w:rPr>
                <w:rFonts w:hint="eastAsia"/>
                <w:b/>
                <w:color w:val="auto"/>
                <w:sz w:val="24"/>
                <w:highlight w:val="none"/>
              </w:rPr>
            </w:pPr>
            <w:r>
              <w:rPr>
                <w:rFonts w:hint="eastAsia"/>
                <w:b/>
                <w:color w:val="auto"/>
                <w:sz w:val="24"/>
                <w:highlight w:val="none"/>
              </w:rPr>
              <w:t>大气环境</w:t>
            </w:r>
          </w:p>
          <w:p w14:paraId="0C841A08">
            <w:pPr>
              <w:adjustRightInd w:val="0"/>
              <w:snapToGrid w:val="0"/>
              <w:spacing w:line="360" w:lineRule="auto"/>
              <w:ind w:firstLine="480" w:firstLineChars="200"/>
              <w:rPr>
                <w:rFonts w:hint="eastAsia"/>
                <w:b/>
                <w:color w:val="auto"/>
                <w:sz w:val="24"/>
                <w:highlight w:val="none"/>
              </w:rPr>
            </w:pPr>
            <w:r>
              <w:rPr>
                <w:color w:val="auto"/>
                <w:kern w:val="0"/>
                <w:sz w:val="24"/>
                <w:highlight w:val="none"/>
              </w:rPr>
              <w:t>根据项目工程特点，结合项目外环境关系，项目</w:t>
            </w:r>
            <w:r>
              <w:rPr>
                <w:rFonts w:hint="eastAsia"/>
                <w:color w:val="auto"/>
                <w:kern w:val="0"/>
                <w:sz w:val="24"/>
                <w:highlight w:val="none"/>
              </w:rPr>
              <w:t>周边500m范围内</w:t>
            </w:r>
            <w:r>
              <w:rPr>
                <w:color w:val="auto"/>
                <w:kern w:val="0"/>
                <w:sz w:val="24"/>
                <w:highlight w:val="none"/>
              </w:rPr>
              <w:t>环境保护目标</w:t>
            </w:r>
            <w:r>
              <w:rPr>
                <w:rFonts w:hint="eastAsia"/>
                <w:color w:val="auto"/>
                <w:kern w:val="0"/>
                <w:sz w:val="24"/>
                <w:highlight w:val="none"/>
              </w:rPr>
              <w:t>分布</w:t>
            </w:r>
            <w:r>
              <w:rPr>
                <w:color w:val="auto"/>
                <w:kern w:val="0"/>
                <w:sz w:val="24"/>
                <w:highlight w:val="none"/>
              </w:rPr>
              <w:t>情况见</w:t>
            </w:r>
            <w:r>
              <w:rPr>
                <w:rFonts w:hint="eastAsia"/>
                <w:color w:val="auto"/>
                <w:kern w:val="0"/>
                <w:sz w:val="24"/>
                <w:highlight w:val="none"/>
              </w:rPr>
              <w:t>下</w:t>
            </w:r>
            <w:r>
              <w:rPr>
                <w:color w:val="auto"/>
                <w:kern w:val="0"/>
                <w:sz w:val="24"/>
                <w:highlight w:val="none"/>
              </w:rPr>
              <w:t>表</w:t>
            </w:r>
            <w:r>
              <w:rPr>
                <w:rFonts w:hint="eastAsia"/>
                <w:color w:val="auto"/>
                <w:sz w:val="24"/>
                <w:highlight w:val="none"/>
              </w:rPr>
              <w:t>：</w:t>
            </w:r>
          </w:p>
          <w:p w14:paraId="088D5B27">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3-</w:t>
            </w:r>
            <w:r>
              <w:rPr>
                <w:rFonts w:hint="eastAsia"/>
                <w:b/>
                <w:color w:val="auto"/>
                <w:szCs w:val="21"/>
                <w:highlight w:val="none"/>
                <w:lang w:val="en-US" w:eastAsia="zh-CN"/>
              </w:rPr>
              <w:t>5</w:t>
            </w:r>
            <w:r>
              <w:rPr>
                <w:b/>
                <w:color w:val="auto"/>
                <w:szCs w:val="21"/>
                <w:highlight w:val="none"/>
              </w:rPr>
              <w:t xml:space="preserve">  环境空气保护目标一览表</w:t>
            </w:r>
          </w:p>
          <w:tbl>
            <w:tblPr>
              <w:tblStyle w:val="28"/>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905"/>
              <w:gridCol w:w="996"/>
              <w:gridCol w:w="1817"/>
              <w:gridCol w:w="734"/>
              <w:gridCol w:w="983"/>
              <w:gridCol w:w="967"/>
              <w:gridCol w:w="1095"/>
            </w:tblGrid>
            <w:tr w14:paraId="096C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blHeader/>
                <w:jc w:val="center"/>
              </w:trPr>
              <w:tc>
                <w:tcPr>
                  <w:tcW w:w="502" w:type="dxa"/>
                  <w:vMerge w:val="restart"/>
                  <w:noWrap w:val="0"/>
                  <w:vAlign w:val="center"/>
                </w:tcPr>
                <w:p w14:paraId="5634689A">
                  <w:pPr>
                    <w:widowControl/>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序号</w:t>
                  </w:r>
                </w:p>
              </w:tc>
              <w:tc>
                <w:tcPr>
                  <w:tcW w:w="1901" w:type="dxa"/>
                  <w:gridSpan w:val="2"/>
                  <w:noWrap w:val="0"/>
                  <w:vAlign w:val="center"/>
                </w:tcPr>
                <w:p w14:paraId="5ADD97A8">
                  <w:pPr>
                    <w:widowControl/>
                    <w:adjustRightInd w:val="0"/>
                    <w:snapToGrid w:val="0"/>
                    <w:spacing w:before="72" w:beforeLines="30" w:after="72" w:afterLines="30"/>
                    <w:jc w:val="center"/>
                    <w:rPr>
                      <w:color w:val="auto"/>
                      <w:szCs w:val="21"/>
                      <w:highlight w:val="none"/>
                    </w:rPr>
                  </w:pPr>
                  <w:r>
                    <w:rPr>
                      <w:rFonts w:hint="eastAsia"/>
                      <w:color w:val="auto"/>
                      <w:szCs w:val="21"/>
                      <w:highlight w:val="none"/>
                    </w:rPr>
                    <w:t>UTM坐标</w:t>
                  </w:r>
                </w:p>
              </w:tc>
              <w:tc>
                <w:tcPr>
                  <w:tcW w:w="1817" w:type="dxa"/>
                  <w:vMerge w:val="restart"/>
                  <w:noWrap w:val="0"/>
                  <w:vAlign w:val="center"/>
                </w:tcPr>
                <w:p w14:paraId="5051FFDB">
                  <w:pPr>
                    <w:widowControl/>
                    <w:adjustRightInd w:val="0"/>
                    <w:snapToGrid w:val="0"/>
                    <w:jc w:val="center"/>
                    <w:rPr>
                      <w:color w:val="auto"/>
                      <w:szCs w:val="21"/>
                      <w:highlight w:val="none"/>
                    </w:rPr>
                  </w:pPr>
                  <w:r>
                    <w:rPr>
                      <w:color w:val="auto"/>
                      <w:szCs w:val="21"/>
                      <w:highlight w:val="none"/>
                    </w:rPr>
                    <w:t>保护</w:t>
                  </w:r>
                </w:p>
                <w:p w14:paraId="3609241D">
                  <w:pPr>
                    <w:widowControl/>
                    <w:adjustRightInd w:val="0"/>
                    <w:snapToGrid w:val="0"/>
                    <w:jc w:val="center"/>
                    <w:rPr>
                      <w:color w:val="auto"/>
                      <w:szCs w:val="21"/>
                      <w:highlight w:val="none"/>
                    </w:rPr>
                  </w:pPr>
                  <w:r>
                    <w:rPr>
                      <w:color w:val="auto"/>
                      <w:szCs w:val="21"/>
                      <w:highlight w:val="none"/>
                    </w:rPr>
                    <w:t>对象</w:t>
                  </w:r>
                </w:p>
              </w:tc>
              <w:tc>
                <w:tcPr>
                  <w:tcW w:w="734" w:type="dxa"/>
                  <w:vMerge w:val="restart"/>
                  <w:noWrap w:val="0"/>
                  <w:vAlign w:val="center"/>
                </w:tcPr>
                <w:p w14:paraId="38773AE2">
                  <w:pPr>
                    <w:widowControl/>
                    <w:adjustRightInd w:val="0"/>
                    <w:snapToGrid w:val="0"/>
                    <w:jc w:val="center"/>
                    <w:rPr>
                      <w:color w:val="auto"/>
                      <w:szCs w:val="21"/>
                      <w:highlight w:val="none"/>
                    </w:rPr>
                  </w:pPr>
                  <w:r>
                    <w:rPr>
                      <w:color w:val="auto"/>
                      <w:szCs w:val="21"/>
                      <w:highlight w:val="none"/>
                    </w:rPr>
                    <w:t>保护</w:t>
                  </w:r>
                </w:p>
                <w:p w14:paraId="4C516310">
                  <w:pPr>
                    <w:widowControl/>
                    <w:adjustRightInd w:val="0"/>
                    <w:snapToGrid w:val="0"/>
                    <w:jc w:val="center"/>
                    <w:rPr>
                      <w:color w:val="auto"/>
                      <w:szCs w:val="21"/>
                      <w:highlight w:val="none"/>
                    </w:rPr>
                  </w:pPr>
                  <w:r>
                    <w:rPr>
                      <w:color w:val="auto"/>
                      <w:szCs w:val="21"/>
                      <w:highlight w:val="none"/>
                    </w:rPr>
                    <w:t>内容</w:t>
                  </w:r>
                </w:p>
              </w:tc>
              <w:tc>
                <w:tcPr>
                  <w:tcW w:w="983" w:type="dxa"/>
                  <w:vMerge w:val="restart"/>
                  <w:noWrap w:val="0"/>
                  <w:vAlign w:val="center"/>
                </w:tcPr>
                <w:p w14:paraId="4D11EF8E">
                  <w:pPr>
                    <w:widowControl/>
                    <w:adjustRightInd w:val="0"/>
                    <w:snapToGrid w:val="0"/>
                    <w:jc w:val="center"/>
                    <w:rPr>
                      <w:color w:val="auto"/>
                      <w:szCs w:val="21"/>
                      <w:highlight w:val="none"/>
                    </w:rPr>
                  </w:pPr>
                  <w:r>
                    <w:rPr>
                      <w:color w:val="auto"/>
                      <w:szCs w:val="21"/>
                      <w:highlight w:val="none"/>
                    </w:rPr>
                    <w:t>环境</w:t>
                  </w:r>
                </w:p>
                <w:p w14:paraId="427CF7A5">
                  <w:pPr>
                    <w:widowControl/>
                    <w:adjustRightInd w:val="0"/>
                    <w:snapToGrid w:val="0"/>
                    <w:jc w:val="center"/>
                    <w:rPr>
                      <w:color w:val="auto"/>
                      <w:szCs w:val="21"/>
                      <w:highlight w:val="none"/>
                    </w:rPr>
                  </w:pPr>
                  <w:r>
                    <w:rPr>
                      <w:color w:val="auto"/>
                      <w:szCs w:val="21"/>
                      <w:highlight w:val="none"/>
                    </w:rPr>
                    <w:t>功能区</w:t>
                  </w:r>
                </w:p>
              </w:tc>
              <w:tc>
                <w:tcPr>
                  <w:tcW w:w="967" w:type="dxa"/>
                  <w:vMerge w:val="restart"/>
                  <w:noWrap w:val="0"/>
                  <w:vAlign w:val="center"/>
                </w:tcPr>
                <w:p w14:paraId="1CBD52ED">
                  <w:pPr>
                    <w:widowControl/>
                    <w:adjustRightInd w:val="0"/>
                    <w:snapToGrid w:val="0"/>
                    <w:jc w:val="center"/>
                    <w:rPr>
                      <w:color w:val="auto"/>
                      <w:szCs w:val="21"/>
                      <w:highlight w:val="none"/>
                    </w:rPr>
                  </w:pPr>
                  <w:r>
                    <w:rPr>
                      <w:color w:val="auto"/>
                      <w:szCs w:val="21"/>
                      <w:highlight w:val="none"/>
                    </w:rPr>
                    <w:t>相对</w:t>
                  </w:r>
                </w:p>
                <w:p w14:paraId="6E96470B">
                  <w:pPr>
                    <w:widowControl/>
                    <w:adjustRightInd w:val="0"/>
                    <w:snapToGrid w:val="0"/>
                    <w:jc w:val="center"/>
                    <w:rPr>
                      <w:color w:val="auto"/>
                      <w:szCs w:val="21"/>
                      <w:highlight w:val="none"/>
                    </w:rPr>
                  </w:pPr>
                  <w:r>
                    <w:rPr>
                      <w:color w:val="auto"/>
                      <w:szCs w:val="21"/>
                      <w:highlight w:val="none"/>
                    </w:rPr>
                    <w:t>方位</w:t>
                  </w:r>
                </w:p>
              </w:tc>
              <w:tc>
                <w:tcPr>
                  <w:tcW w:w="1095" w:type="dxa"/>
                  <w:vMerge w:val="restart"/>
                  <w:noWrap w:val="0"/>
                  <w:vAlign w:val="center"/>
                </w:tcPr>
                <w:p w14:paraId="7F4DB8FA">
                  <w:pPr>
                    <w:widowControl/>
                    <w:adjustRightInd w:val="0"/>
                    <w:snapToGrid w:val="0"/>
                    <w:jc w:val="center"/>
                    <w:rPr>
                      <w:color w:val="auto"/>
                      <w:szCs w:val="21"/>
                      <w:highlight w:val="none"/>
                    </w:rPr>
                  </w:pPr>
                  <w:r>
                    <w:rPr>
                      <w:color w:val="auto"/>
                      <w:szCs w:val="21"/>
                      <w:highlight w:val="none"/>
                    </w:rPr>
                    <w:t>相对厂界最近距离/m</w:t>
                  </w:r>
                </w:p>
              </w:tc>
            </w:tr>
            <w:tr w14:paraId="4683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502" w:type="dxa"/>
                  <w:vMerge w:val="continue"/>
                  <w:noWrap w:val="0"/>
                  <w:vAlign w:val="center"/>
                </w:tcPr>
                <w:p w14:paraId="4679FA05">
                  <w:pPr>
                    <w:widowControl/>
                    <w:adjustRightInd w:val="0"/>
                    <w:snapToGrid w:val="0"/>
                    <w:jc w:val="center"/>
                    <w:rPr>
                      <w:color w:val="auto"/>
                      <w:szCs w:val="21"/>
                      <w:highlight w:val="none"/>
                    </w:rPr>
                  </w:pPr>
                </w:p>
              </w:tc>
              <w:tc>
                <w:tcPr>
                  <w:tcW w:w="905" w:type="dxa"/>
                  <w:noWrap w:val="0"/>
                  <w:vAlign w:val="center"/>
                </w:tcPr>
                <w:p w14:paraId="3B3CD4A5">
                  <w:pPr>
                    <w:widowControl/>
                    <w:adjustRightInd w:val="0"/>
                    <w:snapToGrid w:val="0"/>
                    <w:spacing w:before="72" w:beforeLines="30" w:after="72" w:afterLines="30"/>
                    <w:jc w:val="center"/>
                    <w:rPr>
                      <w:color w:val="auto"/>
                      <w:szCs w:val="21"/>
                      <w:highlight w:val="none"/>
                    </w:rPr>
                  </w:pPr>
                  <w:r>
                    <w:rPr>
                      <w:rFonts w:hint="eastAsia"/>
                      <w:color w:val="auto"/>
                      <w:szCs w:val="21"/>
                      <w:highlight w:val="none"/>
                    </w:rPr>
                    <w:t>X/m</w:t>
                  </w:r>
                </w:p>
              </w:tc>
              <w:tc>
                <w:tcPr>
                  <w:tcW w:w="996" w:type="dxa"/>
                  <w:noWrap w:val="0"/>
                  <w:vAlign w:val="center"/>
                </w:tcPr>
                <w:p w14:paraId="46010A45">
                  <w:pPr>
                    <w:widowControl/>
                    <w:adjustRightInd w:val="0"/>
                    <w:snapToGrid w:val="0"/>
                    <w:spacing w:before="72" w:beforeLines="30" w:after="72" w:afterLines="30"/>
                    <w:jc w:val="center"/>
                    <w:rPr>
                      <w:color w:val="auto"/>
                      <w:szCs w:val="21"/>
                      <w:highlight w:val="none"/>
                    </w:rPr>
                  </w:pPr>
                  <w:r>
                    <w:rPr>
                      <w:rFonts w:hint="eastAsia"/>
                      <w:color w:val="auto"/>
                      <w:szCs w:val="21"/>
                      <w:highlight w:val="none"/>
                    </w:rPr>
                    <w:t>Y/m</w:t>
                  </w:r>
                </w:p>
              </w:tc>
              <w:tc>
                <w:tcPr>
                  <w:tcW w:w="1817" w:type="dxa"/>
                  <w:vMerge w:val="continue"/>
                  <w:noWrap w:val="0"/>
                  <w:vAlign w:val="center"/>
                </w:tcPr>
                <w:p w14:paraId="7756033C">
                  <w:pPr>
                    <w:widowControl/>
                    <w:adjustRightInd w:val="0"/>
                    <w:snapToGrid w:val="0"/>
                    <w:jc w:val="center"/>
                    <w:rPr>
                      <w:color w:val="auto"/>
                      <w:szCs w:val="21"/>
                      <w:highlight w:val="none"/>
                    </w:rPr>
                  </w:pPr>
                </w:p>
              </w:tc>
              <w:tc>
                <w:tcPr>
                  <w:tcW w:w="734" w:type="dxa"/>
                  <w:vMerge w:val="continue"/>
                  <w:noWrap w:val="0"/>
                  <w:vAlign w:val="center"/>
                </w:tcPr>
                <w:p w14:paraId="067FA0A0">
                  <w:pPr>
                    <w:widowControl/>
                    <w:adjustRightInd w:val="0"/>
                    <w:snapToGrid w:val="0"/>
                    <w:jc w:val="center"/>
                    <w:rPr>
                      <w:color w:val="auto"/>
                      <w:szCs w:val="21"/>
                      <w:highlight w:val="none"/>
                    </w:rPr>
                  </w:pPr>
                </w:p>
              </w:tc>
              <w:tc>
                <w:tcPr>
                  <w:tcW w:w="983" w:type="dxa"/>
                  <w:vMerge w:val="continue"/>
                  <w:noWrap w:val="0"/>
                  <w:vAlign w:val="center"/>
                </w:tcPr>
                <w:p w14:paraId="71180F41">
                  <w:pPr>
                    <w:widowControl/>
                    <w:adjustRightInd w:val="0"/>
                    <w:snapToGrid w:val="0"/>
                    <w:jc w:val="center"/>
                    <w:rPr>
                      <w:color w:val="auto"/>
                      <w:szCs w:val="21"/>
                      <w:highlight w:val="none"/>
                    </w:rPr>
                  </w:pPr>
                </w:p>
              </w:tc>
              <w:tc>
                <w:tcPr>
                  <w:tcW w:w="967" w:type="dxa"/>
                  <w:vMerge w:val="continue"/>
                  <w:noWrap w:val="0"/>
                  <w:vAlign w:val="center"/>
                </w:tcPr>
                <w:p w14:paraId="5DD95E08">
                  <w:pPr>
                    <w:widowControl/>
                    <w:adjustRightInd w:val="0"/>
                    <w:snapToGrid w:val="0"/>
                    <w:jc w:val="center"/>
                    <w:rPr>
                      <w:color w:val="auto"/>
                      <w:szCs w:val="21"/>
                      <w:highlight w:val="none"/>
                    </w:rPr>
                  </w:pPr>
                </w:p>
              </w:tc>
              <w:tc>
                <w:tcPr>
                  <w:tcW w:w="1095" w:type="dxa"/>
                  <w:vMerge w:val="continue"/>
                  <w:noWrap w:val="0"/>
                  <w:vAlign w:val="center"/>
                </w:tcPr>
                <w:p w14:paraId="285C878C">
                  <w:pPr>
                    <w:widowControl/>
                    <w:adjustRightInd w:val="0"/>
                    <w:snapToGrid w:val="0"/>
                    <w:jc w:val="center"/>
                    <w:rPr>
                      <w:color w:val="auto"/>
                      <w:szCs w:val="21"/>
                      <w:highlight w:val="none"/>
                    </w:rPr>
                  </w:pPr>
                </w:p>
              </w:tc>
            </w:tr>
            <w:tr w14:paraId="604D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502" w:type="dxa"/>
                  <w:noWrap w:val="0"/>
                  <w:vAlign w:val="center"/>
                </w:tcPr>
                <w:p w14:paraId="7C5C7251">
                  <w:pPr>
                    <w:widowControl/>
                    <w:adjustRightInd w:val="0"/>
                    <w:snapToGrid w:val="0"/>
                    <w:spacing w:before="72" w:beforeLines="30" w:after="72" w:afterLines="30"/>
                    <w:jc w:val="center"/>
                    <w:rPr>
                      <w:color w:val="auto"/>
                      <w:szCs w:val="21"/>
                      <w:highlight w:val="none"/>
                    </w:rPr>
                  </w:pPr>
                  <w:r>
                    <w:rPr>
                      <w:color w:val="auto"/>
                      <w:szCs w:val="21"/>
                      <w:highlight w:val="none"/>
                    </w:rPr>
                    <w:t>1</w:t>
                  </w:r>
                </w:p>
              </w:tc>
              <w:tc>
                <w:tcPr>
                  <w:tcW w:w="905" w:type="dxa"/>
                  <w:noWrap w:val="0"/>
                  <w:vAlign w:val="center"/>
                </w:tcPr>
                <w:p w14:paraId="28AE564F">
                  <w:pPr>
                    <w:adjustRightInd w:val="0"/>
                    <w:snapToGrid w:val="0"/>
                    <w:spacing w:before="72" w:beforeLines="30" w:after="72" w:afterLines="30"/>
                    <w:jc w:val="center"/>
                    <w:rPr>
                      <w:color w:val="auto"/>
                      <w:szCs w:val="21"/>
                      <w:highlight w:val="none"/>
                    </w:rPr>
                  </w:pPr>
                  <w:r>
                    <w:rPr>
                      <w:rFonts w:hint="eastAsia"/>
                      <w:color w:val="auto"/>
                      <w:szCs w:val="21"/>
                      <w:highlight w:val="none"/>
                    </w:rPr>
                    <w:t>739860</w:t>
                  </w:r>
                </w:p>
              </w:tc>
              <w:tc>
                <w:tcPr>
                  <w:tcW w:w="996" w:type="dxa"/>
                  <w:noWrap w:val="0"/>
                  <w:vAlign w:val="center"/>
                </w:tcPr>
                <w:p w14:paraId="4A486BBC">
                  <w:pPr>
                    <w:adjustRightInd w:val="0"/>
                    <w:snapToGrid w:val="0"/>
                    <w:spacing w:before="72" w:beforeLines="30" w:after="72" w:afterLines="30"/>
                    <w:jc w:val="center"/>
                    <w:rPr>
                      <w:color w:val="auto"/>
                      <w:szCs w:val="21"/>
                      <w:highlight w:val="none"/>
                    </w:rPr>
                  </w:pPr>
                  <w:r>
                    <w:rPr>
                      <w:rFonts w:hint="eastAsia"/>
                      <w:color w:val="auto"/>
                      <w:szCs w:val="21"/>
                      <w:highlight w:val="none"/>
                    </w:rPr>
                    <w:t>3678607</w:t>
                  </w:r>
                </w:p>
              </w:tc>
              <w:tc>
                <w:tcPr>
                  <w:tcW w:w="1817" w:type="dxa"/>
                  <w:noWrap w:val="0"/>
                  <w:vAlign w:val="center"/>
                </w:tcPr>
                <w:p w14:paraId="53AB9D13">
                  <w:pPr>
                    <w:adjustRightInd w:val="0"/>
                    <w:snapToGrid w:val="0"/>
                    <w:spacing w:before="72" w:beforeLines="30" w:after="72" w:afterLines="30"/>
                    <w:jc w:val="center"/>
                    <w:rPr>
                      <w:rFonts w:hint="eastAsia"/>
                      <w:color w:val="auto"/>
                      <w:szCs w:val="21"/>
                      <w:highlight w:val="none"/>
                    </w:rPr>
                  </w:pPr>
                  <w:r>
                    <w:rPr>
                      <w:rFonts w:hint="eastAsia"/>
                      <w:color w:val="auto"/>
                      <w:highlight w:val="none"/>
                      <w:lang w:eastAsia="zh-CN"/>
                    </w:rPr>
                    <w:t>北瞿</w:t>
                  </w:r>
                  <w:r>
                    <w:rPr>
                      <w:rFonts w:hint="eastAsia"/>
                      <w:color w:val="auto"/>
                      <w:highlight w:val="none"/>
                    </w:rPr>
                    <w:t>村住户（约</w:t>
                  </w:r>
                  <w:r>
                    <w:rPr>
                      <w:rFonts w:hint="eastAsia"/>
                      <w:color w:val="auto"/>
                      <w:highlight w:val="none"/>
                      <w:lang w:val="en-US" w:eastAsia="zh-CN"/>
                    </w:rPr>
                    <w:t>1</w:t>
                  </w:r>
                  <w:r>
                    <w:rPr>
                      <w:rFonts w:hint="eastAsia"/>
                      <w:color w:val="auto"/>
                      <w:highlight w:val="none"/>
                    </w:rPr>
                    <w:t>00</w:t>
                  </w:r>
                  <w:r>
                    <w:rPr>
                      <w:rFonts w:hint="eastAsia"/>
                      <w:color w:val="auto"/>
                      <w:highlight w:val="none"/>
                      <w:lang w:eastAsia="zh-CN"/>
                    </w:rPr>
                    <w:t>户</w:t>
                  </w:r>
                  <w:r>
                    <w:rPr>
                      <w:rFonts w:hint="eastAsia"/>
                      <w:color w:val="auto"/>
                      <w:highlight w:val="none"/>
                    </w:rPr>
                    <w:t>）</w:t>
                  </w:r>
                </w:p>
              </w:tc>
              <w:tc>
                <w:tcPr>
                  <w:tcW w:w="734" w:type="dxa"/>
                  <w:vMerge w:val="restart"/>
                  <w:noWrap w:val="0"/>
                  <w:vAlign w:val="center"/>
                </w:tcPr>
                <w:p w14:paraId="1168849A">
                  <w:pPr>
                    <w:adjustRightInd w:val="0"/>
                    <w:snapToGrid w:val="0"/>
                    <w:jc w:val="left"/>
                    <w:rPr>
                      <w:color w:val="auto"/>
                      <w:szCs w:val="21"/>
                      <w:highlight w:val="none"/>
                    </w:rPr>
                  </w:pPr>
                  <w:r>
                    <w:rPr>
                      <w:color w:val="auto"/>
                      <w:szCs w:val="21"/>
                      <w:highlight w:val="none"/>
                    </w:rPr>
                    <w:t>人群健康</w:t>
                  </w:r>
                </w:p>
              </w:tc>
              <w:tc>
                <w:tcPr>
                  <w:tcW w:w="983" w:type="dxa"/>
                  <w:vMerge w:val="restart"/>
                  <w:noWrap w:val="0"/>
                  <w:vAlign w:val="center"/>
                </w:tcPr>
                <w:p w14:paraId="04413828">
                  <w:pPr>
                    <w:widowControl/>
                    <w:adjustRightInd w:val="0"/>
                    <w:snapToGrid w:val="0"/>
                    <w:jc w:val="center"/>
                    <w:rPr>
                      <w:color w:val="auto"/>
                      <w:szCs w:val="21"/>
                      <w:highlight w:val="none"/>
                    </w:rPr>
                  </w:pPr>
                  <w:r>
                    <w:rPr>
                      <w:color w:val="auto"/>
                      <w:szCs w:val="21"/>
                      <w:highlight w:val="none"/>
                    </w:rPr>
                    <w:t>二类区</w:t>
                  </w:r>
                </w:p>
              </w:tc>
              <w:tc>
                <w:tcPr>
                  <w:tcW w:w="967" w:type="dxa"/>
                  <w:noWrap w:val="0"/>
                  <w:vAlign w:val="center"/>
                </w:tcPr>
                <w:p w14:paraId="27B2EE94">
                  <w:pPr>
                    <w:widowControl/>
                    <w:adjustRightInd w:val="0"/>
                    <w:snapToGrid w:val="0"/>
                    <w:spacing w:before="72" w:beforeLines="30" w:after="72" w:afterLines="30"/>
                    <w:jc w:val="center"/>
                    <w:rPr>
                      <w:rFonts w:hint="eastAsia" w:eastAsia="宋体"/>
                      <w:color w:val="auto"/>
                      <w:szCs w:val="21"/>
                      <w:highlight w:val="none"/>
                      <w:lang w:eastAsia="zh-CN"/>
                    </w:rPr>
                  </w:pPr>
                  <w:r>
                    <w:rPr>
                      <w:rFonts w:hint="eastAsia"/>
                      <w:color w:val="auto"/>
                      <w:szCs w:val="21"/>
                      <w:highlight w:val="none"/>
                      <w:lang w:val="en-US" w:eastAsia="zh-CN"/>
                    </w:rPr>
                    <w:t>E</w:t>
                  </w:r>
                </w:p>
              </w:tc>
              <w:tc>
                <w:tcPr>
                  <w:tcW w:w="1095" w:type="dxa"/>
                  <w:noWrap w:val="0"/>
                  <w:vAlign w:val="center"/>
                </w:tcPr>
                <w:p w14:paraId="1642D7BA">
                  <w:pPr>
                    <w:widowControl/>
                    <w:adjustRightInd w:val="0"/>
                    <w:snapToGrid w:val="0"/>
                    <w:spacing w:before="72" w:beforeLines="30" w:after="72" w:afterLines="30"/>
                    <w:jc w:val="center"/>
                    <w:rPr>
                      <w:color w:val="auto"/>
                      <w:szCs w:val="21"/>
                      <w:highlight w:val="none"/>
                    </w:rPr>
                  </w:pPr>
                  <w:r>
                    <w:rPr>
                      <w:rFonts w:hint="eastAsia"/>
                      <w:color w:val="auto"/>
                      <w:szCs w:val="21"/>
                      <w:highlight w:val="none"/>
                      <w:lang w:val="en-US" w:eastAsia="zh-CN"/>
                    </w:rPr>
                    <w:t>350</w:t>
                  </w:r>
                </w:p>
              </w:tc>
            </w:tr>
            <w:tr w14:paraId="1726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02" w:type="dxa"/>
                  <w:noWrap w:val="0"/>
                  <w:vAlign w:val="center"/>
                </w:tcPr>
                <w:p w14:paraId="7C4EA1A4">
                  <w:pPr>
                    <w:widowControl/>
                    <w:adjustRightInd w:val="0"/>
                    <w:snapToGrid w:val="0"/>
                    <w:spacing w:before="72" w:beforeLines="30" w:after="72" w:afterLines="30"/>
                    <w:jc w:val="center"/>
                    <w:rPr>
                      <w:color w:val="auto"/>
                      <w:szCs w:val="21"/>
                      <w:highlight w:val="none"/>
                    </w:rPr>
                  </w:pPr>
                  <w:r>
                    <w:rPr>
                      <w:color w:val="auto"/>
                      <w:szCs w:val="21"/>
                      <w:highlight w:val="none"/>
                    </w:rPr>
                    <w:t>2</w:t>
                  </w:r>
                </w:p>
              </w:tc>
              <w:tc>
                <w:tcPr>
                  <w:tcW w:w="905" w:type="dxa"/>
                  <w:noWrap w:val="0"/>
                  <w:vAlign w:val="center"/>
                </w:tcPr>
                <w:p w14:paraId="3948D282">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739633</w:t>
                  </w:r>
                </w:p>
              </w:tc>
              <w:tc>
                <w:tcPr>
                  <w:tcW w:w="996" w:type="dxa"/>
                  <w:noWrap w:val="0"/>
                  <w:vAlign w:val="center"/>
                </w:tcPr>
                <w:p w14:paraId="4F69D87C">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3678365</w:t>
                  </w:r>
                </w:p>
              </w:tc>
              <w:tc>
                <w:tcPr>
                  <w:tcW w:w="1817" w:type="dxa"/>
                  <w:noWrap w:val="0"/>
                  <w:vAlign w:val="center"/>
                </w:tcPr>
                <w:p w14:paraId="2A174CA4">
                  <w:pPr>
                    <w:adjustRightInd w:val="0"/>
                    <w:snapToGrid w:val="0"/>
                    <w:spacing w:before="72" w:beforeLines="30" w:after="72" w:afterLines="30"/>
                    <w:jc w:val="center"/>
                    <w:rPr>
                      <w:rFonts w:hint="eastAsia"/>
                      <w:color w:val="auto"/>
                      <w:szCs w:val="21"/>
                      <w:highlight w:val="none"/>
                    </w:rPr>
                  </w:pPr>
                  <w:r>
                    <w:rPr>
                      <w:rFonts w:hint="eastAsia"/>
                      <w:color w:val="auto"/>
                      <w:highlight w:val="none"/>
                      <w:lang w:eastAsia="zh-CN"/>
                    </w:rPr>
                    <w:t>北瞿</w:t>
                  </w:r>
                  <w:r>
                    <w:rPr>
                      <w:rFonts w:hint="eastAsia"/>
                      <w:color w:val="auto"/>
                      <w:highlight w:val="none"/>
                    </w:rPr>
                    <w:t>村住户（约</w:t>
                  </w:r>
                  <w:r>
                    <w:rPr>
                      <w:rFonts w:hint="eastAsia"/>
                      <w:color w:val="auto"/>
                      <w:highlight w:val="none"/>
                      <w:lang w:val="en-US" w:eastAsia="zh-CN"/>
                    </w:rPr>
                    <w:t>40户</w:t>
                  </w:r>
                  <w:r>
                    <w:rPr>
                      <w:rFonts w:hint="eastAsia"/>
                      <w:color w:val="auto"/>
                      <w:highlight w:val="none"/>
                    </w:rPr>
                    <w:t>）</w:t>
                  </w:r>
                </w:p>
              </w:tc>
              <w:tc>
                <w:tcPr>
                  <w:tcW w:w="734" w:type="dxa"/>
                  <w:vMerge w:val="continue"/>
                  <w:noWrap w:val="0"/>
                  <w:vAlign w:val="center"/>
                </w:tcPr>
                <w:p w14:paraId="2EA7B0F5">
                  <w:pPr>
                    <w:widowControl/>
                    <w:adjustRightInd w:val="0"/>
                    <w:snapToGrid w:val="0"/>
                    <w:jc w:val="center"/>
                    <w:rPr>
                      <w:color w:val="auto"/>
                      <w:szCs w:val="21"/>
                      <w:highlight w:val="none"/>
                    </w:rPr>
                  </w:pPr>
                </w:p>
              </w:tc>
              <w:tc>
                <w:tcPr>
                  <w:tcW w:w="983" w:type="dxa"/>
                  <w:vMerge w:val="continue"/>
                  <w:noWrap w:val="0"/>
                  <w:vAlign w:val="center"/>
                </w:tcPr>
                <w:p w14:paraId="0E9CE571">
                  <w:pPr>
                    <w:widowControl/>
                    <w:adjustRightInd w:val="0"/>
                    <w:snapToGrid w:val="0"/>
                    <w:jc w:val="center"/>
                    <w:rPr>
                      <w:color w:val="auto"/>
                      <w:szCs w:val="21"/>
                      <w:highlight w:val="none"/>
                    </w:rPr>
                  </w:pPr>
                </w:p>
              </w:tc>
              <w:tc>
                <w:tcPr>
                  <w:tcW w:w="967" w:type="dxa"/>
                  <w:noWrap w:val="0"/>
                  <w:vAlign w:val="center"/>
                </w:tcPr>
                <w:p w14:paraId="36A75166">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SE</w:t>
                  </w:r>
                </w:p>
              </w:tc>
              <w:tc>
                <w:tcPr>
                  <w:tcW w:w="1095" w:type="dxa"/>
                  <w:noWrap w:val="0"/>
                  <w:vAlign w:val="center"/>
                </w:tcPr>
                <w:p w14:paraId="1E12EF4B">
                  <w:pPr>
                    <w:tabs>
                      <w:tab w:val="left" w:pos="3000"/>
                    </w:tabs>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115</w:t>
                  </w:r>
                </w:p>
              </w:tc>
            </w:tr>
            <w:tr w14:paraId="6669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02" w:type="dxa"/>
                  <w:noWrap w:val="0"/>
                  <w:vAlign w:val="center"/>
                </w:tcPr>
                <w:p w14:paraId="54F0B192">
                  <w:pPr>
                    <w:widowControl/>
                    <w:adjustRightInd w:val="0"/>
                    <w:snapToGrid w:val="0"/>
                    <w:spacing w:before="72" w:beforeLines="30" w:after="72" w:afterLines="30"/>
                    <w:jc w:val="center"/>
                    <w:rPr>
                      <w:rFonts w:hint="eastAsia"/>
                      <w:color w:val="auto"/>
                      <w:szCs w:val="21"/>
                      <w:highlight w:val="none"/>
                    </w:rPr>
                  </w:pPr>
                  <w:r>
                    <w:rPr>
                      <w:rFonts w:hint="eastAsia"/>
                      <w:color w:val="auto"/>
                      <w:szCs w:val="21"/>
                      <w:highlight w:val="none"/>
                    </w:rPr>
                    <w:t>3</w:t>
                  </w:r>
                </w:p>
              </w:tc>
              <w:tc>
                <w:tcPr>
                  <w:tcW w:w="905" w:type="dxa"/>
                  <w:noWrap w:val="0"/>
                  <w:vAlign w:val="center"/>
                </w:tcPr>
                <w:p w14:paraId="5E064981">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739670</w:t>
                  </w:r>
                </w:p>
              </w:tc>
              <w:tc>
                <w:tcPr>
                  <w:tcW w:w="996" w:type="dxa"/>
                  <w:noWrap w:val="0"/>
                  <w:vAlign w:val="center"/>
                </w:tcPr>
                <w:p w14:paraId="128AC26D">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3678231</w:t>
                  </w:r>
                </w:p>
              </w:tc>
              <w:tc>
                <w:tcPr>
                  <w:tcW w:w="1817" w:type="dxa"/>
                  <w:noWrap w:val="0"/>
                  <w:vAlign w:val="center"/>
                </w:tcPr>
                <w:p w14:paraId="145A6DB5">
                  <w:pPr>
                    <w:adjustRightInd w:val="0"/>
                    <w:snapToGrid w:val="0"/>
                    <w:spacing w:before="72" w:beforeLines="30" w:after="72" w:afterLines="30"/>
                    <w:jc w:val="center"/>
                    <w:rPr>
                      <w:rFonts w:hint="eastAsia"/>
                      <w:color w:val="auto"/>
                      <w:szCs w:val="21"/>
                      <w:highlight w:val="none"/>
                    </w:rPr>
                  </w:pPr>
                  <w:r>
                    <w:rPr>
                      <w:rFonts w:hint="eastAsia"/>
                      <w:color w:val="auto"/>
                      <w:highlight w:val="none"/>
                      <w:lang w:eastAsia="zh-CN"/>
                    </w:rPr>
                    <w:t>冉家</w:t>
                  </w:r>
                  <w:r>
                    <w:rPr>
                      <w:rFonts w:hint="eastAsia"/>
                      <w:color w:val="auto"/>
                      <w:highlight w:val="none"/>
                    </w:rPr>
                    <w:t>村住户（约</w:t>
                  </w:r>
                  <w:r>
                    <w:rPr>
                      <w:rFonts w:hint="eastAsia"/>
                      <w:color w:val="auto"/>
                      <w:highlight w:val="none"/>
                      <w:lang w:val="en-US" w:eastAsia="zh-CN"/>
                    </w:rPr>
                    <w:t>40户</w:t>
                  </w:r>
                  <w:r>
                    <w:rPr>
                      <w:rFonts w:hint="eastAsia"/>
                      <w:color w:val="auto"/>
                      <w:highlight w:val="none"/>
                    </w:rPr>
                    <w:t>）</w:t>
                  </w:r>
                </w:p>
              </w:tc>
              <w:tc>
                <w:tcPr>
                  <w:tcW w:w="734" w:type="dxa"/>
                  <w:vMerge w:val="continue"/>
                  <w:noWrap w:val="0"/>
                  <w:vAlign w:val="center"/>
                </w:tcPr>
                <w:p w14:paraId="78E46392">
                  <w:pPr>
                    <w:widowControl/>
                    <w:adjustRightInd w:val="0"/>
                    <w:snapToGrid w:val="0"/>
                    <w:jc w:val="center"/>
                    <w:rPr>
                      <w:color w:val="auto"/>
                      <w:szCs w:val="21"/>
                      <w:highlight w:val="none"/>
                    </w:rPr>
                  </w:pPr>
                </w:p>
              </w:tc>
              <w:tc>
                <w:tcPr>
                  <w:tcW w:w="983" w:type="dxa"/>
                  <w:vMerge w:val="continue"/>
                  <w:noWrap w:val="0"/>
                  <w:vAlign w:val="center"/>
                </w:tcPr>
                <w:p w14:paraId="3E22DB60">
                  <w:pPr>
                    <w:widowControl/>
                    <w:adjustRightInd w:val="0"/>
                    <w:snapToGrid w:val="0"/>
                    <w:jc w:val="center"/>
                    <w:rPr>
                      <w:color w:val="auto"/>
                      <w:szCs w:val="21"/>
                      <w:highlight w:val="none"/>
                    </w:rPr>
                  </w:pPr>
                </w:p>
              </w:tc>
              <w:tc>
                <w:tcPr>
                  <w:tcW w:w="967" w:type="dxa"/>
                  <w:noWrap w:val="0"/>
                  <w:vAlign w:val="center"/>
                </w:tcPr>
                <w:p w14:paraId="022ACEF2">
                  <w:pPr>
                    <w:adjustRightInd w:val="0"/>
                    <w:snapToGrid w:val="0"/>
                    <w:spacing w:before="72" w:beforeLines="30" w:after="72" w:afterLines="30"/>
                    <w:jc w:val="center"/>
                    <w:rPr>
                      <w:rFonts w:hint="eastAsia" w:eastAsia="宋体"/>
                      <w:color w:val="auto"/>
                      <w:szCs w:val="21"/>
                      <w:highlight w:val="none"/>
                      <w:lang w:eastAsia="zh-CN"/>
                    </w:rPr>
                  </w:pPr>
                  <w:r>
                    <w:rPr>
                      <w:rFonts w:hint="eastAsia"/>
                      <w:color w:val="auto"/>
                      <w:szCs w:val="21"/>
                      <w:highlight w:val="none"/>
                      <w:lang w:val="en-US" w:eastAsia="zh-CN"/>
                    </w:rPr>
                    <w:t>SE</w:t>
                  </w:r>
                </w:p>
              </w:tc>
              <w:tc>
                <w:tcPr>
                  <w:tcW w:w="1095" w:type="dxa"/>
                  <w:noWrap w:val="0"/>
                  <w:vAlign w:val="center"/>
                </w:tcPr>
                <w:p w14:paraId="6765FAE7">
                  <w:pPr>
                    <w:tabs>
                      <w:tab w:val="left" w:pos="3000"/>
                    </w:tabs>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350</w:t>
                  </w:r>
                </w:p>
              </w:tc>
            </w:tr>
            <w:tr w14:paraId="713D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02" w:type="dxa"/>
                  <w:noWrap w:val="0"/>
                  <w:vAlign w:val="center"/>
                </w:tcPr>
                <w:p w14:paraId="7293E529">
                  <w:pPr>
                    <w:widowControl/>
                    <w:adjustRightInd w:val="0"/>
                    <w:snapToGrid w:val="0"/>
                    <w:spacing w:before="72" w:beforeLines="30" w:after="72" w:afterLines="30"/>
                    <w:jc w:val="center"/>
                    <w:rPr>
                      <w:rFonts w:hint="eastAsia"/>
                      <w:color w:val="auto"/>
                      <w:szCs w:val="21"/>
                      <w:highlight w:val="none"/>
                    </w:rPr>
                  </w:pPr>
                  <w:r>
                    <w:rPr>
                      <w:rFonts w:hint="eastAsia"/>
                      <w:color w:val="auto"/>
                      <w:szCs w:val="21"/>
                      <w:highlight w:val="none"/>
                    </w:rPr>
                    <w:t>4</w:t>
                  </w:r>
                </w:p>
              </w:tc>
              <w:tc>
                <w:tcPr>
                  <w:tcW w:w="905" w:type="dxa"/>
                  <w:noWrap w:val="0"/>
                  <w:vAlign w:val="center"/>
                </w:tcPr>
                <w:p w14:paraId="2647388B">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739388</w:t>
                  </w:r>
                </w:p>
              </w:tc>
              <w:tc>
                <w:tcPr>
                  <w:tcW w:w="996" w:type="dxa"/>
                  <w:noWrap w:val="0"/>
                  <w:vAlign w:val="center"/>
                </w:tcPr>
                <w:p w14:paraId="52E594BC">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3678533</w:t>
                  </w:r>
                </w:p>
              </w:tc>
              <w:tc>
                <w:tcPr>
                  <w:tcW w:w="1817" w:type="dxa"/>
                  <w:noWrap w:val="0"/>
                  <w:vAlign w:val="center"/>
                </w:tcPr>
                <w:p w14:paraId="04E396E4">
                  <w:pPr>
                    <w:adjustRightInd w:val="0"/>
                    <w:snapToGrid w:val="0"/>
                    <w:spacing w:before="72" w:beforeLines="30" w:after="72" w:afterLines="30"/>
                    <w:jc w:val="center"/>
                    <w:rPr>
                      <w:rFonts w:hint="eastAsia" w:eastAsia="宋体"/>
                      <w:color w:val="auto"/>
                      <w:highlight w:val="none"/>
                      <w:lang w:eastAsia="zh-CN"/>
                    </w:rPr>
                  </w:pPr>
                  <w:r>
                    <w:rPr>
                      <w:rFonts w:hint="eastAsia"/>
                      <w:color w:val="auto"/>
                      <w:highlight w:val="none"/>
                      <w:lang w:eastAsia="zh-CN"/>
                    </w:rPr>
                    <w:t>自强花园小区</w:t>
                  </w:r>
                  <w:r>
                    <w:rPr>
                      <w:rFonts w:hint="eastAsia"/>
                      <w:color w:val="auto"/>
                      <w:highlight w:val="none"/>
                    </w:rPr>
                    <w:t>（约</w:t>
                  </w:r>
                  <w:r>
                    <w:rPr>
                      <w:rFonts w:hint="eastAsia"/>
                      <w:color w:val="auto"/>
                      <w:highlight w:val="none"/>
                      <w:lang w:val="en-US" w:eastAsia="zh-CN"/>
                    </w:rPr>
                    <w:t>144户</w:t>
                  </w:r>
                  <w:r>
                    <w:rPr>
                      <w:rFonts w:hint="eastAsia"/>
                      <w:color w:val="auto"/>
                      <w:highlight w:val="none"/>
                    </w:rPr>
                    <w:t>）</w:t>
                  </w:r>
                </w:p>
              </w:tc>
              <w:tc>
                <w:tcPr>
                  <w:tcW w:w="734" w:type="dxa"/>
                  <w:vMerge w:val="continue"/>
                  <w:noWrap w:val="0"/>
                  <w:vAlign w:val="center"/>
                </w:tcPr>
                <w:p w14:paraId="1594B3DC">
                  <w:pPr>
                    <w:widowControl/>
                    <w:adjustRightInd w:val="0"/>
                    <w:snapToGrid w:val="0"/>
                    <w:jc w:val="center"/>
                    <w:rPr>
                      <w:rFonts w:hint="eastAsia"/>
                      <w:color w:val="auto"/>
                      <w:szCs w:val="21"/>
                      <w:highlight w:val="none"/>
                    </w:rPr>
                  </w:pPr>
                </w:p>
              </w:tc>
              <w:tc>
                <w:tcPr>
                  <w:tcW w:w="983" w:type="dxa"/>
                  <w:vMerge w:val="continue"/>
                  <w:noWrap w:val="0"/>
                  <w:vAlign w:val="center"/>
                </w:tcPr>
                <w:p w14:paraId="13F1F247">
                  <w:pPr>
                    <w:widowControl/>
                    <w:adjustRightInd w:val="0"/>
                    <w:snapToGrid w:val="0"/>
                    <w:jc w:val="center"/>
                    <w:rPr>
                      <w:color w:val="auto"/>
                      <w:szCs w:val="21"/>
                      <w:highlight w:val="none"/>
                    </w:rPr>
                  </w:pPr>
                </w:p>
              </w:tc>
              <w:tc>
                <w:tcPr>
                  <w:tcW w:w="967" w:type="dxa"/>
                  <w:noWrap w:val="0"/>
                  <w:vAlign w:val="center"/>
                </w:tcPr>
                <w:p w14:paraId="7D070050">
                  <w:pPr>
                    <w:adjustRightInd w:val="0"/>
                    <w:snapToGrid w:val="0"/>
                    <w:spacing w:before="72" w:beforeLines="30" w:after="72" w:afterLines="30"/>
                    <w:jc w:val="center"/>
                    <w:rPr>
                      <w:color w:val="auto"/>
                      <w:szCs w:val="21"/>
                      <w:highlight w:val="none"/>
                    </w:rPr>
                  </w:pPr>
                  <w:r>
                    <w:rPr>
                      <w:rFonts w:hint="eastAsia"/>
                      <w:color w:val="auto"/>
                      <w:szCs w:val="21"/>
                      <w:highlight w:val="none"/>
                      <w:lang w:val="en-US" w:eastAsia="zh-CN"/>
                    </w:rPr>
                    <w:t>S</w:t>
                  </w:r>
                  <w:r>
                    <w:rPr>
                      <w:rFonts w:hint="eastAsia"/>
                      <w:color w:val="auto"/>
                      <w:szCs w:val="21"/>
                      <w:highlight w:val="none"/>
                    </w:rPr>
                    <w:t>W</w:t>
                  </w:r>
                </w:p>
              </w:tc>
              <w:tc>
                <w:tcPr>
                  <w:tcW w:w="1095" w:type="dxa"/>
                  <w:noWrap w:val="0"/>
                  <w:vAlign w:val="center"/>
                </w:tcPr>
                <w:p w14:paraId="2E872AD5">
                  <w:pPr>
                    <w:tabs>
                      <w:tab w:val="left" w:pos="3000"/>
                    </w:tabs>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r w14:paraId="65FA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02" w:type="dxa"/>
                  <w:noWrap w:val="0"/>
                  <w:vAlign w:val="center"/>
                </w:tcPr>
                <w:p w14:paraId="1769DF9E">
                  <w:pPr>
                    <w:widowControl/>
                    <w:adjustRightInd w:val="0"/>
                    <w:snapToGrid w:val="0"/>
                    <w:spacing w:before="72" w:beforeLines="30" w:after="72" w:afterLines="30"/>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905" w:type="dxa"/>
                  <w:noWrap w:val="0"/>
                  <w:vAlign w:val="center"/>
                </w:tcPr>
                <w:p w14:paraId="2CE858E3">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739182</w:t>
                  </w:r>
                </w:p>
              </w:tc>
              <w:tc>
                <w:tcPr>
                  <w:tcW w:w="996" w:type="dxa"/>
                  <w:noWrap w:val="0"/>
                  <w:vAlign w:val="center"/>
                </w:tcPr>
                <w:p w14:paraId="2DF94634">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3678541</w:t>
                  </w:r>
                </w:p>
              </w:tc>
              <w:tc>
                <w:tcPr>
                  <w:tcW w:w="1817" w:type="dxa"/>
                  <w:noWrap w:val="0"/>
                  <w:vAlign w:val="center"/>
                </w:tcPr>
                <w:p w14:paraId="18264FEA">
                  <w:pPr>
                    <w:adjustRightInd w:val="0"/>
                    <w:snapToGrid w:val="0"/>
                    <w:spacing w:before="72" w:beforeLines="30" w:after="72" w:afterLines="30"/>
                    <w:jc w:val="center"/>
                    <w:rPr>
                      <w:rFonts w:hint="eastAsia" w:eastAsia="宋体"/>
                      <w:color w:val="auto"/>
                      <w:highlight w:val="none"/>
                      <w:lang w:eastAsia="zh-CN"/>
                    </w:rPr>
                  </w:pPr>
                  <w:r>
                    <w:rPr>
                      <w:rFonts w:hint="eastAsia"/>
                      <w:color w:val="auto"/>
                      <w:highlight w:val="none"/>
                      <w:lang w:eastAsia="zh-CN"/>
                    </w:rPr>
                    <w:t>洋洲街道办住户</w:t>
                  </w:r>
                  <w:r>
                    <w:rPr>
                      <w:rFonts w:hint="eastAsia"/>
                      <w:color w:val="auto"/>
                      <w:highlight w:val="none"/>
                    </w:rPr>
                    <w:t>（约</w:t>
                  </w:r>
                  <w:r>
                    <w:rPr>
                      <w:rFonts w:hint="eastAsia"/>
                      <w:color w:val="auto"/>
                      <w:highlight w:val="none"/>
                      <w:lang w:val="en-US" w:eastAsia="zh-CN"/>
                    </w:rPr>
                    <w:t>115户</w:t>
                  </w:r>
                  <w:r>
                    <w:rPr>
                      <w:rFonts w:hint="eastAsia"/>
                      <w:color w:val="auto"/>
                      <w:highlight w:val="none"/>
                    </w:rPr>
                    <w:t>）</w:t>
                  </w:r>
                </w:p>
              </w:tc>
              <w:tc>
                <w:tcPr>
                  <w:tcW w:w="734" w:type="dxa"/>
                  <w:vMerge w:val="continue"/>
                  <w:noWrap w:val="0"/>
                  <w:vAlign w:val="center"/>
                </w:tcPr>
                <w:p w14:paraId="75AF4E88">
                  <w:pPr>
                    <w:widowControl/>
                    <w:adjustRightInd w:val="0"/>
                    <w:snapToGrid w:val="0"/>
                    <w:jc w:val="center"/>
                    <w:rPr>
                      <w:rFonts w:hint="eastAsia"/>
                      <w:color w:val="auto"/>
                      <w:szCs w:val="21"/>
                      <w:highlight w:val="none"/>
                    </w:rPr>
                  </w:pPr>
                </w:p>
              </w:tc>
              <w:tc>
                <w:tcPr>
                  <w:tcW w:w="983" w:type="dxa"/>
                  <w:vMerge w:val="continue"/>
                  <w:noWrap w:val="0"/>
                  <w:vAlign w:val="center"/>
                </w:tcPr>
                <w:p w14:paraId="45916739">
                  <w:pPr>
                    <w:widowControl/>
                    <w:adjustRightInd w:val="0"/>
                    <w:snapToGrid w:val="0"/>
                    <w:jc w:val="center"/>
                    <w:rPr>
                      <w:color w:val="auto"/>
                      <w:szCs w:val="21"/>
                      <w:highlight w:val="none"/>
                    </w:rPr>
                  </w:pPr>
                </w:p>
              </w:tc>
              <w:tc>
                <w:tcPr>
                  <w:tcW w:w="967" w:type="dxa"/>
                  <w:noWrap w:val="0"/>
                  <w:vAlign w:val="center"/>
                </w:tcPr>
                <w:p w14:paraId="2B131EF7">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SW</w:t>
                  </w:r>
                </w:p>
              </w:tc>
              <w:tc>
                <w:tcPr>
                  <w:tcW w:w="1095" w:type="dxa"/>
                  <w:noWrap w:val="0"/>
                  <w:vAlign w:val="center"/>
                </w:tcPr>
                <w:p w14:paraId="69674680">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130</w:t>
                  </w:r>
                </w:p>
              </w:tc>
            </w:tr>
            <w:tr w14:paraId="1A98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02" w:type="dxa"/>
                  <w:noWrap w:val="0"/>
                  <w:vAlign w:val="center"/>
                </w:tcPr>
                <w:p w14:paraId="19227384">
                  <w:pPr>
                    <w:widowControl/>
                    <w:adjustRightInd w:val="0"/>
                    <w:snapToGrid w:val="0"/>
                    <w:spacing w:before="72" w:beforeLines="30" w:after="72" w:afterLines="30"/>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905" w:type="dxa"/>
                  <w:noWrap w:val="0"/>
                  <w:vAlign w:val="center"/>
                </w:tcPr>
                <w:p w14:paraId="5A8AE013">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739425</w:t>
                  </w:r>
                </w:p>
              </w:tc>
              <w:tc>
                <w:tcPr>
                  <w:tcW w:w="996" w:type="dxa"/>
                  <w:noWrap w:val="0"/>
                  <w:vAlign w:val="center"/>
                </w:tcPr>
                <w:p w14:paraId="1ECD2173">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3678495</w:t>
                  </w:r>
                </w:p>
              </w:tc>
              <w:tc>
                <w:tcPr>
                  <w:tcW w:w="1817" w:type="dxa"/>
                  <w:noWrap w:val="0"/>
                  <w:vAlign w:val="center"/>
                </w:tcPr>
                <w:p w14:paraId="4431CA1B">
                  <w:pPr>
                    <w:adjustRightInd w:val="0"/>
                    <w:snapToGrid w:val="0"/>
                    <w:spacing w:before="72" w:beforeLines="30" w:after="72" w:afterLines="30"/>
                    <w:jc w:val="center"/>
                    <w:rPr>
                      <w:rFonts w:hint="eastAsia" w:eastAsia="宋体"/>
                      <w:color w:val="auto"/>
                      <w:highlight w:val="none"/>
                      <w:lang w:eastAsia="zh-CN"/>
                    </w:rPr>
                  </w:pPr>
                  <w:r>
                    <w:rPr>
                      <w:rFonts w:hint="eastAsia"/>
                      <w:color w:val="auto"/>
                      <w:highlight w:val="none"/>
                      <w:lang w:eastAsia="zh-CN"/>
                    </w:rPr>
                    <w:t>洋县警犬训练中心</w:t>
                  </w:r>
                </w:p>
              </w:tc>
              <w:tc>
                <w:tcPr>
                  <w:tcW w:w="734" w:type="dxa"/>
                  <w:vMerge w:val="continue"/>
                  <w:noWrap w:val="0"/>
                  <w:vAlign w:val="center"/>
                </w:tcPr>
                <w:p w14:paraId="5A6F8A4E">
                  <w:pPr>
                    <w:widowControl/>
                    <w:adjustRightInd w:val="0"/>
                    <w:snapToGrid w:val="0"/>
                    <w:jc w:val="center"/>
                    <w:rPr>
                      <w:rFonts w:hint="eastAsia"/>
                      <w:color w:val="auto"/>
                      <w:szCs w:val="21"/>
                      <w:highlight w:val="none"/>
                    </w:rPr>
                  </w:pPr>
                </w:p>
              </w:tc>
              <w:tc>
                <w:tcPr>
                  <w:tcW w:w="983" w:type="dxa"/>
                  <w:vMerge w:val="continue"/>
                  <w:noWrap w:val="0"/>
                  <w:vAlign w:val="center"/>
                </w:tcPr>
                <w:p w14:paraId="2E303E4F">
                  <w:pPr>
                    <w:widowControl/>
                    <w:adjustRightInd w:val="0"/>
                    <w:snapToGrid w:val="0"/>
                    <w:jc w:val="center"/>
                    <w:rPr>
                      <w:color w:val="auto"/>
                      <w:szCs w:val="21"/>
                      <w:highlight w:val="none"/>
                    </w:rPr>
                  </w:pPr>
                </w:p>
              </w:tc>
              <w:tc>
                <w:tcPr>
                  <w:tcW w:w="967" w:type="dxa"/>
                  <w:noWrap w:val="0"/>
                  <w:vAlign w:val="center"/>
                </w:tcPr>
                <w:p w14:paraId="0995B8CD">
                  <w:pPr>
                    <w:adjustRightInd w:val="0"/>
                    <w:snapToGrid w:val="0"/>
                    <w:spacing w:before="72" w:beforeLines="30" w:after="72" w:afterLines="30"/>
                    <w:jc w:val="center"/>
                    <w:rPr>
                      <w:rFonts w:hint="eastAsia" w:eastAsia="宋体"/>
                      <w:color w:val="auto"/>
                      <w:szCs w:val="21"/>
                      <w:highlight w:val="none"/>
                      <w:lang w:val="en-US" w:eastAsia="zh-CN"/>
                    </w:rPr>
                  </w:pPr>
                  <w:r>
                    <w:rPr>
                      <w:rFonts w:hint="eastAsia"/>
                      <w:color w:val="auto"/>
                      <w:szCs w:val="21"/>
                      <w:highlight w:val="none"/>
                      <w:lang w:val="en-US" w:eastAsia="zh-CN"/>
                    </w:rPr>
                    <w:t>S</w:t>
                  </w:r>
                </w:p>
              </w:tc>
              <w:tc>
                <w:tcPr>
                  <w:tcW w:w="1095" w:type="dxa"/>
                  <w:noWrap w:val="0"/>
                  <w:vAlign w:val="center"/>
                </w:tcPr>
                <w:p w14:paraId="0C0B4C0D">
                  <w:pPr>
                    <w:adjustRightInd w:val="0"/>
                    <w:snapToGrid w:val="0"/>
                    <w:spacing w:before="72" w:beforeLines="30" w:after="72" w:afterLines="30"/>
                    <w:jc w:val="center"/>
                    <w:rPr>
                      <w:rFonts w:hint="eastAsia" w:eastAsia="宋体"/>
                      <w:color w:val="auto"/>
                      <w:szCs w:val="21"/>
                      <w:highlight w:val="none"/>
                      <w:lang w:eastAsia="zh-CN"/>
                    </w:rPr>
                  </w:pPr>
                  <w:r>
                    <w:rPr>
                      <w:rFonts w:hint="eastAsia"/>
                      <w:color w:val="auto"/>
                      <w:szCs w:val="21"/>
                      <w:highlight w:val="none"/>
                      <w:lang w:eastAsia="zh-CN"/>
                    </w:rPr>
                    <w:t>紧邻</w:t>
                  </w:r>
                </w:p>
              </w:tc>
            </w:tr>
            <w:tr w14:paraId="2A59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02" w:type="dxa"/>
                  <w:noWrap w:val="0"/>
                  <w:vAlign w:val="center"/>
                </w:tcPr>
                <w:p w14:paraId="1CC528A6">
                  <w:pPr>
                    <w:widowControl/>
                    <w:adjustRightInd w:val="0"/>
                    <w:snapToGrid w:val="0"/>
                    <w:spacing w:before="72" w:beforeLines="30" w:after="72" w:afterLines="30"/>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905" w:type="dxa"/>
                  <w:noWrap w:val="0"/>
                  <w:vAlign w:val="center"/>
                </w:tcPr>
                <w:p w14:paraId="126026D3">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739287</w:t>
                  </w:r>
                </w:p>
              </w:tc>
              <w:tc>
                <w:tcPr>
                  <w:tcW w:w="996" w:type="dxa"/>
                  <w:noWrap w:val="0"/>
                  <w:vAlign w:val="center"/>
                </w:tcPr>
                <w:p w14:paraId="47138AD9">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3678416</w:t>
                  </w:r>
                </w:p>
              </w:tc>
              <w:tc>
                <w:tcPr>
                  <w:tcW w:w="1817" w:type="dxa"/>
                  <w:noWrap w:val="0"/>
                  <w:vAlign w:val="center"/>
                </w:tcPr>
                <w:p w14:paraId="701EC76A">
                  <w:pPr>
                    <w:adjustRightInd w:val="0"/>
                    <w:snapToGrid w:val="0"/>
                    <w:spacing w:before="72" w:beforeLines="30" w:after="72" w:afterLines="30"/>
                    <w:jc w:val="center"/>
                    <w:rPr>
                      <w:rFonts w:hint="eastAsia" w:eastAsia="宋体"/>
                      <w:color w:val="auto"/>
                      <w:highlight w:val="none"/>
                      <w:lang w:eastAsia="zh-CN"/>
                    </w:rPr>
                  </w:pPr>
                  <w:r>
                    <w:rPr>
                      <w:rFonts w:hint="eastAsia"/>
                      <w:color w:val="auto"/>
                      <w:highlight w:val="none"/>
                      <w:lang w:eastAsia="zh-CN"/>
                    </w:rPr>
                    <w:t>洋县气象局</w:t>
                  </w:r>
                </w:p>
              </w:tc>
              <w:tc>
                <w:tcPr>
                  <w:tcW w:w="734" w:type="dxa"/>
                  <w:vMerge w:val="continue"/>
                  <w:noWrap w:val="0"/>
                  <w:vAlign w:val="center"/>
                </w:tcPr>
                <w:p w14:paraId="20A87A20">
                  <w:pPr>
                    <w:widowControl/>
                    <w:adjustRightInd w:val="0"/>
                    <w:snapToGrid w:val="0"/>
                    <w:jc w:val="center"/>
                    <w:rPr>
                      <w:rFonts w:hint="eastAsia"/>
                      <w:color w:val="auto"/>
                      <w:szCs w:val="21"/>
                      <w:highlight w:val="none"/>
                    </w:rPr>
                  </w:pPr>
                </w:p>
              </w:tc>
              <w:tc>
                <w:tcPr>
                  <w:tcW w:w="983" w:type="dxa"/>
                  <w:vMerge w:val="continue"/>
                  <w:noWrap w:val="0"/>
                  <w:vAlign w:val="center"/>
                </w:tcPr>
                <w:p w14:paraId="2F5898FC">
                  <w:pPr>
                    <w:widowControl/>
                    <w:adjustRightInd w:val="0"/>
                    <w:snapToGrid w:val="0"/>
                    <w:jc w:val="center"/>
                    <w:rPr>
                      <w:color w:val="auto"/>
                      <w:szCs w:val="21"/>
                      <w:highlight w:val="none"/>
                    </w:rPr>
                  </w:pPr>
                </w:p>
              </w:tc>
              <w:tc>
                <w:tcPr>
                  <w:tcW w:w="967" w:type="dxa"/>
                  <w:noWrap w:val="0"/>
                  <w:vAlign w:val="center"/>
                </w:tcPr>
                <w:p w14:paraId="16FB7C64">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SW</w:t>
                  </w:r>
                </w:p>
              </w:tc>
              <w:tc>
                <w:tcPr>
                  <w:tcW w:w="1095" w:type="dxa"/>
                  <w:noWrap w:val="0"/>
                  <w:vAlign w:val="center"/>
                </w:tcPr>
                <w:p w14:paraId="2130DE03">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135</w:t>
                  </w:r>
                </w:p>
              </w:tc>
            </w:tr>
            <w:tr w14:paraId="4E7D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02" w:type="dxa"/>
                  <w:noWrap w:val="0"/>
                  <w:vAlign w:val="center"/>
                </w:tcPr>
                <w:p w14:paraId="4A762626">
                  <w:pPr>
                    <w:widowControl/>
                    <w:adjustRightInd w:val="0"/>
                    <w:snapToGrid w:val="0"/>
                    <w:spacing w:before="72" w:beforeLines="30" w:after="72" w:afterLines="30"/>
                    <w:jc w:val="center"/>
                    <w:rPr>
                      <w:rFonts w:hint="eastAsia"/>
                      <w:color w:val="auto"/>
                      <w:szCs w:val="21"/>
                      <w:highlight w:val="none"/>
                      <w:lang w:val="en-US" w:eastAsia="zh-CN"/>
                    </w:rPr>
                  </w:pPr>
                  <w:r>
                    <w:rPr>
                      <w:rFonts w:hint="eastAsia"/>
                      <w:color w:val="auto"/>
                      <w:szCs w:val="21"/>
                      <w:highlight w:val="none"/>
                      <w:lang w:val="en-US" w:eastAsia="zh-CN"/>
                    </w:rPr>
                    <w:t>8</w:t>
                  </w:r>
                </w:p>
              </w:tc>
              <w:tc>
                <w:tcPr>
                  <w:tcW w:w="905" w:type="dxa"/>
                  <w:noWrap w:val="0"/>
                  <w:vAlign w:val="center"/>
                </w:tcPr>
                <w:p w14:paraId="37D684BB">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739209</w:t>
                  </w:r>
                </w:p>
              </w:tc>
              <w:tc>
                <w:tcPr>
                  <w:tcW w:w="996" w:type="dxa"/>
                  <w:noWrap w:val="0"/>
                  <w:vAlign w:val="center"/>
                </w:tcPr>
                <w:p w14:paraId="2FF59907">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3678423</w:t>
                  </w:r>
                </w:p>
              </w:tc>
              <w:tc>
                <w:tcPr>
                  <w:tcW w:w="1817" w:type="dxa"/>
                  <w:noWrap w:val="0"/>
                  <w:vAlign w:val="center"/>
                </w:tcPr>
                <w:p w14:paraId="4123034F">
                  <w:pPr>
                    <w:adjustRightInd w:val="0"/>
                    <w:snapToGrid w:val="0"/>
                    <w:spacing w:before="72" w:beforeLines="30" w:after="72" w:afterLines="30"/>
                    <w:jc w:val="center"/>
                    <w:rPr>
                      <w:rFonts w:hint="eastAsia"/>
                      <w:color w:val="auto"/>
                      <w:highlight w:val="none"/>
                      <w:lang w:eastAsia="zh-CN"/>
                    </w:rPr>
                  </w:pPr>
                  <w:r>
                    <w:rPr>
                      <w:rFonts w:hint="eastAsia"/>
                      <w:color w:val="auto"/>
                      <w:highlight w:val="none"/>
                      <w:lang w:eastAsia="zh-CN"/>
                    </w:rPr>
                    <w:t>学府花园小区</w:t>
                  </w:r>
                  <w:r>
                    <w:rPr>
                      <w:rFonts w:hint="eastAsia"/>
                      <w:color w:val="auto"/>
                      <w:highlight w:val="none"/>
                    </w:rPr>
                    <w:t>（约</w:t>
                  </w:r>
                  <w:r>
                    <w:rPr>
                      <w:rFonts w:hint="eastAsia"/>
                      <w:color w:val="auto"/>
                      <w:highlight w:val="none"/>
                      <w:lang w:val="en-US" w:eastAsia="zh-CN"/>
                    </w:rPr>
                    <w:t>370户</w:t>
                  </w:r>
                  <w:r>
                    <w:rPr>
                      <w:rFonts w:hint="eastAsia"/>
                      <w:color w:val="auto"/>
                      <w:highlight w:val="none"/>
                    </w:rPr>
                    <w:t>）</w:t>
                  </w:r>
                </w:p>
              </w:tc>
              <w:tc>
                <w:tcPr>
                  <w:tcW w:w="734" w:type="dxa"/>
                  <w:vMerge w:val="continue"/>
                  <w:noWrap w:val="0"/>
                  <w:vAlign w:val="center"/>
                </w:tcPr>
                <w:p w14:paraId="0FD5F8EA">
                  <w:pPr>
                    <w:widowControl/>
                    <w:adjustRightInd w:val="0"/>
                    <w:snapToGrid w:val="0"/>
                    <w:jc w:val="center"/>
                    <w:rPr>
                      <w:rFonts w:hint="eastAsia"/>
                      <w:color w:val="auto"/>
                      <w:szCs w:val="21"/>
                      <w:highlight w:val="none"/>
                    </w:rPr>
                  </w:pPr>
                </w:p>
              </w:tc>
              <w:tc>
                <w:tcPr>
                  <w:tcW w:w="983" w:type="dxa"/>
                  <w:vMerge w:val="continue"/>
                  <w:noWrap w:val="0"/>
                  <w:vAlign w:val="center"/>
                </w:tcPr>
                <w:p w14:paraId="3D901B76">
                  <w:pPr>
                    <w:widowControl/>
                    <w:adjustRightInd w:val="0"/>
                    <w:snapToGrid w:val="0"/>
                    <w:jc w:val="center"/>
                    <w:rPr>
                      <w:color w:val="auto"/>
                      <w:szCs w:val="21"/>
                      <w:highlight w:val="none"/>
                    </w:rPr>
                  </w:pPr>
                </w:p>
              </w:tc>
              <w:tc>
                <w:tcPr>
                  <w:tcW w:w="967" w:type="dxa"/>
                  <w:noWrap w:val="0"/>
                  <w:vAlign w:val="center"/>
                </w:tcPr>
                <w:p w14:paraId="70877DF9">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SW</w:t>
                  </w:r>
                </w:p>
              </w:tc>
              <w:tc>
                <w:tcPr>
                  <w:tcW w:w="1095" w:type="dxa"/>
                  <w:noWrap w:val="0"/>
                  <w:vAlign w:val="center"/>
                </w:tcPr>
                <w:p w14:paraId="421D336B">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195</w:t>
                  </w:r>
                </w:p>
              </w:tc>
            </w:tr>
            <w:tr w14:paraId="6549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02" w:type="dxa"/>
                  <w:noWrap w:val="0"/>
                  <w:vAlign w:val="center"/>
                </w:tcPr>
                <w:p w14:paraId="172DEE08">
                  <w:pPr>
                    <w:widowControl/>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9</w:t>
                  </w:r>
                </w:p>
              </w:tc>
              <w:tc>
                <w:tcPr>
                  <w:tcW w:w="905" w:type="dxa"/>
                  <w:noWrap w:val="0"/>
                  <w:vAlign w:val="center"/>
                </w:tcPr>
                <w:p w14:paraId="59CF3ACB">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739047</w:t>
                  </w:r>
                </w:p>
              </w:tc>
              <w:tc>
                <w:tcPr>
                  <w:tcW w:w="996" w:type="dxa"/>
                  <w:noWrap w:val="0"/>
                  <w:vAlign w:val="center"/>
                </w:tcPr>
                <w:p w14:paraId="022D04B9">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3678376</w:t>
                  </w:r>
                </w:p>
              </w:tc>
              <w:tc>
                <w:tcPr>
                  <w:tcW w:w="1817" w:type="dxa"/>
                  <w:noWrap w:val="0"/>
                  <w:vAlign w:val="center"/>
                </w:tcPr>
                <w:p w14:paraId="4B1AC702">
                  <w:pPr>
                    <w:adjustRightInd w:val="0"/>
                    <w:snapToGrid w:val="0"/>
                    <w:spacing w:before="72" w:beforeLines="30" w:after="72" w:afterLines="30"/>
                    <w:jc w:val="center"/>
                    <w:rPr>
                      <w:rFonts w:hint="eastAsia"/>
                      <w:color w:val="auto"/>
                      <w:highlight w:val="none"/>
                    </w:rPr>
                  </w:pPr>
                  <w:r>
                    <w:rPr>
                      <w:rFonts w:hint="eastAsia"/>
                      <w:color w:val="auto"/>
                      <w:highlight w:val="none"/>
                      <w:lang w:eastAsia="zh-CN"/>
                    </w:rPr>
                    <w:t>洋洲街道办住户</w:t>
                  </w:r>
                  <w:r>
                    <w:rPr>
                      <w:rFonts w:hint="eastAsia"/>
                      <w:color w:val="auto"/>
                      <w:highlight w:val="none"/>
                    </w:rPr>
                    <w:t>（约</w:t>
                  </w:r>
                  <w:r>
                    <w:rPr>
                      <w:rFonts w:hint="eastAsia"/>
                      <w:color w:val="auto"/>
                      <w:highlight w:val="none"/>
                      <w:lang w:val="en-US" w:eastAsia="zh-CN"/>
                    </w:rPr>
                    <w:t>40户</w:t>
                  </w:r>
                  <w:r>
                    <w:rPr>
                      <w:rFonts w:hint="eastAsia"/>
                      <w:color w:val="auto"/>
                      <w:highlight w:val="none"/>
                    </w:rPr>
                    <w:t>）</w:t>
                  </w:r>
                </w:p>
              </w:tc>
              <w:tc>
                <w:tcPr>
                  <w:tcW w:w="734" w:type="dxa"/>
                  <w:vMerge w:val="continue"/>
                  <w:noWrap w:val="0"/>
                  <w:vAlign w:val="center"/>
                </w:tcPr>
                <w:p w14:paraId="782E82B3">
                  <w:pPr>
                    <w:widowControl/>
                    <w:adjustRightInd w:val="0"/>
                    <w:snapToGrid w:val="0"/>
                    <w:jc w:val="center"/>
                    <w:rPr>
                      <w:rFonts w:hint="eastAsia"/>
                      <w:color w:val="auto"/>
                      <w:szCs w:val="21"/>
                      <w:highlight w:val="none"/>
                    </w:rPr>
                  </w:pPr>
                </w:p>
              </w:tc>
              <w:tc>
                <w:tcPr>
                  <w:tcW w:w="983" w:type="dxa"/>
                  <w:vMerge w:val="continue"/>
                  <w:noWrap w:val="0"/>
                  <w:vAlign w:val="center"/>
                </w:tcPr>
                <w:p w14:paraId="79929C5A">
                  <w:pPr>
                    <w:widowControl/>
                    <w:adjustRightInd w:val="0"/>
                    <w:snapToGrid w:val="0"/>
                    <w:jc w:val="center"/>
                    <w:rPr>
                      <w:color w:val="auto"/>
                      <w:szCs w:val="21"/>
                      <w:highlight w:val="none"/>
                    </w:rPr>
                  </w:pPr>
                </w:p>
              </w:tc>
              <w:tc>
                <w:tcPr>
                  <w:tcW w:w="967" w:type="dxa"/>
                  <w:noWrap w:val="0"/>
                  <w:vAlign w:val="center"/>
                </w:tcPr>
                <w:p w14:paraId="26853CAE">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SW</w:t>
                  </w:r>
                </w:p>
              </w:tc>
              <w:tc>
                <w:tcPr>
                  <w:tcW w:w="1095" w:type="dxa"/>
                  <w:noWrap w:val="0"/>
                  <w:vAlign w:val="center"/>
                </w:tcPr>
                <w:p w14:paraId="745188D8">
                  <w:pPr>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330</w:t>
                  </w:r>
                </w:p>
              </w:tc>
            </w:tr>
          </w:tbl>
          <w:p w14:paraId="231F2B24">
            <w:pPr>
              <w:numPr>
                <w:ilvl w:val="0"/>
                <w:numId w:val="11"/>
              </w:numPr>
              <w:adjustRightInd w:val="0"/>
              <w:snapToGrid w:val="0"/>
              <w:spacing w:line="360" w:lineRule="auto"/>
              <w:ind w:left="0" w:firstLine="482" w:firstLineChars="200"/>
              <w:rPr>
                <w:b/>
                <w:color w:val="auto"/>
                <w:sz w:val="24"/>
                <w:highlight w:val="none"/>
              </w:rPr>
            </w:pPr>
            <w:r>
              <w:rPr>
                <w:b/>
                <w:color w:val="auto"/>
                <w:sz w:val="24"/>
                <w:highlight w:val="none"/>
              </w:rPr>
              <w:t>声环境</w:t>
            </w:r>
          </w:p>
          <w:p w14:paraId="4EAF1528">
            <w:p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rPr>
              <w:t>根据现场调查，项目50m范围内声环境敏感目标</w:t>
            </w:r>
            <w:r>
              <w:rPr>
                <w:rFonts w:hint="eastAsia"/>
                <w:color w:val="auto"/>
                <w:sz w:val="24"/>
                <w:highlight w:val="none"/>
                <w:lang w:eastAsia="zh-CN"/>
              </w:rPr>
              <w:t>见下表：</w:t>
            </w:r>
          </w:p>
          <w:p w14:paraId="097C5A92">
            <w:pPr>
              <w:jc w:val="center"/>
              <w:rPr>
                <w:b/>
                <w:bCs/>
                <w:color w:val="auto"/>
                <w:highlight w:val="none"/>
              </w:rPr>
            </w:pPr>
            <w:r>
              <w:rPr>
                <w:b/>
                <w:bCs/>
                <w:color w:val="auto"/>
                <w:highlight w:val="none"/>
              </w:rPr>
              <w:t>表3-</w:t>
            </w:r>
            <w:r>
              <w:rPr>
                <w:rFonts w:hint="eastAsia"/>
                <w:b/>
                <w:bCs/>
                <w:color w:val="auto"/>
                <w:highlight w:val="none"/>
                <w:lang w:val="en-US" w:eastAsia="zh-CN"/>
              </w:rPr>
              <w:t>6</w:t>
            </w:r>
            <w:r>
              <w:rPr>
                <w:b/>
                <w:bCs/>
                <w:color w:val="auto"/>
                <w:highlight w:val="none"/>
              </w:rPr>
              <w:t xml:space="preserve">  声环境保护目标一览表</w:t>
            </w:r>
          </w:p>
          <w:tbl>
            <w:tblPr>
              <w:tblStyle w:val="28"/>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8"/>
              <w:gridCol w:w="1077"/>
              <w:gridCol w:w="1047"/>
              <w:gridCol w:w="1735"/>
              <w:gridCol w:w="1470"/>
              <w:gridCol w:w="594"/>
              <w:gridCol w:w="1136"/>
            </w:tblGrid>
            <w:tr w14:paraId="7C1C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898" w:type="dxa"/>
                  <w:vMerge w:val="restart"/>
                  <w:noWrap w:val="0"/>
                  <w:vAlign w:val="center"/>
                </w:tcPr>
                <w:p w14:paraId="3A7D4755">
                  <w:pPr>
                    <w:adjustRightInd w:val="0"/>
                    <w:snapToGrid w:val="0"/>
                    <w:jc w:val="center"/>
                    <w:rPr>
                      <w:color w:val="auto"/>
                      <w:szCs w:val="21"/>
                      <w:highlight w:val="none"/>
                    </w:rPr>
                  </w:pPr>
                  <w:r>
                    <w:rPr>
                      <w:rFonts w:hint="eastAsia"/>
                      <w:color w:val="auto"/>
                      <w:szCs w:val="21"/>
                      <w:highlight w:val="none"/>
                    </w:rPr>
                    <w:t>环境要素</w:t>
                  </w:r>
                </w:p>
              </w:tc>
              <w:tc>
                <w:tcPr>
                  <w:tcW w:w="2124" w:type="dxa"/>
                  <w:gridSpan w:val="2"/>
                  <w:noWrap w:val="0"/>
                  <w:vAlign w:val="center"/>
                </w:tcPr>
                <w:p w14:paraId="254B5B9A">
                  <w:pPr>
                    <w:adjustRightInd w:val="0"/>
                    <w:snapToGrid w:val="0"/>
                    <w:jc w:val="center"/>
                    <w:rPr>
                      <w:color w:val="auto"/>
                      <w:szCs w:val="21"/>
                      <w:highlight w:val="none"/>
                    </w:rPr>
                  </w:pPr>
                  <w:r>
                    <w:rPr>
                      <w:rFonts w:hint="eastAsia"/>
                      <w:color w:val="auto"/>
                      <w:szCs w:val="21"/>
                      <w:highlight w:val="none"/>
                    </w:rPr>
                    <w:t>坐标</w:t>
                  </w:r>
                </w:p>
              </w:tc>
              <w:tc>
                <w:tcPr>
                  <w:tcW w:w="1735" w:type="dxa"/>
                  <w:vMerge w:val="restart"/>
                  <w:noWrap w:val="0"/>
                  <w:vAlign w:val="center"/>
                </w:tcPr>
                <w:p w14:paraId="6F89D75B">
                  <w:pPr>
                    <w:adjustRightInd w:val="0"/>
                    <w:snapToGrid w:val="0"/>
                    <w:jc w:val="center"/>
                    <w:rPr>
                      <w:rFonts w:hint="eastAsia"/>
                      <w:color w:val="auto"/>
                      <w:szCs w:val="21"/>
                      <w:highlight w:val="none"/>
                    </w:rPr>
                  </w:pPr>
                  <w:r>
                    <w:rPr>
                      <w:rFonts w:hint="eastAsia"/>
                      <w:color w:val="auto"/>
                      <w:szCs w:val="21"/>
                      <w:highlight w:val="none"/>
                    </w:rPr>
                    <w:t>保护对象</w:t>
                  </w:r>
                </w:p>
              </w:tc>
              <w:tc>
                <w:tcPr>
                  <w:tcW w:w="1470" w:type="dxa"/>
                  <w:vMerge w:val="restart"/>
                  <w:noWrap w:val="0"/>
                  <w:vAlign w:val="center"/>
                </w:tcPr>
                <w:p w14:paraId="50063947">
                  <w:pPr>
                    <w:adjustRightInd w:val="0"/>
                    <w:snapToGrid w:val="0"/>
                    <w:jc w:val="center"/>
                    <w:rPr>
                      <w:rFonts w:hint="eastAsia" w:eastAsia="宋体"/>
                      <w:color w:val="auto"/>
                      <w:szCs w:val="21"/>
                      <w:highlight w:val="none"/>
                      <w:lang w:eastAsia="zh-CN"/>
                    </w:rPr>
                  </w:pPr>
                  <w:r>
                    <w:rPr>
                      <w:rFonts w:hint="eastAsia"/>
                      <w:color w:val="auto"/>
                      <w:szCs w:val="21"/>
                      <w:highlight w:val="none"/>
                    </w:rPr>
                    <w:t>保护</w:t>
                  </w:r>
                  <w:r>
                    <w:rPr>
                      <w:rFonts w:hint="eastAsia"/>
                      <w:color w:val="auto"/>
                      <w:szCs w:val="21"/>
                      <w:highlight w:val="none"/>
                      <w:lang w:eastAsia="zh-CN"/>
                    </w:rPr>
                    <w:t>目标</w:t>
                  </w:r>
                </w:p>
              </w:tc>
              <w:tc>
                <w:tcPr>
                  <w:tcW w:w="594" w:type="dxa"/>
                  <w:vMerge w:val="restart"/>
                  <w:noWrap w:val="0"/>
                  <w:vAlign w:val="center"/>
                </w:tcPr>
                <w:p w14:paraId="2E32B3F3">
                  <w:pPr>
                    <w:adjustRightInd w:val="0"/>
                    <w:snapToGrid w:val="0"/>
                    <w:jc w:val="center"/>
                    <w:rPr>
                      <w:rFonts w:hint="eastAsia"/>
                      <w:color w:val="auto"/>
                      <w:szCs w:val="21"/>
                      <w:highlight w:val="none"/>
                    </w:rPr>
                  </w:pPr>
                  <w:r>
                    <w:rPr>
                      <w:rFonts w:hint="eastAsia"/>
                      <w:color w:val="auto"/>
                      <w:szCs w:val="21"/>
                      <w:highlight w:val="none"/>
                    </w:rPr>
                    <w:t>相对方位</w:t>
                  </w:r>
                </w:p>
              </w:tc>
              <w:tc>
                <w:tcPr>
                  <w:tcW w:w="1136" w:type="dxa"/>
                  <w:vMerge w:val="restart"/>
                  <w:noWrap w:val="0"/>
                  <w:vAlign w:val="center"/>
                </w:tcPr>
                <w:p w14:paraId="463F904D">
                  <w:pPr>
                    <w:adjustRightInd w:val="0"/>
                    <w:snapToGrid w:val="0"/>
                    <w:jc w:val="center"/>
                    <w:rPr>
                      <w:color w:val="auto"/>
                      <w:szCs w:val="21"/>
                      <w:highlight w:val="none"/>
                    </w:rPr>
                  </w:pPr>
                  <w:r>
                    <w:rPr>
                      <w:bCs/>
                      <w:color w:val="auto"/>
                      <w:szCs w:val="22"/>
                      <w:highlight w:val="none"/>
                      <w:lang w:bidi="ar"/>
                    </w:rPr>
                    <w:t>与本项目</w:t>
                  </w:r>
                  <w:r>
                    <w:rPr>
                      <w:rFonts w:hint="eastAsia"/>
                      <w:bCs/>
                      <w:color w:val="auto"/>
                      <w:szCs w:val="22"/>
                      <w:highlight w:val="none"/>
                      <w:lang w:bidi="ar"/>
                    </w:rPr>
                    <w:t>最近</w:t>
                  </w:r>
                  <w:r>
                    <w:rPr>
                      <w:bCs/>
                      <w:color w:val="auto"/>
                      <w:szCs w:val="22"/>
                      <w:highlight w:val="none"/>
                      <w:lang w:bidi="ar"/>
                    </w:rPr>
                    <w:t>距离/m</w:t>
                  </w:r>
                </w:p>
              </w:tc>
            </w:tr>
            <w:tr w14:paraId="5F37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898" w:type="dxa"/>
                  <w:vMerge w:val="continue"/>
                  <w:noWrap w:val="0"/>
                  <w:vAlign w:val="center"/>
                </w:tcPr>
                <w:p w14:paraId="77D1997E">
                  <w:pPr>
                    <w:adjustRightInd w:val="0"/>
                    <w:snapToGrid w:val="0"/>
                    <w:jc w:val="center"/>
                    <w:rPr>
                      <w:rFonts w:hint="eastAsia"/>
                      <w:color w:val="auto"/>
                      <w:szCs w:val="21"/>
                      <w:highlight w:val="none"/>
                    </w:rPr>
                  </w:pPr>
                </w:p>
              </w:tc>
              <w:tc>
                <w:tcPr>
                  <w:tcW w:w="1077" w:type="dxa"/>
                  <w:noWrap w:val="0"/>
                  <w:vAlign w:val="center"/>
                </w:tcPr>
                <w:p w14:paraId="12E8917E">
                  <w:pPr>
                    <w:adjustRightInd w:val="0"/>
                    <w:snapToGrid w:val="0"/>
                    <w:jc w:val="center"/>
                    <w:rPr>
                      <w:color w:val="auto"/>
                      <w:szCs w:val="21"/>
                      <w:highlight w:val="none"/>
                    </w:rPr>
                  </w:pPr>
                  <w:r>
                    <w:rPr>
                      <w:rFonts w:hint="eastAsia"/>
                      <w:color w:val="auto"/>
                      <w:szCs w:val="21"/>
                      <w:highlight w:val="none"/>
                    </w:rPr>
                    <w:t>X</w:t>
                  </w:r>
                </w:p>
              </w:tc>
              <w:tc>
                <w:tcPr>
                  <w:tcW w:w="1047" w:type="dxa"/>
                  <w:noWrap w:val="0"/>
                  <w:vAlign w:val="center"/>
                </w:tcPr>
                <w:p w14:paraId="76654B06">
                  <w:pPr>
                    <w:adjustRightInd w:val="0"/>
                    <w:snapToGrid w:val="0"/>
                    <w:jc w:val="center"/>
                    <w:rPr>
                      <w:color w:val="auto"/>
                      <w:szCs w:val="21"/>
                      <w:highlight w:val="none"/>
                    </w:rPr>
                  </w:pPr>
                  <w:r>
                    <w:rPr>
                      <w:rFonts w:hint="eastAsia"/>
                      <w:color w:val="auto"/>
                      <w:szCs w:val="21"/>
                      <w:highlight w:val="none"/>
                    </w:rPr>
                    <w:t>Y</w:t>
                  </w:r>
                </w:p>
              </w:tc>
              <w:tc>
                <w:tcPr>
                  <w:tcW w:w="1735" w:type="dxa"/>
                  <w:vMerge w:val="continue"/>
                  <w:noWrap w:val="0"/>
                  <w:vAlign w:val="center"/>
                </w:tcPr>
                <w:p w14:paraId="440E495A">
                  <w:pPr>
                    <w:adjustRightInd w:val="0"/>
                    <w:snapToGrid w:val="0"/>
                    <w:jc w:val="center"/>
                    <w:rPr>
                      <w:rFonts w:hint="eastAsia"/>
                      <w:color w:val="auto"/>
                      <w:szCs w:val="21"/>
                      <w:highlight w:val="none"/>
                    </w:rPr>
                  </w:pPr>
                </w:p>
              </w:tc>
              <w:tc>
                <w:tcPr>
                  <w:tcW w:w="1470" w:type="dxa"/>
                  <w:vMerge w:val="continue"/>
                  <w:noWrap w:val="0"/>
                  <w:vAlign w:val="center"/>
                </w:tcPr>
                <w:p w14:paraId="522B4ABF">
                  <w:pPr>
                    <w:adjustRightInd w:val="0"/>
                    <w:snapToGrid w:val="0"/>
                    <w:jc w:val="center"/>
                    <w:rPr>
                      <w:rFonts w:hint="eastAsia"/>
                      <w:color w:val="auto"/>
                      <w:szCs w:val="21"/>
                      <w:highlight w:val="none"/>
                    </w:rPr>
                  </w:pPr>
                </w:p>
              </w:tc>
              <w:tc>
                <w:tcPr>
                  <w:tcW w:w="594" w:type="dxa"/>
                  <w:vMerge w:val="continue"/>
                  <w:noWrap w:val="0"/>
                  <w:vAlign w:val="center"/>
                </w:tcPr>
                <w:p w14:paraId="3E9BA46C">
                  <w:pPr>
                    <w:adjustRightInd w:val="0"/>
                    <w:snapToGrid w:val="0"/>
                    <w:jc w:val="center"/>
                    <w:rPr>
                      <w:rFonts w:hint="eastAsia"/>
                      <w:color w:val="auto"/>
                      <w:szCs w:val="21"/>
                      <w:highlight w:val="none"/>
                    </w:rPr>
                  </w:pPr>
                </w:p>
              </w:tc>
              <w:tc>
                <w:tcPr>
                  <w:tcW w:w="1136" w:type="dxa"/>
                  <w:vMerge w:val="continue"/>
                  <w:noWrap w:val="0"/>
                  <w:vAlign w:val="center"/>
                </w:tcPr>
                <w:p w14:paraId="2C112E65">
                  <w:pPr>
                    <w:adjustRightInd w:val="0"/>
                    <w:snapToGrid w:val="0"/>
                    <w:jc w:val="center"/>
                    <w:rPr>
                      <w:rFonts w:hint="eastAsia"/>
                      <w:color w:val="auto"/>
                      <w:szCs w:val="21"/>
                      <w:highlight w:val="none"/>
                    </w:rPr>
                  </w:pPr>
                </w:p>
              </w:tc>
            </w:tr>
            <w:tr w14:paraId="69D0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898" w:type="dxa"/>
                  <w:vMerge w:val="restart"/>
                  <w:noWrap w:val="0"/>
                  <w:vAlign w:val="center"/>
                </w:tcPr>
                <w:p w14:paraId="75D0F639">
                  <w:pPr>
                    <w:adjustRightInd w:val="0"/>
                    <w:snapToGrid w:val="0"/>
                    <w:jc w:val="center"/>
                    <w:rPr>
                      <w:color w:val="auto"/>
                      <w:szCs w:val="21"/>
                      <w:highlight w:val="none"/>
                    </w:rPr>
                  </w:pPr>
                  <w:r>
                    <w:rPr>
                      <w:rFonts w:hint="eastAsia"/>
                      <w:color w:val="auto"/>
                      <w:szCs w:val="21"/>
                      <w:highlight w:val="none"/>
                    </w:rPr>
                    <w:t>声环境</w:t>
                  </w:r>
                </w:p>
              </w:tc>
              <w:tc>
                <w:tcPr>
                  <w:tcW w:w="1077" w:type="dxa"/>
                  <w:noWrap w:val="0"/>
                  <w:vAlign w:val="center"/>
                </w:tcPr>
                <w:p w14:paraId="4408AD80">
                  <w:pPr>
                    <w:adjustRightInd w:val="0"/>
                    <w:snapToGrid w:val="0"/>
                    <w:spacing w:before="72" w:beforeLines="30" w:after="72" w:afterLines="30"/>
                    <w:jc w:val="center"/>
                    <w:rPr>
                      <w:rFonts w:hint="eastAsia" w:ascii="Times New Roman" w:hAnsi="Times New Roman" w:cs="Times New Roman"/>
                      <w:color w:val="auto"/>
                      <w:highlight w:val="none"/>
                    </w:rPr>
                  </w:pPr>
                  <w:r>
                    <w:rPr>
                      <w:rFonts w:hint="eastAsia"/>
                      <w:color w:val="auto"/>
                      <w:szCs w:val="21"/>
                      <w:highlight w:val="none"/>
                      <w:lang w:val="en-US" w:eastAsia="zh-CN"/>
                    </w:rPr>
                    <w:t>739388</w:t>
                  </w:r>
                </w:p>
              </w:tc>
              <w:tc>
                <w:tcPr>
                  <w:tcW w:w="1047" w:type="dxa"/>
                  <w:noWrap w:val="0"/>
                  <w:vAlign w:val="center"/>
                </w:tcPr>
                <w:p w14:paraId="1EF95ACC">
                  <w:pPr>
                    <w:adjustRightInd w:val="0"/>
                    <w:snapToGrid w:val="0"/>
                    <w:spacing w:before="72" w:beforeLines="30" w:after="72" w:afterLines="30"/>
                    <w:jc w:val="center"/>
                    <w:rPr>
                      <w:rFonts w:hint="eastAsia" w:ascii="Times New Roman" w:hAnsi="Times New Roman" w:cs="Times New Roman"/>
                      <w:color w:val="auto"/>
                      <w:highlight w:val="none"/>
                      <w:lang w:bidi="ar"/>
                    </w:rPr>
                  </w:pPr>
                  <w:r>
                    <w:rPr>
                      <w:rFonts w:hint="eastAsia"/>
                      <w:color w:val="auto"/>
                      <w:szCs w:val="21"/>
                      <w:highlight w:val="none"/>
                      <w:lang w:val="en-US" w:eastAsia="zh-CN"/>
                    </w:rPr>
                    <w:t>3678533</w:t>
                  </w:r>
                </w:p>
              </w:tc>
              <w:tc>
                <w:tcPr>
                  <w:tcW w:w="1735" w:type="dxa"/>
                  <w:noWrap w:val="0"/>
                  <w:vAlign w:val="center"/>
                </w:tcPr>
                <w:p w14:paraId="753DD3B0">
                  <w:pPr>
                    <w:adjustRightInd w:val="0"/>
                    <w:snapToGrid w:val="0"/>
                    <w:spacing w:before="48" w:beforeLines="20" w:after="48" w:afterLines="20"/>
                    <w:jc w:val="center"/>
                    <w:rPr>
                      <w:rFonts w:hint="eastAsia"/>
                      <w:color w:val="auto"/>
                      <w:szCs w:val="21"/>
                      <w:highlight w:val="none"/>
                    </w:rPr>
                  </w:pPr>
                  <w:r>
                    <w:rPr>
                      <w:rFonts w:hint="eastAsia"/>
                      <w:color w:val="auto"/>
                      <w:highlight w:val="none"/>
                      <w:lang w:eastAsia="zh-CN"/>
                    </w:rPr>
                    <w:t>自强花园小区（</w:t>
                  </w:r>
                  <w:r>
                    <w:rPr>
                      <w:rFonts w:hint="eastAsia"/>
                      <w:color w:val="auto"/>
                      <w:highlight w:val="none"/>
                      <w:lang w:val="en-US" w:eastAsia="zh-CN"/>
                    </w:rPr>
                    <w:t>6F</w:t>
                  </w:r>
                  <w:r>
                    <w:rPr>
                      <w:rFonts w:hint="eastAsia"/>
                      <w:color w:val="auto"/>
                      <w:highlight w:val="none"/>
                      <w:lang w:eastAsia="zh-CN"/>
                    </w:rPr>
                    <w:t>）</w:t>
                  </w:r>
                  <w:r>
                    <w:rPr>
                      <w:rFonts w:hint="eastAsia"/>
                      <w:color w:val="auto"/>
                      <w:highlight w:val="none"/>
                    </w:rPr>
                    <w:t>住户</w:t>
                  </w:r>
                </w:p>
              </w:tc>
              <w:tc>
                <w:tcPr>
                  <w:tcW w:w="1470" w:type="dxa"/>
                  <w:vMerge w:val="restart"/>
                  <w:noWrap w:val="0"/>
                  <w:vAlign w:val="center"/>
                </w:tcPr>
                <w:p w14:paraId="63F51163">
                  <w:pPr>
                    <w:keepNext w:val="0"/>
                    <w:keepLines w:val="0"/>
                    <w:pageBreakBefore w:val="0"/>
                    <w:widowControl w:val="0"/>
                    <w:kinsoku/>
                    <w:wordWrap/>
                    <w:overflowPunct/>
                    <w:topLinePunct w:val="0"/>
                    <w:autoSpaceDE/>
                    <w:autoSpaceDN/>
                    <w:bidi w:val="0"/>
                    <w:snapToGrid w:val="0"/>
                    <w:ind w:left="42" w:leftChars="20" w:right="42" w:rightChars="20"/>
                    <w:jc w:val="center"/>
                    <w:textAlignment w:val="auto"/>
                    <w:rPr>
                      <w:b/>
                      <w:bCs/>
                      <w:color w:val="auto"/>
                      <w:szCs w:val="18"/>
                      <w:highlight w:val="none"/>
                    </w:rPr>
                  </w:pPr>
                  <w:r>
                    <w:rPr>
                      <w:color w:val="auto"/>
                      <w:szCs w:val="21"/>
                      <w:highlight w:val="none"/>
                    </w:rPr>
                    <w:t>符合《声环境质量标准》（</w:t>
                  </w:r>
                  <w:r>
                    <w:rPr>
                      <w:rFonts w:eastAsia="新宋体"/>
                      <w:color w:val="auto"/>
                      <w:szCs w:val="21"/>
                      <w:highlight w:val="none"/>
                    </w:rPr>
                    <w:t>GB3096-2008)中</w:t>
                  </w:r>
                  <w:r>
                    <w:rPr>
                      <w:rFonts w:hint="eastAsia" w:eastAsia="新宋体"/>
                      <w:color w:val="auto"/>
                      <w:szCs w:val="21"/>
                      <w:highlight w:val="none"/>
                      <w:lang w:val="en-US" w:eastAsia="zh-CN"/>
                    </w:rPr>
                    <w:t>3</w:t>
                  </w:r>
                  <w:r>
                    <w:rPr>
                      <w:rFonts w:eastAsia="新宋体"/>
                      <w:color w:val="auto"/>
                      <w:szCs w:val="21"/>
                      <w:highlight w:val="none"/>
                    </w:rPr>
                    <w:t>类标准</w:t>
                  </w:r>
                </w:p>
              </w:tc>
              <w:tc>
                <w:tcPr>
                  <w:tcW w:w="594" w:type="dxa"/>
                  <w:noWrap w:val="0"/>
                  <w:vAlign w:val="center"/>
                </w:tcPr>
                <w:p w14:paraId="0978D67F">
                  <w:pPr>
                    <w:adjustRightInd w:val="0"/>
                    <w:snapToGrid w:val="0"/>
                    <w:spacing w:before="72" w:beforeLines="30" w:after="72" w:afterLines="30"/>
                    <w:jc w:val="center"/>
                    <w:rPr>
                      <w:rFonts w:hint="eastAsia"/>
                      <w:color w:val="auto"/>
                      <w:szCs w:val="21"/>
                      <w:highlight w:val="none"/>
                    </w:rPr>
                  </w:pPr>
                  <w:r>
                    <w:rPr>
                      <w:rFonts w:hint="eastAsia"/>
                      <w:color w:val="auto"/>
                      <w:szCs w:val="21"/>
                      <w:highlight w:val="none"/>
                      <w:lang w:val="en-US" w:eastAsia="zh-CN"/>
                    </w:rPr>
                    <w:t>S</w:t>
                  </w:r>
                  <w:r>
                    <w:rPr>
                      <w:rFonts w:hint="eastAsia"/>
                      <w:color w:val="auto"/>
                      <w:szCs w:val="21"/>
                      <w:highlight w:val="none"/>
                    </w:rPr>
                    <w:t>W</w:t>
                  </w:r>
                </w:p>
              </w:tc>
              <w:tc>
                <w:tcPr>
                  <w:tcW w:w="1136" w:type="dxa"/>
                  <w:noWrap w:val="0"/>
                  <w:vAlign w:val="center"/>
                </w:tcPr>
                <w:p w14:paraId="207BCCE5">
                  <w:pPr>
                    <w:tabs>
                      <w:tab w:val="left" w:pos="3000"/>
                    </w:tabs>
                    <w:adjustRightInd w:val="0"/>
                    <w:snapToGrid w:val="0"/>
                    <w:spacing w:before="72" w:beforeLines="30" w:after="72" w:afterLines="30"/>
                    <w:jc w:val="center"/>
                    <w:rPr>
                      <w:rFonts w:hint="eastAsia"/>
                      <w:color w:val="auto"/>
                      <w:szCs w:val="21"/>
                      <w:highlight w:val="none"/>
                    </w:rPr>
                  </w:pPr>
                  <w:r>
                    <w:rPr>
                      <w:rFonts w:hint="eastAsia"/>
                      <w:color w:val="auto"/>
                      <w:szCs w:val="21"/>
                      <w:highlight w:val="none"/>
                      <w:lang w:val="en-US" w:eastAsia="zh-CN"/>
                    </w:rPr>
                    <w:t>10</w:t>
                  </w:r>
                </w:p>
              </w:tc>
            </w:tr>
            <w:tr w14:paraId="61F5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898" w:type="dxa"/>
                  <w:vMerge w:val="continue"/>
                  <w:noWrap w:val="0"/>
                  <w:vAlign w:val="center"/>
                </w:tcPr>
                <w:p w14:paraId="37F4A21F">
                  <w:pPr>
                    <w:adjustRightInd w:val="0"/>
                    <w:snapToGrid w:val="0"/>
                    <w:jc w:val="center"/>
                    <w:rPr>
                      <w:rFonts w:hint="eastAsia"/>
                      <w:color w:val="auto"/>
                      <w:szCs w:val="21"/>
                      <w:highlight w:val="none"/>
                    </w:rPr>
                  </w:pPr>
                </w:p>
              </w:tc>
              <w:tc>
                <w:tcPr>
                  <w:tcW w:w="1077" w:type="dxa"/>
                  <w:noWrap w:val="0"/>
                  <w:vAlign w:val="center"/>
                </w:tcPr>
                <w:p w14:paraId="1151CECE">
                  <w:pPr>
                    <w:adjustRightInd w:val="0"/>
                    <w:snapToGrid w:val="0"/>
                    <w:spacing w:before="72" w:beforeLines="30" w:after="72" w:afterLines="30"/>
                    <w:jc w:val="center"/>
                    <w:rPr>
                      <w:rFonts w:hint="eastAsia"/>
                      <w:color w:val="auto"/>
                      <w:szCs w:val="21"/>
                      <w:highlight w:val="none"/>
                    </w:rPr>
                  </w:pPr>
                  <w:r>
                    <w:rPr>
                      <w:rFonts w:hint="eastAsia"/>
                      <w:color w:val="auto"/>
                      <w:szCs w:val="21"/>
                      <w:highlight w:val="none"/>
                      <w:lang w:val="en-US" w:eastAsia="zh-CN"/>
                    </w:rPr>
                    <w:t>739425</w:t>
                  </w:r>
                </w:p>
              </w:tc>
              <w:tc>
                <w:tcPr>
                  <w:tcW w:w="1047" w:type="dxa"/>
                  <w:noWrap w:val="0"/>
                  <w:vAlign w:val="center"/>
                </w:tcPr>
                <w:p w14:paraId="2A24B6F4">
                  <w:pPr>
                    <w:adjustRightInd w:val="0"/>
                    <w:snapToGrid w:val="0"/>
                    <w:spacing w:before="72" w:beforeLines="30" w:after="72" w:afterLines="30"/>
                    <w:jc w:val="center"/>
                    <w:rPr>
                      <w:rFonts w:hint="eastAsia"/>
                      <w:color w:val="auto"/>
                      <w:szCs w:val="21"/>
                      <w:highlight w:val="none"/>
                    </w:rPr>
                  </w:pPr>
                  <w:r>
                    <w:rPr>
                      <w:rFonts w:hint="eastAsia"/>
                      <w:color w:val="auto"/>
                      <w:szCs w:val="21"/>
                      <w:highlight w:val="none"/>
                      <w:lang w:val="en-US" w:eastAsia="zh-CN"/>
                    </w:rPr>
                    <w:t>3678495</w:t>
                  </w:r>
                </w:p>
              </w:tc>
              <w:tc>
                <w:tcPr>
                  <w:tcW w:w="1735" w:type="dxa"/>
                  <w:noWrap w:val="0"/>
                  <w:vAlign w:val="center"/>
                </w:tcPr>
                <w:p w14:paraId="455C5E41">
                  <w:pPr>
                    <w:adjustRightInd w:val="0"/>
                    <w:snapToGrid w:val="0"/>
                    <w:spacing w:before="48" w:beforeLines="20" w:after="48" w:afterLines="20"/>
                    <w:jc w:val="center"/>
                    <w:rPr>
                      <w:rFonts w:hint="eastAsia" w:ascii="Times New Roman" w:hAnsi="Times New Roman" w:cs="宋体"/>
                      <w:color w:val="auto"/>
                      <w:highlight w:val="none"/>
                      <w:lang w:bidi="ar"/>
                    </w:rPr>
                  </w:pPr>
                  <w:r>
                    <w:rPr>
                      <w:rFonts w:hint="eastAsia"/>
                      <w:color w:val="auto"/>
                      <w:highlight w:val="none"/>
                      <w:lang w:eastAsia="zh-CN"/>
                    </w:rPr>
                    <w:t>洋县警犬训练中心</w:t>
                  </w:r>
                </w:p>
              </w:tc>
              <w:tc>
                <w:tcPr>
                  <w:tcW w:w="1470" w:type="dxa"/>
                  <w:vMerge w:val="continue"/>
                  <w:noWrap w:val="0"/>
                  <w:vAlign w:val="center"/>
                </w:tcPr>
                <w:p w14:paraId="1BBB36E2">
                  <w:pPr>
                    <w:adjustRightInd w:val="0"/>
                    <w:snapToGrid w:val="0"/>
                    <w:jc w:val="center"/>
                    <w:rPr>
                      <w:color w:val="auto"/>
                      <w:highlight w:val="none"/>
                    </w:rPr>
                  </w:pPr>
                </w:p>
              </w:tc>
              <w:tc>
                <w:tcPr>
                  <w:tcW w:w="594" w:type="dxa"/>
                  <w:noWrap w:val="0"/>
                  <w:vAlign w:val="center"/>
                </w:tcPr>
                <w:p w14:paraId="7FF0088E">
                  <w:pPr>
                    <w:widowControl/>
                    <w:tabs>
                      <w:tab w:val="left" w:pos="323"/>
                    </w:tabs>
                    <w:adjustRightInd w:val="0"/>
                    <w:snapToGrid w:val="0"/>
                    <w:spacing w:before="48" w:beforeLines="20" w:after="48" w:afterLines="20"/>
                    <w:jc w:val="center"/>
                    <w:rPr>
                      <w:rFonts w:hint="eastAsia" w:ascii="Times New Roman" w:hAnsi="Times New Roman" w:cs="Times New Roman"/>
                      <w:color w:val="auto"/>
                      <w:highlight w:val="none"/>
                      <w:lang w:bidi="ar"/>
                    </w:rPr>
                  </w:pPr>
                  <w:r>
                    <w:rPr>
                      <w:rFonts w:hint="eastAsia" w:ascii="Times New Roman" w:hAnsi="Times New Roman" w:cs="Times New Roman"/>
                      <w:color w:val="auto"/>
                      <w:highlight w:val="none"/>
                      <w:lang w:bidi="ar"/>
                    </w:rPr>
                    <w:t>S</w:t>
                  </w:r>
                </w:p>
              </w:tc>
              <w:tc>
                <w:tcPr>
                  <w:tcW w:w="1136" w:type="dxa"/>
                  <w:noWrap w:val="0"/>
                  <w:vAlign w:val="center"/>
                </w:tcPr>
                <w:p w14:paraId="21E30528">
                  <w:pPr>
                    <w:widowControl/>
                    <w:adjustRightInd w:val="0"/>
                    <w:snapToGrid w:val="0"/>
                    <w:spacing w:before="48" w:beforeLines="20" w:after="48" w:afterLines="20"/>
                    <w:jc w:val="center"/>
                    <w:rPr>
                      <w:rFonts w:hint="default" w:ascii="Times New Roman" w:hAnsi="Times New Roman" w:eastAsia="宋体" w:cs="Times New Roman"/>
                      <w:color w:val="auto"/>
                      <w:highlight w:val="none"/>
                      <w:lang w:val="en-US" w:eastAsia="zh-CN" w:bidi="ar"/>
                    </w:rPr>
                  </w:pPr>
                  <w:r>
                    <w:rPr>
                      <w:rFonts w:hint="eastAsia" w:ascii="Times New Roman" w:hAnsi="Times New Roman" w:cs="Times New Roman"/>
                      <w:color w:val="auto"/>
                      <w:highlight w:val="none"/>
                      <w:lang w:val="en-US" w:eastAsia="zh-CN" w:bidi="ar"/>
                    </w:rPr>
                    <w:t>紧邻</w:t>
                  </w:r>
                </w:p>
              </w:tc>
            </w:tr>
          </w:tbl>
          <w:p w14:paraId="3877D586">
            <w:pPr>
              <w:adjustRightInd w:val="0"/>
              <w:snapToGrid w:val="0"/>
              <w:spacing w:line="360" w:lineRule="auto"/>
              <w:ind w:firstLine="482" w:firstLineChars="200"/>
              <w:rPr>
                <w:b/>
                <w:bCs/>
                <w:color w:val="auto"/>
                <w:sz w:val="24"/>
                <w:highlight w:val="none"/>
              </w:rPr>
            </w:pPr>
            <w:r>
              <w:rPr>
                <w:rFonts w:hint="eastAsia"/>
                <w:b/>
                <w:bCs/>
                <w:color w:val="auto"/>
                <w:sz w:val="24"/>
                <w:highlight w:val="none"/>
              </w:rPr>
              <w:t>三、地下水</w:t>
            </w:r>
            <w:r>
              <w:rPr>
                <w:b/>
                <w:bCs/>
                <w:color w:val="auto"/>
                <w:sz w:val="24"/>
                <w:highlight w:val="none"/>
              </w:rPr>
              <w:t>环境</w:t>
            </w:r>
          </w:p>
          <w:p w14:paraId="7E9E5318">
            <w:pPr>
              <w:pStyle w:val="57"/>
              <w:spacing w:line="360" w:lineRule="auto"/>
              <w:ind w:firstLine="48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项目厂界外500m范围内无地下水集中式饮用水水源和热水、矿泉水、温泉等特殊地下水资源。</w:t>
            </w:r>
          </w:p>
          <w:p w14:paraId="77ED83E6">
            <w:pPr>
              <w:adjustRightInd w:val="0"/>
              <w:snapToGrid w:val="0"/>
              <w:spacing w:line="360" w:lineRule="auto"/>
              <w:ind w:firstLine="482" w:firstLineChars="200"/>
              <w:rPr>
                <w:rFonts w:hint="eastAsia"/>
                <w:b/>
                <w:bCs/>
                <w:color w:val="auto"/>
                <w:sz w:val="24"/>
                <w:highlight w:val="none"/>
              </w:rPr>
            </w:pPr>
            <w:r>
              <w:rPr>
                <w:rFonts w:hint="eastAsia"/>
                <w:b/>
                <w:bCs/>
                <w:color w:val="auto"/>
                <w:sz w:val="24"/>
                <w:highlight w:val="none"/>
              </w:rPr>
              <w:t>四、生态环境</w:t>
            </w:r>
          </w:p>
          <w:p w14:paraId="154C11EF">
            <w:pPr>
              <w:adjustRightInd w:val="0"/>
              <w:snapToGrid w:val="0"/>
              <w:spacing w:line="360" w:lineRule="auto"/>
              <w:ind w:firstLine="480" w:firstLineChars="200"/>
              <w:rPr>
                <w:color w:val="auto"/>
                <w:highlight w:val="none"/>
              </w:rPr>
            </w:pPr>
            <w:r>
              <w:rPr>
                <w:rFonts w:hint="eastAsia"/>
                <w:color w:val="auto"/>
                <w:sz w:val="24"/>
                <w:szCs w:val="24"/>
                <w:highlight w:val="none"/>
              </w:rPr>
              <w:t>项目位于</w:t>
            </w:r>
            <w:r>
              <w:rPr>
                <w:rFonts w:hint="default" w:ascii="Times New Roman" w:hAnsi="Times New Roman" w:cs="Times New Roman"/>
                <w:color w:val="auto"/>
                <w:kern w:val="0"/>
                <w:sz w:val="24"/>
                <w:szCs w:val="24"/>
                <w:highlight w:val="none"/>
              </w:rPr>
              <w:t>洋县经济技术开发区</w:t>
            </w:r>
            <w:r>
              <w:rPr>
                <w:rFonts w:hint="eastAsia"/>
                <w:color w:val="auto"/>
                <w:sz w:val="24"/>
                <w:szCs w:val="24"/>
                <w:highlight w:val="none"/>
              </w:rPr>
              <w:t>内</w:t>
            </w:r>
            <w:r>
              <w:rPr>
                <w:rFonts w:hint="eastAsia"/>
                <w:color w:val="auto"/>
                <w:sz w:val="24"/>
                <w:szCs w:val="24"/>
                <w:highlight w:val="none"/>
                <w:lang w:eastAsia="zh-CN"/>
              </w:rPr>
              <w:t>的绿色有机产业园</w:t>
            </w:r>
            <w:r>
              <w:rPr>
                <w:rFonts w:hint="eastAsia"/>
                <w:color w:val="auto"/>
                <w:sz w:val="24"/>
                <w:szCs w:val="24"/>
                <w:highlight w:val="none"/>
              </w:rPr>
              <w:t>，</w:t>
            </w:r>
            <w:r>
              <w:rPr>
                <w:rFonts w:hint="eastAsia"/>
                <w:color w:val="auto"/>
                <w:sz w:val="24"/>
                <w:szCs w:val="24"/>
                <w:highlight w:val="none"/>
                <w:lang w:eastAsia="zh-CN"/>
              </w:rPr>
              <w:t>用地为工业用地，项目厂区</w:t>
            </w:r>
            <w:r>
              <w:rPr>
                <w:rFonts w:hint="eastAsia"/>
                <w:color w:val="auto"/>
                <w:sz w:val="24"/>
                <w:szCs w:val="24"/>
                <w:highlight w:val="none"/>
              </w:rPr>
              <w:t>不涉及生态环境保护目标。</w:t>
            </w:r>
          </w:p>
        </w:tc>
      </w:tr>
      <w:tr w14:paraId="2759A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8" w:hRule="atLeast"/>
          <w:jc w:val="center"/>
        </w:trPr>
        <w:tc>
          <w:tcPr>
            <w:tcW w:w="800" w:type="dxa"/>
            <w:noWrap w:val="0"/>
            <w:tcMar>
              <w:left w:w="28" w:type="dxa"/>
              <w:right w:w="28" w:type="dxa"/>
            </w:tcMar>
            <w:vAlign w:val="center"/>
          </w:tcPr>
          <w:p w14:paraId="2F91C691">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污染</w:t>
            </w:r>
          </w:p>
          <w:p w14:paraId="0745D3C4">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物排</w:t>
            </w:r>
          </w:p>
          <w:p w14:paraId="243764FD">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放控</w:t>
            </w:r>
          </w:p>
          <w:p w14:paraId="0BCF2329">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制标</w:t>
            </w:r>
          </w:p>
          <w:p w14:paraId="62D957B9">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准</w:t>
            </w:r>
          </w:p>
        </w:tc>
        <w:tc>
          <w:tcPr>
            <w:tcW w:w="8190" w:type="dxa"/>
            <w:noWrap w:val="0"/>
            <w:vAlign w:val="center"/>
          </w:tcPr>
          <w:p w14:paraId="24D4B43D">
            <w:pPr>
              <w:numPr>
                <w:ilvl w:val="0"/>
                <w:numId w:val="0"/>
              </w:numPr>
              <w:adjustRightInd w:val="0"/>
              <w:snapToGrid w:val="0"/>
              <w:spacing w:line="336" w:lineRule="auto"/>
              <w:ind w:firstLine="480" w:firstLineChars="200"/>
              <w:rPr>
                <w:color w:val="auto"/>
                <w:sz w:val="24"/>
                <w:highlight w:val="none"/>
              </w:rPr>
            </w:pPr>
            <w:r>
              <w:rPr>
                <w:rFonts w:hint="eastAsia"/>
                <w:color w:val="auto"/>
                <w:sz w:val="24"/>
                <w:highlight w:val="none"/>
                <w:lang w:val="en-US" w:eastAsia="zh-CN"/>
              </w:rPr>
              <w:t>1、</w:t>
            </w:r>
            <w:r>
              <w:rPr>
                <w:color w:val="auto"/>
                <w:sz w:val="24"/>
                <w:highlight w:val="none"/>
              </w:rPr>
              <w:t>运营期</w:t>
            </w:r>
            <w:r>
              <w:rPr>
                <w:rFonts w:hint="eastAsia"/>
                <w:color w:val="auto"/>
                <w:sz w:val="24"/>
                <w:highlight w:val="none"/>
                <w:lang w:eastAsia="zh-CN"/>
              </w:rPr>
              <w:t>油烟废气执行《饮食业油烟排放标准（试行）》(GB18483-2001)；挥发的乙醇、醋酸等以非甲烷总烃计，执行</w:t>
            </w:r>
            <w:r>
              <w:rPr>
                <w:rFonts w:hint="eastAsia"/>
                <w:color w:val="auto"/>
                <w:sz w:val="24"/>
                <w:szCs w:val="24"/>
                <w:highlight w:val="none"/>
              </w:rPr>
              <w:t>《挥发性有机物无组织排放控制标准》（GB 37822-2019）</w:t>
            </w:r>
            <w:r>
              <w:rPr>
                <w:rFonts w:hint="eastAsia"/>
                <w:color w:val="auto"/>
                <w:sz w:val="24"/>
                <w:szCs w:val="24"/>
                <w:highlight w:val="none"/>
                <w:lang w:eastAsia="zh-CN"/>
              </w:rPr>
              <w:t>中</w:t>
            </w:r>
            <w:r>
              <w:rPr>
                <w:color w:val="auto"/>
                <w:sz w:val="24"/>
                <w:szCs w:val="24"/>
                <w:highlight w:val="none"/>
              </w:rPr>
              <w:t>浓度限值</w:t>
            </w:r>
            <w:r>
              <w:rPr>
                <w:rFonts w:hint="eastAsia"/>
                <w:bCs/>
                <w:color w:val="auto"/>
                <w:sz w:val="24"/>
                <w:szCs w:val="24"/>
                <w:highlight w:val="none"/>
              </w:rPr>
              <w:t>要求</w:t>
            </w:r>
            <w:r>
              <w:rPr>
                <w:rFonts w:hint="eastAsia"/>
                <w:bCs/>
                <w:color w:val="auto"/>
                <w:sz w:val="24"/>
                <w:szCs w:val="24"/>
                <w:highlight w:val="none"/>
                <w:lang w:eastAsia="zh-CN"/>
              </w:rPr>
              <w:t>；其他</w:t>
            </w:r>
            <w:r>
              <w:rPr>
                <w:rFonts w:hint="eastAsia"/>
                <w:color w:val="auto"/>
                <w:sz w:val="24"/>
                <w:highlight w:val="none"/>
                <w:lang w:eastAsia="zh-CN"/>
              </w:rPr>
              <w:t>无组织废气</w:t>
            </w:r>
            <w:r>
              <w:rPr>
                <w:color w:val="auto"/>
                <w:sz w:val="24"/>
                <w:highlight w:val="none"/>
              </w:rPr>
              <w:t>执行《大气污染物综合排放标准》(GB 16297-1996)表2中二级标准浓度限值。</w:t>
            </w:r>
          </w:p>
          <w:p w14:paraId="6A0F9CE7">
            <w:pPr>
              <w:adjustRightInd w:val="0"/>
              <w:snapToGrid w:val="0"/>
              <w:spacing w:line="336" w:lineRule="auto"/>
              <w:ind w:firstLine="480" w:firstLineChars="200"/>
              <w:rPr>
                <w:rFonts w:hint="eastAsia" w:ascii="Times New Roman" w:hAnsi="Times New Roman" w:eastAsia="宋体" w:cs="Times New Roman"/>
                <w:color w:val="auto"/>
                <w:sz w:val="24"/>
                <w:highlight w:val="none"/>
                <w:lang w:eastAsia="zh-CN"/>
              </w:rPr>
            </w:pPr>
            <w:r>
              <w:rPr>
                <w:color w:val="auto"/>
                <w:sz w:val="24"/>
                <w:highlight w:val="none"/>
              </w:rPr>
              <w:t>2、废水排放</w:t>
            </w:r>
            <w:r>
              <w:rPr>
                <w:rFonts w:hint="eastAsia"/>
                <w:color w:val="auto"/>
                <w:sz w:val="24"/>
                <w:highlight w:val="none"/>
              </w:rPr>
              <w:t>禁止新建排污口，纯水设备浓水、反冲洗废水、锅炉废水</w:t>
            </w:r>
            <w:r>
              <w:rPr>
                <w:rFonts w:hint="eastAsia"/>
                <w:color w:val="auto"/>
                <w:sz w:val="24"/>
                <w:highlight w:val="none"/>
                <w:lang w:eastAsia="zh-CN"/>
              </w:rPr>
              <w:t>及生活污水直接经污水管网排入洋县污水处理厂处置，执行</w:t>
            </w:r>
            <w:r>
              <w:rPr>
                <w:rFonts w:hint="default" w:ascii="Times New Roman" w:hAnsi="Times New Roman" w:eastAsia="宋体" w:cs="Times New Roman"/>
                <w:color w:val="auto"/>
                <w:sz w:val="24"/>
                <w:highlight w:val="none"/>
              </w:rPr>
              <w:t>《污水排入城镇下水道水质标准》（GB/T 31962-2015）</w:t>
            </w:r>
            <w:r>
              <w:rPr>
                <w:rFonts w:hint="eastAsia" w:ascii="Times New Roman" w:hAnsi="Times New Roman" w:eastAsia="宋体" w:cs="Times New Roman"/>
                <w:color w:val="auto"/>
                <w:sz w:val="24"/>
                <w:highlight w:val="none"/>
                <w:lang w:eastAsia="zh-CN"/>
              </w:rPr>
              <w:t>中相关</w:t>
            </w:r>
            <w:r>
              <w:rPr>
                <w:rFonts w:hint="default" w:ascii="Times New Roman" w:hAnsi="Times New Roman" w:eastAsia="宋体" w:cs="Times New Roman"/>
                <w:color w:val="auto"/>
                <w:sz w:val="24"/>
                <w:highlight w:val="none"/>
              </w:rPr>
              <w:t>标准</w:t>
            </w:r>
            <w:r>
              <w:rPr>
                <w:rFonts w:hint="eastAsia" w:ascii="Times New Roman" w:hAnsi="Times New Roman" w:eastAsia="宋体" w:cs="Times New Roman"/>
                <w:color w:val="auto"/>
                <w:sz w:val="24"/>
                <w:highlight w:val="none"/>
                <w:lang w:eastAsia="zh-CN"/>
              </w:rPr>
              <w:t>及洋县污水处理厂进水水质要求后排入</w:t>
            </w:r>
            <w:r>
              <w:rPr>
                <w:rFonts w:hint="eastAsia" w:ascii="宋体" w:hAnsi="宋体" w:eastAsia="宋体" w:cs="宋体"/>
                <w:b w:val="0"/>
                <w:bCs w:val="0"/>
                <w:color w:val="auto"/>
                <w:sz w:val="24"/>
                <w:szCs w:val="24"/>
                <w:highlight w:val="none"/>
              </w:rPr>
              <w:t>洋县污水处理厂</w:t>
            </w:r>
            <w:r>
              <w:rPr>
                <w:rFonts w:hint="eastAsia" w:ascii="宋体" w:hAnsi="宋体" w:eastAsia="宋体" w:cs="宋体"/>
                <w:b w:val="0"/>
                <w:bCs w:val="0"/>
                <w:color w:val="auto"/>
                <w:sz w:val="24"/>
                <w:szCs w:val="24"/>
                <w:highlight w:val="none"/>
                <w:lang w:eastAsia="zh-CN"/>
              </w:rPr>
              <w:t>，</w:t>
            </w:r>
            <w:r>
              <w:rPr>
                <w:rFonts w:hint="default" w:ascii="Times New Roman" w:hAnsi="Times New Roman" w:eastAsia="宋体" w:cs="Times New Roman"/>
                <w:color w:val="auto"/>
                <w:sz w:val="24"/>
                <w:highlight w:val="none"/>
              </w:rPr>
              <w:t>生产设备清洗废水、鲜果清洗废水</w:t>
            </w:r>
            <w:r>
              <w:rPr>
                <w:rFonts w:hint="eastAsia" w:ascii="Times New Roman" w:hAnsi="Times New Roman" w:eastAsia="宋体" w:cs="Times New Roman"/>
                <w:color w:val="auto"/>
                <w:sz w:val="24"/>
                <w:highlight w:val="none"/>
                <w:lang w:eastAsia="zh-CN"/>
              </w:rPr>
              <w:t>经收集沉淀池处理后经陕西朱鹮酒业有限公司厂区污水处理设施后排入洋县污水处理厂处理，应满足陕西朱鹮酒业有限公司厂区污水处理设施进水水质要求。</w:t>
            </w:r>
          </w:p>
          <w:p w14:paraId="39781C20">
            <w:pPr>
              <w:adjustRightInd w:val="0"/>
              <w:snapToGrid w:val="0"/>
              <w:spacing w:line="336" w:lineRule="auto"/>
              <w:ind w:firstLine="480" w:firstLineChars="200"/>
              <w:rPr>
                <w:color w:val="auto"/>
                <w:sz w:val="24"/>
                <w:highlight w:val="none"/>
              </w:rPr>
            </w:pPr>
            <w:r>
              <w:rPr>
                <w:color w:val="auto"/>
                <w:sz w:val="24"/>
                <w:highlight w:val="none"/>
              </w:rPr>
              <w:t>3、</w:t>
            </w:r>
            <w:r>
              <w:rPr>
                <w:rFonts w:hint="eastAsia"/>
                <w:color w:val="auto"/>
                <w:sz w:val="24"/>
                <w:highlight w:val="none"/>
                <w:lang w:eastAsia="zh-CN"/>
              </w:rPr>
              <w:t>根据洋县城区声环境功能区调整划分方案可知，</w:t>
            </w:r>
            <w:r>
              <w:rPr>
                <w:color w:val="auto"/>
                <w:sz w:val="24"/>
                <w:highlight w:val="none"/>
              </w:rPr>
              <w:t>运营期</w:t>
            </w:r>
            <w:r>
              <w:rPr>
                <w:rFonts w:hint="eastAsia"/>
                <w:color w:val="auto"/>
                <w:sz w:val="24"/>
                <w:highlight w:val="none"/>
                <w:lang w:eastAsia="zh-CN"/>
              </w:rPr>
              <w:t>项目东侧厂界紧邻道路，东侧厂界声功能区划为</w:t>
            </w:r>
            <w:r>
              <w:rPr>
                <w:rFonts w:hint="eastAsia"/>
                <w:color w:val="auto"/>
                <w:sz w:val="24"/>
                <w:highlight w:val="none"/>
                <w:lang w:val="en-US" w:eastAsia="zh-CN"/>
              </w:rPr>
              <w:t>4a类，其余3侧声功能为3类，因此东侧厂界</w:t>
            </w:r>
            <w:r>
              <w:rPr>
                <w:rFonts w:hint="eastAsia"/>
                <w:color w:val="auto"/>
                <w:sz w:val="24"/>
                <w:highlight w:val="none"/>
                <w:lang w:eastAsia="zh-CN"/>
              </w:rPr>
              <w:t>执行《工业企业厂界环境噪声排放标准》（GB 12348-2008）表1中的</w:t>
            </w:r>
            <w:r>
              <w:rPr>
                <w:rFonts w:hint="eastAsia"/>
                <w:color w:val="auto"/>
                <w:sz w:val="24"/>
                <w:highlight w:val="none"/>
                <w:lang w:val="en-US" w:eastAsia="zh-CN"/>
              </w:rPr>
              <w:t>4</w:t>
            </w:r>
            <w:r>
              <w:rPr>
                <w:rFonts w:hint="eastAsia"/>
                <w:color w:val="auto"/>
                <w:sz w:val="24"/>
                <w:highlight w:val="none"/>
                <w:lang w:eastAsia="zh-CN"/>
              </w:rPr>
              <w:t>类区标准；其余</w:t>
            </w:r>
            <w:r>
              <w:rPr>
                <w:rFonts w:hint="eastAsia"/>
                <w:color w:val="auto"/>
                <w:sz w:val="24"/>
                <w:highlight w:val="none"/>
                <w:lang w:val="en-US" w:eastAsia="zh-CN"/>
              </w:rPr>
              <w:t>3侧</w:t>
            </w:r>
            <w:r>
              <w:rPr>
                <w:color w:val="auto"/>
                <w:sz w:val="24"/>
                <w:highlight w:val="none"/>
              </w:rPr>
              <w:t>厂界环境噪声排放执行《工业企业厂界环境噪声排放标准》（GB 12348-2008）表1中的</w:t>
            </w:r>
            <w:r>
              <w:rPr>
                <w:rFonts w:hint="eastAsia"/>
                <w:color w:val="auto"/>
                <w:sz w:val="24"/>
                <w:highlight w:val="none"/>
              </w:rPr>
              <w:t>3</w:t>
            </w:r>
            <w:r>
              <w:rPr>
                <w:color w:val="auto"/>
                <w:sz w:val="24"/>
                <w:highlight w:val="none"/>
              </w:rPr>
              <w:t>类区标准；</w:t>
            </w:r>
          </w:p>
          <w:p w14:paraId="759225CE">
            <w:pPr>
              <w:adjustRightInd w:val="0"/>
              <w:snapToGrid w:val="0"/>
              <w:spacing w:line="336" w:lineRule="auto"/>
              <w:ind w:firstLine="480" w:firstLineChars="200"/>
              <w:rPr>
                <w:color w:val="auto"/>
                <w:sz w:val="24"/>
                <w:highlight w:val="none"/>
              </w:rPr>
            </w:pPr>
            <w:r>
              <w:rPr>
                <w:color w:val="auto"/>
                <w:sz w:val="24"/>
                <w:highlight w:val="none"/>
              </w:rPr>
              <w:t>4、一般工业固体废物的贮存、处置执行《一般工业固体废物贮存和填埋污染控制标准》（GB 18599-2020）中的有关规定；危险废物贮存应符合</w:t>
            </w:r>
            <w:r>
              <w:rPr>
                <w:rFonts w:hint="eastAsia"/>
                <w:color w:val="auto"/>
                <w:sz w:val="24"/>
                <w:highlight w:val="none"/>
              </w:rPr>
              <w:t>《危险废物贮存污染控制标准》（GB 18597—2023）</w:t>
            </w:r>
            <w:r>
              <w:rPr>
                <w:color w:val="auto"/>
                <w:sz w:val="24"/>
                <w:highlight w:val="none"/>
              </w:rPr>
              <w:t>的规定。</w:t>
            </w:r>
          </w:p>
          <w:p w14:paraId="4B809D26">
            <w:pPr>
              <w:jc w:val="center"/>
              <w:rPr>
                <w:b/>
                <w:bCs/>
                <w:color w:val="auto"/>
                <w:szCs w:val="21"/>
                <w:highlight w:val="none"/>
              </w:rPr>
            </w:pPr>
            <w:r>
              <w:rPr>
                <w:b/>
                <w:bCs/>
                <w:color w:val="auto"/>
                <w:szCs w:val="21"/>
                <w:highlight w:val="none"/>
              </w:rPr>
              <w:t>表3-</w:t>
            </w:r>
            <w:r>
              <w:rPr>
                <w:rFonts w:hint="eastAsia"/>
                <w:b/>
                <w:bCs/>
                <w:color w:val="auto"/>
                <w:szCs w:val="21"/>
                <w:highlight w:val="none"/>
                <w:lang w:val="en-US" w:eastAsia="zh-CN"/>
              </w:rPr>
              <w:t>7</w:t>
            </w:r>
            <w:r>
              <w:rPr>
                <w:b/>
                <w:bCs/>
                <w:color w:val="auto"/>
                <w:szCs w:val="21"/>
                <w:highlight w:val="none"/>
              </w:rPr>
              <w:t xml:space="preserve">  项目污染物排放标准限值一览表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333"/>
              <w:gridCol w:w="348"/>
              <w:gridCol w:w="1220"/>
              <w:gridCol w:w="107"/>
              <w:gridCol w:w="569"/>
              <w:gridCol w:w="176"/>
              <w:gridCol w:w="347"/>
              <w:gridCol w:w="81"/>
              <w:gridCol w:w="425"/>
              <w:gridCol w:w="614"/>
              <w:gridCol w:w="311"/>
              <w:gridCol w:w="189"/>
              <w:gridCol w:w="300"/>
              <w:gridCol w:w="1134"/>
            </w:tblGrid>
            <w:tr w14:paraId="17DE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noWrap w:val="0"/>
                  <w:vAlign w:val="center"/>
                </w:tcPr>
                <w:p w14:paraId="649D0260">
                  <w:pPr>
                    <w:widowControl/>
                    <w:adjustRightInd w:val="0"/>
                    <w:snapToGrid w:val="0"/>
                    <w:spacing w:before="72" w:beforeLines="30" w:after="72" w:afterLines="30"/>
                    <w:jc w:val="center"/>
                    <w:rPr>
                      <w:bCs/>
                      <w:color w:val="auto"/>
                      <w:szCs w:val="21"/>
                      <w:highlight w:val="none"/>
                    </w:rPr>
                  </w:pPr>
                  <w:r>
                    <w:rPr>
                      <w:bCs/>
                      <w:color w:val="auto"/>
                      <w:szCs w:val="21"/>
                      <w:highlight w:val="none"/>
                    </w:rPr>
                    <w:t>项目</w:t>
                  </w:r>
                </w:p>
              </w:tc>
              <w:tc>
                <w:tcPr>
                  <w:tcW w:w="1681" w:type="dxa"/>
                  <w:gridSpan w:val="2"/>
                  <w:noWrap w:val="0"/>
                  <w:vAlign w:val="center"/>
                </w:tcPr>
                <w:p w14:paraId="6D09E225">
                  <w:pPr>
                    <w:widowControl/>
                    <w:adjustRightInd w:val="0"/>
                    <w:snapToGrid w:val="0"/>
                    <w:spacing w:before="72" w:beforeLines="30" w:after="72" w:afterLines="30"/>
                    <w:jc w:val="center"/>
                    <w:rPr>
                      <w:bCs/>
                      <w:color w:val="auto"/>
                      <w:szCs w:val="21"/>
                      <w:highlight w:val="none"/>
                    </w:rPr>
                  </w:pPr>
                  <w:r>
                    <w:rPr>
                      <w:bCs/>
                      <w:color w:val="auto"/>
                      <w:highlight w:val="none"/>
                    </w:rPr>
                    <w:t>排放标准</w:t>
                  </w:r>
                </w:p>
              </w:tc>
              <w:tc>
                <w:tcPr>
                  <w:tcW w:w="5473" w:type="dxa"/>
                  <w:gridSpan w:val="12"/>
                  <w:noWrap w:val="0"/>
                  <w:vAlign w:val="center"/>
                </w:tcPr>
                <w:p w14:paraId="3C5E28C3">
                  <w:pPr>
                    <w:widowControl/>
                    <w:adjustRightInd w:val="0"/>
                    <w:snapToGrid w:val="0"/>
                    <w:spacing w:before="72" w:beforeLines="30" w:after="72" w:afterLines="30"/>
                    <w:jc w:val="center"/>
                    <w:rPr>
                      <w:bCs/>
                      <w:color w:val="auto"/>
                      <w:szCs w:val="21"/>
                      <w:highlight w:val="none"/>
                    </w:rPr>
                  </w:pPr>
                  <w:r>
                    <w:rPr>
                      <w:bCs/>
                      <w:color w:val="auto"/>
                      <w:highlight w:val="none"/>
                    </w:rPr>
                    <w:t>排放标准要求</w:t>
                  </w:r>
                </w:p>
              </w:tc>
            </w:tr>
            <w:tr w14:paraId="5B58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9" w:type="dxa"/>
                  <w:gridSpan w:val="15"/>
                  <w:noWrap w:val="0"/>
                  <w:vAlign w:val="center"/>
                </w:tcPr>
                <w:p w14:paraId="04B44820">
                  <w:pPr>
                    <w:widowControl/>
                    <w:adjustRightInd w:val="0"/>
                    <w:snapToGrid w:val="0"/>
                    <w:spacing w:before="72" w:beforeLines="30" w:after="72" w:afterLines="30"/>
                    <w:jc w:val="center"/>
                    <w:rPr>
                      <w:rFonts w:hint="eastAsia"/>
                      <w:b/>
                      <w:bCs/>
                      <w:color w:val="auto"/>
                      <w:szCs w:val="21"/>
                      <w:highlight w:val="none"/>
                    </w:rPr>
                  </w:pPr>
                  <w:r>
                    <w:rPr>
                      <w:rFonts w:hint="eastAsia"/>
                      <w:b/>
                      <w:bCs/>
                      <w:color w:val="auto"/>
                      <w:szCs w:val="21"/>
                      <w:highlight w:val="none"/>
                    </w:rPr>
                    <w:t>施工期</w:t>
                  </w:r>
                </w:p>
              </w:tc>
            </w:tr>
            <w:tr w14:paraId="31A8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5" w:type="dxa"/>
                  <w:vMerge w:val="restart"/>
                  <w:noWrap w:val="0"/>
                  <w:vAlign w:val="center"/>
                </w:tcPr>
                <w:p w14:paraId="25ACE295">
                  <w:pPr>
                    <w:widowControl/>
                    <w:adjustRightInd w:val="0"/>
                    <w:snapToGrid w:val="0"/>
                    <w:spacing w:before="72" w:beforeLines="30" w:after="72" w:afterLines="30"/>
                    <w:jc w:val="center"/>
                    <w:rPr>
                      <w:rFonts w:hint="eastAsia"/>
                      <w:bCs/>
                      <w:color w:val="auto"/>
                      <w:szCs w:val="21"/>
                      <w:highlight w:val="none"/>
                    </w:rPr>
                  </w:pPr>
                  <w:r>
                    <w:rPr>
                      <w:rFonts w:hint="eastAsia"/>
                      <w:bCs/>
                      <w:color w:val="auto"/>
                      <w:szCs w:val="21"/>
                      <w:highlight w:val="none"/>
                    </w:rPr>
                    <w:t>废气</w:t>
                  </w:r>
                </w:p>
              </w:tc>
              <w:tc>
                <w:tcPr>
                  <w:tcW w:w="1333" w:type="dxa"/>
                  <w:vMerge w:val="restart"/>
                  <w:noWrap w:val="0"/>
                  <w:vAlign w:val="center"/>
                </w:tcPr>
                <w:p w14:paraId="4B8D52A3">
                  <w:pPr>
                    <w:adjustRightInd w:val="0"/>
                    <w:snapToGrid w:val="0"/>
                    <w:jc w:val="center"/>
                    <w:rPr>
                      <w:rFonts w:hint="eastAsia"/>
                      <w:b/>
                      <w:bCs/>
                      <w:color w:val="auto"/>
                      <w:szCs w:val="21"/>
                      <w:highlight w:val="none"/>
                    </w:rPr>
                  </w:pPr>
                  <w:r>
                    <w:rPr>
                      <w:color w:val="auto"/>
                      <w:kern w:val="0"/>
                      <w:szCs w:val="21"/>
                      <w:highlight w:val="none"/>
                    </w:rPr>
                    <w:t>施工扬尘</w:t>
                  </w:r>
                </w:p>
              </w:tc>
              <w:tc>
                <w:tcPr>
                  <w:tcW w:w="1675" w:type="dxa"/>
                  <w:gridSpan w:val="3"/>
                  <w:noWrap w:val="0"/>
                  <w:vAlign w:val="center"/>
                </w:tcPr>
                <w:p w14:paraId="3CBD6777">
                  <w:pPr>
                    <w:adjustRightInd w:val="0"/>
                    <w:snapToGrid w:val="0"/>
                    <w:jc w:val="center"/>
                    <w:rPr>
                      <w:rFonts w:hint="eastAsia"/>
                      <w:bCs/>
                      <w:color w:val="auto"/>
                      <w:szCs w:val="21"/>
                      <w:highlight w:val="none"/>
                    </w:rPr>
                  </w:pPr>
                  <w:r>
                    <w:rPr>
                      <w:bCs/>
                      <w:color w:val="auto"/>
                      <w:kern w:val="0"/>
                      <w:szCs w:val="21"/>
                      <w:highlight w:val="none"/>
                    </w:rPr>
                    <w:t>监控点</w:t>
                  </w:r>
                </w:p>
              </w:tc>
              <w:tc>
                <w:tcPr>
                  <w:tcW w:w="1092" w:type="dxa"/>
                  <w:gridSpan w:val="3"/>
                  <w:noWrap w:val="0"/>
                  <w:vAlign w:val="center"/>
                </w:tcPr>
                <w:p w14:paraId="4DD80D3C">
                  <w:pPr>
                    <w:adjustRightInd w:val="0"/>
                    <w:snapToGrid w:val="0"/>
                    <w:jc w:val="center"/>
                    <w:rPr>
                      <w:rFonts w:hint="eastAsia"/>
                      <w:bCs/>
                      <w:color w:val="auto"/>
                      <w:szCs w:val="21"/>
                      <w:highlight w:val="none"/>
                    </w:rPr>
                  </w:pPr>
                  <w:r>
                    <w:rPr>
                      <w:bCs/>
                      <w:color w:val="auto"/>
                      <w:highlight w:val="none"/>
                      <w:lang w:bidi="ar"/>
                    </w:rPr>
                    <w:t>执行标准</w:t>
                  </w:r>
                </w:p>
              </w:tc>
              <w:tc>
                <w:tcPr>
                  <w:tcW w:w="1620" w:type="dxa"/>
                  <w:gridSpan w:val="5"/>
                  <w:noWrap w:val="0"/>
                  <w:vAlign w:val="center"/>
                </w:tcPr>
                <w:p w14:paraId="0D4911A8">
                  <w:pPr>
                    <w:adjustRightInd w:val="0"/>
                    <w:snapToGrid w:val="0"/>
                    <w:jc w:val="center"/>
                    <w:rPr>
                      <w:rFonts w:hint="eastAsia"/>
                      <w:bCs/>
                      <w:color w:val="auto"/>
                      <w:szCs w:val="21"/>
                      <w:highlight w:val="none"/>
                    </w:rPr>
                  </w:pPr>
                  <w:r>
                    <w:rPr>
                      <w:bCs/>
                      <w:color w:val="auto"/>
                      <w:kern w:val="0"/>
                      <w:szCs w:val="21"/>
                      <w:highlight w:val="none"/>
                    </w:rPr>
                    <w:t>施工阶段</w:t>
                  </w:r>
                </w:p>
              </w:tc>
              <w:tc>
                <w:tcPr>
                  <w:tcW w:w="1434" w:type="dxa"/>
                  <w:gridSpan w:val="2"/>
                  <w:noWrap w:val="0"/>
                  <w:vAlign w:val="center"/>
                </w:tcPr>
                <w:p w14:paraId="2C1C357C">
                  <w:pPr>
                    <w:widowControl/>
                    <w:jc w:val="center"/>
                    <w:rPr>
                      <w:rFonts w:hint="eastAsia"/>
                      <w:bCs/>
                      <w:color w:val="auto"/>
                      <w:szCs w:val="21"/>
                      <w:highlight w:val="none"/>
                    </w:rPr>
                  </w:pPr>
                  <w:r>
                    <w:rPr>
                      <w:bCs/>
                      <w:color w:val="auto"/>
                      <w:szCs w:val="21"/>
                      <w:highlight w:val="none"/>
                    </w:rPr>
                    <w:t>小时平均浓度限值</w:t>
                  </w:r>
                </w:p>
              </w:tc>
            </w:tr>
            <w:tr w14:paraId="7EDC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5" w:type="dxa"/>
                  <w:vMerge w:val="continue"/>
                  <w:noWrap w:val="0"/>
                  <w:vAlign w:val="center"/>
                </w:tcPr>
                <w:p w14:paraId="77A5E1F3">
                  <w:pPr>
                    <w:widowControl/>
                    <w:adjustRightInd w:val="0"/>
                    <w:snapToGrid w:val="0"/>
                    <w:spacing w:before="72" w:beforeLines="30" w:after="72" w:afterLines="30"/>
                    <w:jc w:val="center"/>
                    <w:rPr>
                      <w:color w:val="auto"/>
                      <w:highlight w:val="none"/>
                    </w:rPr>
                  </w:pPr>
                </w:p>
              </w:tc>
              <w:tc>
                <w:tcPr>
                  <w:tcW w:w="1333" w:type="dxa"/>
                  <w:vMerge w:val="continue"/>
                  <w:noWrap w:val="0"/>
                  <w:vAlign w:val="center"/>
                </w:tcPr>
                <w:p w14:paraId="1D52A8AD">
                  <w:pPr>
                    <w:adjustRightInd w:val="0"/>
                    <w:snapToGrid w:val="0"/>
                    <w:jc w:val="center"/>
                    <w:rPr>
                      <w:color w:val="auto"/>
                      <w:highlight w:val="none"/>
                    </w:rPr>
                  </w:pPr>
                </w:p>
              </w:tc>
              <w:tc>
                <w:tcPr>
                  <w:tcW w:w="1675" w:type="dxa"/>
                  <w:gridSpan w:val="3"/>
                  <w:vMerge w:val="restart"/>
                  <w:noWrap w:val="0"/>
                  <w:vAlign w:val="center"/>
                </w:tcPr>
                <w:p w14:paraId="7E0615DF">
                  <w:pPr>
                    <w:adjustRightInd w:val="0"/>
                    <w:snapToGrid w:val="0"/>
                    <w:jc w:val="center"/>
                    <w:rPr>
                      <w:color w:val="auto"/>
                      <w:highlight w:val="none"/>
                    </w:rPr>
                  </w:pPr>
                  <w:r>
                    <w:rPr>
                      <w:color w:val="auto"/>
                      <w:kern w:val="0"/>
                      <w:szCs w:val="21"/>
                      <w:highlight w:val="none"/>
                    </w:rPr>
                    <w:t>周界外浓度最高点</w:t>
                  </w:r>
                </w:p>
              </w:tc>
              <w:tc>
                <w:tcPr>
                  <w:tcW w:w="1092" w:type="dxa"/>
                  <w:gridSpan w:val="3"/>
                  <w:vMerge w:val="restart"/>
                  <w:noWrap w:val="0"/>
                  <w:vAlign w:val="center"/>
                </w:tcPr>
                <w:p w14:paraId="7E88EE85">
                  <w:pPr>
                    <w:adjustRightInd w:val="0"/>
                    <w:snapToGrid w:val="0"/>
                    <w:jc w:val="center"/>
                    <w:rPr>
                      <w:color w:val="auto"/>
                      <w:highlight w:val="none"/>
                    </w:rPr>
                  </w:pPr>
                  <w:r>
                    <w:rPr>
                      <w:color w:val="auto"/>
                      <w:highlight w:val="none"/>
                      <w:lang w:bidi="ar"/>
                    </w:rPr>
                    <w:t>《施工场界扬尘排放限值》（DB 61/1078-2017）</w:t>
                  </w:r>
                </w:p>
              </w:tc>
              <w:tc>
                <w:tcPr>
                  <w:tcW w:w="1620" w:type="dxa"/>
                  <w:gridSpan w:val="5"/>
                  <w:noWrap w:val="0"/>
                  <w:vAlign w:val="center"/>
                </w:tcPr>
                <w:p w14:paraId="31665090">
                  <w:pPr>
                    <w:pStyle w:val="25"/>
                    <w:widowControl w:val="0"/>
                    <w:spacing w:before="0" w:beforeAutospacing="0" w:after="0" w:afterAutospacing="0"/>
                    <w:jc w:val="center"/>
                    <w:rPr>
                      <w:color w:val="auto"/>
                      <w:highlight w:val="none"/>
                      <w:lang w:val="en-US" w:eastAsia="zh-CN"/>
                    </w:rPr>
                  </w:pPr>
                  <w:r>
                    <w:rPr>
                      <w:rFonts w:ascii="Times New Roman" w:hAnsi="Times New Roman"/>
                      <w:color w:val="auto"/>
                      <w:kern w:val="2"/>
                      <w:sz w:val="21"/>
                      <w:szCs w:val="21"/>
                      <w:highlight w:val="none"/>
                      <w:lang w:val="en-US" w:eastAsia="zh-CN" w:bidi="ar"/>
                    </w:rPr>
                    <w:t>拆除、土方及地基处理工程</w:t>
                  </w:r>
                </w:p>
              </w:tc>
              <w:tc>
                <w:tcPr>
                  <w:tcW w:w="1434" w:type="dxa"/>
                  <w:gridSpan w:val="2"/>
                  <w:noWrap w:val="0"/>
                  <w:vAlign w:val="center"/>
                </w:tcPr>
                <w:p w14:paraId="6CC0B2F3">
                  <w:pPr>
                    <w:widowControl/>
                    <w:jc w:val="center"/>
                    <w:rPr>
                      <w:rFonts w:hint="eastAsia"/>
                      <w:b/>
                      <w:bCs/>
                      <w:color w:val="auto"/>
                      <w:szCs w:val="21"/>
                      <w:highlight w:val="none"/>
                    </w:rPr>
                  </w:pPr>
                  <w:r>
                    <w:rPr>
                      <w:color w:val="auto"/>
                      <w:szCs w:val="21"/>
                      <w:highlight w:val="none"/>
                    </w:rPr>
                    <w:t>≤0.8</w:t>
                  </w:r>
                  <w:r>
                    <w:rPr>
                      <w:bCs/>
                      <w:color w:val="auto"/>
                      <w:szCs w:val="21"/>
                      <w:highlight w:val="none"/>
                    </w:rPr>
                    <w:t>mg/m</w:t>
                  </w:r>
                  <w:r>
                    <w:rPr>
                      <w:bCs/>
                      <w:color w:val="auto"/>
                      <w:szCs w:val="21"/>
                      <w:highlight w:val="none"/>
                      <w:vertAlign w:val="superscript"/>
                    </w:rPr>
                    <w:t>3</w:t>
                  </w:r>
                </w:p>
              </w:tc>
            </w:tr>
            <w:tr w14:paraId="52BF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05" w:type="dxa"/>
                  <w:vMerge w:val="continue"/>
                  <w:noWrap w:val="0"/>
                  <w:vAlign w:val="center"/>
                </w:tcPr>
                <w:p w14:paraId="4938F35D">
                  <w:pPr>
                    <w:widowControl/>
                    <w:adjustRightInd w:val="0"/>
                    <w:snapToGrid w:val="0"/>
                    <w:spacing w:before="72" w:beforeLines="30" w:after="72" w:afterLines="30"/>
                    <w:jc w:val="center"/>
                    <w:rPr>
                      <w:rFonts w:hint="eastAsia"/>
                      <w:b/>
                      <w:bCs/>
                      <w:color w:val="auto"/>
                      <w:szCs w:val="21"/>
                      <w:highlight w:val="none"/>
                    </w:rPr>
                  </w:pPr>
                </w:p>
              </w:tc>
              <w:tc>
                <w:tcPr>
                  <w:tcW w:w="1333" w:type="dxa"/>
                  <w:vMerge w:val="continue"/>
                  <w:noWrap w:val="0"/>
                  <w:vAlign w:val="center"/>
                </w:tcPr>
                <w:p w14:paraId="0B609A78">
                  <w:pPr>
                    <w:widowControl/>
                    <w:adjustRightInd w:val="0"/>
                    <w:snapToGrid w:val="0"/>
                    <w:spacing w:before="72" w:beforeLines="30" w:after="72" w:afterLines="30"/>
                    <w:jc w:val="center"/>
                    <w:rPr>
                      <w:rFonts w:hint="eastAsia"/>
                      <w:b/>
                      <w:bCs/>
                      <w:color w:val="auto"/>
                      <w:szCs w:val="21"/>
                      <w:highlight w:val="none"/>
                    </w:rPr>
                  </w:pPr>
                </w:p>
              </w:tc>
              <w:tc>
                <w:tcPr>
                  <w:tcW w:w="1675" w:type="dxa"/>
                  <w:gridSpan w:val="3"/>
                  <w:vMerge w:val="continue"/>
                  <w:noWrap w:val="0"/>
                  <w:vAlign w:val="center"/>
                </w:tcPr>
                <w:p w14:paraId="5C97D399">
                  <w:pPr>
                    <w:widowControl/>
                    <w:adjustRightInd w:val="0"/>
                    <w:snapToGrid w:val="0"/>
                    <w:spacing w:before="72" w:beforeLines="30" w:after="72" w:afterLines="30"/>
                    <w:jc w:val="center"/>
                    <w:rPr>
                      <w:rFonts w:hint="eastAsia"/>
                      <w:b/>
                      <w:bCs/>
                      <w:color w:val="auto"/>
                      <w:szCs w:val="21"/>
                      <w:highlight w:val="none"/>
                    </w:rPr>
                  </w:pPr>
                </w:p>
              </w:tc>
              <w:tc>
                <w:tcPr>
                  <w:tcW w:w="1092" w:type="dxa"/>
                  <w:gridSpan w:val="3"/>
                  <w:vMerge w:val="continue"/>
                  <w:noWrap w:val="0"/>
                  <w:vAlign w:val="center"/>
                </w:tcPr>
                <w:p w14:paraId="74A06A0D">
                  <w:pPr>
                    <w:widowControl/>
                    <w:adjustRightInd w:val="0"/>
                    <w:snapToGrid w:val="0"/>
                    <w:spacing w:before="72" w:beforeLines="30" w:after="72" w:afterLines="30"/>
                    <w:jc w:val="center"/>
                    <w:rPr>
                      <w:rFonts w:hint="eastAsia"/>
                      <w:b/>
                      <w:bCs/>
                      <w:color w:val="auto"/>
                      <w:szCs w:val="21"/>
                      <w:highlight w:val="none"/>
                    </w:rPr>
                  </w:pPr>
                </w:p>
              </w:tc>
              <w:tc>
                <w:tcPr>
                  <w:tcW w:w="1620" w:type="dxa"/>
                  <w:gridSpan w:val="5"/>
                  <w:noWrap w:val="0"/>
                  <w:vAlign w:val="center"/>
                </w:tcPr>
                <w:p w14:paraId="3C4DBBEA">
                  <w:pPr>
                    <w:pStyle w:val="25"/>
                    <w:widowControl w:val="0"/>
                    <w:spacing w:before="0" w:beforeAutospacing="0" w:after="0" w:afterAutospacing="0"/>
                    <w:jc w:val="center"/>
                    <w:rPr>
                      <w:rFonts w:hint="eastAsia"/>
                      <w:b/>
                      <w:bCs/>
                      <w:color w:val="auto"/>
                      <w:szCs w:val="21"/>
                      <w:highlight w:val="none"/>
                      <w:lang w:val="en-US" w:eastAsia="zh-CN"/>
                    </w:rPr>
                  </w:pPr>
                  <w:r>
                    <w:rPr>
                      <w:rFonts w:ascii="Times New Roman" w:hAnsi="Times New Roman"/>
                      <w:color w:val="auto"/>
                      <w:kern w:val="2"/>
                      <w:sz w:val="21"/>
                      <w:szCs w:val="21"/>
                      <w:highlight w:val="none"/>
                      <w:lang w:val="en-US" w:eastAsia="zh-CN" w:bidi="ar"/>
                    </w:rPr>
                    <w:t>基础、主体结构及装饰工程</w:t>
                  </w:r>
                </w:p>
              </w:tc>
              <w:tc>
                <w:tcPr>
                  <w:tcW w:w="1434" w:type="dxa"/>
                  <w:gridSpan w:val="2"/>
                  <w:noWrap w:val="0"/>
                  <w:vAlign w:val="center"/>
                </w:tcPr>
                <w:p w14:paraId="3544CF09">
                  <w:pPr>
                    <w:widowControl/>
                    <w:jc w:val="center"/>
                    <w:rPr>
                      <w:rFonts w:hint="eastAsia"/>
                      <w:b/>
                      <w:bCs/>
                      <w:color w:val="auto"/>
                      <w:szCs w:val="21"/>
                      <w:highlight w:val="none"/>
                    </w:rPr>
                  </w:pPr>
                  <w:r>
                    <w:rPr>
                      <w:color w:val="auto"/>
                      <w:szCs w:val="21"/>
                      <w:highlight w:val="none"/>
                    </w:rPr>
                    <w:t>≤0.7</w:t>
                  </w:r>
                  <w:r>
                    <w:rPr>
                      <w:bCs/>
                      <w:color w:val="auto"/>
                      <w:szCs w:val="21"/>
                      <w:highlight w:val="none"/>
                    </w:rPr>
                    <w:t>mg/m</w:t>
                  </w:r>
                  <w:r>
                    <w:rPr>
                      <w:bCs/>
                      <w:color w:val="auto"/>
                      <w:szCs w:val="21"/>
                      <w:highlight w:val="none"/>
                      <w:vertAlign w:val="superscript"/>
                    </w:rPr>
                    <w:t>3</w:t>
                  </w:r>
                </w:p>
              </w:tc>
            </w:tr>
            <w:tr w14:paraId="547B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restart"/>
                  <w:noWrap w:val="0"/>
                  <w:vAlign w:val="center"/>
                </w:tcPr>
                <w:p w14:paraId="51DBA6A4">
                  <w:pPr>
                    <w:widowControl/>
                    <w:adjustRightInd w:val="0"/>
                    <w:snapToGrid w:val="0"/>
                    <w:spacing w:before="72" w:beforeLines="30" w:after="72" w:afterLines="30"/>
                    <w:jc w:val="center"/>
                    <w:rPr>
                      <w:rFonts w:hint="eastAsia"/>
                      <w:bCs/>
                      <w:color w:val="auto"/>
                      <w:szCs w:val="21"/>
                      <w:highlight w:val="none"/>
                    </w:rPr>
                  </w:pPr>
                  <w:r>
                    <w:rPr>
                      <w:rFonts w:hint="eastAsia"/>
                      <w:bCs/>
                      <w:color w:val="auto"/>
                      <w:szCs w:val="21"/>
                      <w:highlight w:val="none"/>
                    </w:rPr>
                    <w:t>噪声</w:t>
                  </w:r>
                </w:p>
              </w:tc>
              <w:tc>
                <w:tcPr>
                  <w:tcW w:w="3577" w:type="dxa"/>
                  <w:gridSpan w:val="5"/>
                  <w:vMerge w:val="restart"/>
                  <w:noWrap w:val="0"/>
                  <w:vAlign w:val="center"/>
                </w:tcPr>
                <w:p w14:paraId="7EB79075">
                  <w:pPr>
                    <w:adjustRightInd w:val="0"/>
                    <w:snapToGrid w:val="0"/>
                    <w:jc w:val="center"/>
                    <w:rPr>
                      <w:color w:val="auto"/>
                      <w:szCs w:val="21"/>
                      <w:highlight w:val="none"/>
                    </w:rPr>
                  </w:pPr>
                  <w:r>
                    <w:rPr>
                      <w:color w:val="auto"/>
                      <w:kern w:val="0"/>
                      <w:szCs w:val="21"/>
                      <w:highlight w:val="none"/>
                    </w:rPr>
                    <w:t>执行标准</w:t>
                  </w:r>
                </w:p>
              </w:tc>
              <w:tc>
                <w:tcPr>
                  <w:tcW w:w="3577" w:type="dxa"/>
                  <w:gridSpan w:val="9"/>
                  <w:noWrap w:val="0"/>
                  <w:vAlign w:val="center"/>
                </w:tcPr>
                <w:p w14:paraId="1CFE349C">
                  <w:pPr>
                    <w:adjustRightInd w:val="0"/>
                    <w:snapToGrid w:val="0"/>
                    <w:jc w:val="center"/>
                    <w:rPr>
                      <w:color w:val="auto"/>
                      <w:szCs w:val="21"/>
                      <w:highlight w:val="none"/>
                    </w:rPr>
                  </w:pPr>
                  <w:r>
                    <w:rPr>
                      <w:color w:val="auto"/>
                      <w:kern w:val="0"/>
                      <w:szCs w:val="21"/>
                      <w:highlight w:val="none"/>
                    </w:rPr>
                    <w:t>标准值</w:t>
                  </w:r>
                </w:p>
              </w:tc>
            </w:tr>
            <w:tr w14:paraId="52E0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16DBA66E">
                  <w:pPr>
                    <w:widowControl/>
                    <w:adjustRightInd w:val="0"/>
                    <w:snapToGrid w:val="0"/>
                    <w:spacing w:before="72" w:beforeLines="30" w:after="72" w:afterLines="30"/>
                    <w:jc w:val="center"/>
                    <w:rPr>
                      <w:rFonts w:hint="eastAsia"/>
                      <w:bCs/>
                      <w:color w:val="auto"/>
                      <w:szCs w:val="21"/>
                      <w:highlight w:val="none"/>
                    </w:rPr>
                  </w:pPr>
                </w:p>
              </w:tc>
              <w:tc>
                <w:tcPr>
                  <w:tcW w:w="3577" w:type="dxa"/>
                  <w:gridSpan w:val="5"/>
                  <w:vMerge w:val="continue"/>
                  <w:noWrap w:val="0"/>
                  <w:vAlign w:val="center"/>
                </w:tcPr>
                <w:p w14:paraId="1E8860E9">
                  <w:pPr>
                    <w:adjustRightInd w:val="0"/>
                    <w:snapToGrid w:val="0"/>
                    <w:jc w:val="center"/>
                    <w:rPr>
                      <w:color w:val="auto"/>
                      <w:szCs w:val="21"/>
                      <w:highlight w:val="none"/>
                    </w:rPr>
                  </w:pPr>
                </w:p>
              </w:tc>
              <w:tc>
                <w:tcPr>
                  <w:tcW w:w="1643" w:type="dxa"/>
                  <w:gridSpan w:val="5"/>
                  <w:noWrap w:val="0"/>
                  <w:vAlign w:val="center"/>
                </w:tcPr>
                <w:p w14:paraId="2159E2E7">
                  <w:pPr>
                    <w:adjustRightInd w:val="0"/>
                    <w:snapToGrid w:val="0"/>
                    <w:jc w:val="center"/>
                    <w:rPr>
                      <w:color w:val="auto"/>
                      <w:szCs w:val="21"/>
                      <w:highlight w:val="none"/>
                    </w:rPr>
                  </w:pPr>
                  <w:r>
                    <w:rPr>
                      <w:color w:val="auto"/>
                      <w:kern w:val="0"/>
                      <w:szCs w:val="21"/>
                      <w:highlight w:val="none"/>
                    </w:rPr>
                    <w:t>昼间</w:t>
                  </w:r>
                </w:p>
              </w:tc>
              <w:tc>
                <w:tcPr>
                  <w:tcW w:w="1934" w:type="dxa"/>
                  <w:gridSpan w:val="4"/>
                  <w:noWrap w:val="0"/>
                  <w:vAlign w:val="center"/>
                </w:tcPr>
                <w:p w14:paraId="1373B63D">
                  <w:pPr>
                    <w:adjustRightInd w:val="0"/>
                    <w:snapToGrid w:val="0"/>
                    <w:jc w:val="center"/>
                    <w:rPr>
                      <w:color w:val="auto"/>
                      <w:highlight w:val="none"/>
                    </w:rPr>
                  </w:pPr>
                  <w:r>
                    <w:rPr>
                      <w:color w:val="auto"/>
                      <w:kern w:val="0"/>
                      <w:szCs w:val="21"/>
                      <w:highlight w:val="none"/>
                    </w:rPr>
                    <w:t>夜间</w:t>
                  </w:r>
                </w:p>
              </w:tc>
            </w:tr>
            <w:tr w14:paraId="2BE3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428FEC97">
                  <w:pPr>
                    <w:widowControl/>
                    <w:adjustRightInd w:val="0"/>
                    <w:snapToGrid w:val="0"/>
                    <w:spacing w:before="72" w:beforeLines="30" w:after="72" w:afterLines="30"/>
                    <w:jc w:val="center"/>
                    <w:rPr>
                      <w:rFonts w:hint="eastAsia"/>
                      <w:bCs/>
                      <w:color w:val="auto"/>
                      <w:szCs w:val="21"/>
                      <w:highlight w:val="none"/>
                    </w:rPr>
                  </w:pPr>
                </w:p>
              </w:tc>
              <w:tc>
                <w:tcPr>
                  <w:tcW w:w="3577" w:type="dxa"/>
                  <w:gridSpan w:val="5"/>
                  <w:noWrap w:val="0"/>
                  <w:vAlign w:val="center"/>
                </w:tcPr>
                <w:p w14:paraId="493DE9F9">
                  <w:pPr>
                    <w:adjustRightInd w:val="0"/>
                    <w:snapToGrid w:val="0"/>
                    <w:jc w:val="center"/>
                    <w:rPr>
                      <w:color w:val="auto"/>
                      <w:szCs w:val="21"/>
                      <w:highlight w:val="none"/>
                    </w:rPr>
                  </w:pPr>
                  <w:r>
                    <w:rPr>
                      <w:rFonts w:hint="eastAsia"/>
                      <w:color w:val="auto"/>
                      <w:szCs w:val="21"/>
                      <w:highlight w:val="none"/>
                      <w:lang w:eastAsia="zh-CN"/>
                    </w:rPr>
                    <w:t>《建筑施工噪声排放标准》（GB12523-2025）</w:t>
                  </w:r>
                </w:p>
              </w:tc>
              <w:tc>
                <w:tcPr>
                  <w:tcW w:w="1643" w:type="dxa"/>
                  <w:gridSpan w:val="5"/>
                  <w:noWrap w:val="0"/>
                  <w:vAlign w:val="center"/>
                </w:tcPr>
                <w:p w14:paraId="6EAB8034">
                  <w:pPr>
                    <w:adjustRightInd w:val="0"/>
                    <w:snapToGrid w:val="0"/>
                    <w:jc w:val="center"/>
                    <w:rPr>
                      <w:color w:val="auto"/>
                      <w:szCs w:val="21"/>
                      <w:highlight w:val="none"/>
                    </w:rPr>
                  </w:pPr>
                  <w:r>
                    <w:rPr>
                      <w:color w:val="auto"/>
                      <w:kern w:val="0"/>
                      <w:szCs w:val="21"/>
                      <w:highlight w:val="none"/>
                    </w:rPr>
                    <w:t>70dB（A）</w:t>
                  </w:r>
                </w:p>
              </w:tc>
              <w:tc>
                <w:tcPr>
                  <w:tcW w:w="1934" w:type="dxa"/>
                  <w:gridSpan w:val="4"/>
                  <w:noWrap w:val="0"/>
                  <w:vAlign w:val="center"/>
                </w:tcPr>
                <w:p w14:paraId="190F4AB3">
                  <w:pPr>
                    <w:adjustRightInd w:val="0"/>
                    <w:snapToGrid w:val="0"/>
                    <w:jc w:val="center"/>
                    <w:rPr>
                      <w:color w:val="auto"/>
                      <w:kern w:val="0"/>
                      <w:szCs w:val="21"/>
                      <w:highlight w:val="none"/>
                    </w:rPr>
                  </w:pPr>
                  <w:r>
                    <w:rPr>
                      <w:color w:val="auto"/>
                      <w:kern w:val="0"/>
                      <w:szCs w:val="21"/>
                      <w:highlight w:val="none"/>
                    </w:rPr>
                    <w:t>55dB（A）</w:t>
                  </w:r>
                </w:p>
              </w:tc>
            </w:tr>
            <w:tr w14:paraId="50D5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9" w:type="dxa"/>
                  <w:gridSpan w:val="15"/>
                  <w:noWrap w:val="0"/>
                  <w:vAlign w:val="center"/>
                </w:tcPr>
                <w:p w14:paraId="6E88C740">
                  <w:pPr>
                    <w:widowControl/>
                    <w:adjustRightInd w:val="0"/>
                    <w:snapToGrid w:val="0"/>
                    <w:spacing w:before="72" w:beforeLines="30" w:after="72" w:afterLines="30"/>
                    <w:jc w:val="center"/>
                    <w:rPr>
                      <w:b/>
                      <w:bCs/>
                      <w:color w:val="auto"/>
                      <w:szCs w:val="21"/>
                      <w:highlight w:val="none"/>
                    </w:rPr>
                  </w:pPr>
                  <w:r>
                    <w:rPr>
                      <w:b/>
                      <w:bCs/>
                      <w:color w:val="auto"/>
                      <w:szCs w:val="21"/>
                      <w:highlight w:val="none"/>
                    </w:rPr>
                    <w:t>运营期</w:t>
                  </w:r>
                </w:p>
              </w:tc>
            </w:tr>
            <w:tr w14:paraId="06B0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5" w:type="dxa"/>
                  <w:vMerge w:val="restart"/>
                  <w:noWrap w:val="0"/>
                  <w:vAlign w:val="center"/>
                </w:tcPr>
                <w:p w14:paraId="18A53E3D">
                  <w:pPr>
                    <w:jc w:val="center"/>
                    <w:rPr>
                      <w:bCs/>
                      <w:color w:val="auto"/>
                      <w:szCs w:val="21"/>
                      <w:highlight w:val="none"/>
                    </w:rPr>
                  </w:pPr>
                  <w:r>
                    <w:rPr>
                      <w:bCs/>
                      <w:color w:val="auto"/>
                      <w:szCs w:val="21"/>
                      <w:highlight w:val="none"/>
                    </w:rPr>
                    <w:t>废气</w:t>
                  </w:r>
                </w:p>
              </w:tc>
              <w:tc>
                <w:tcPr>
                  <w:tcW w:w="1681" w:type="dxa"/>
                  <w:gridSpan w:val="2"/>
                  <w:vMerge w:val="restart"/>
                  <w:noWrap w:val="0"/>
                  <w:vAlign w:val="center"/>
                </w:tcPr>
                <w:p w14:paraId="4709648D">
                  <w:pPr>
                    <w:pStyle w:val="6"/>
                    <w:ind w:left="148" w:leftChars="23" w:hanging="100" w:firstLineChars="0"/>
                    <w:jc w:val="center"/>
                    <w:rPr>
                      <w:color w:val="auto"/>
                      <w:szCs w:val="21"/>
                      <w:highlight w:val="none"/>
                    </w:rPr>
                  </w:pPr>
                  <w:r>
                    <w:rPr>
                      <w:color w:val="auto"/>
                      <w:szCs w:val="21"/>
                      <w:highlight w:val="none"/>
                    </w:rPr>
                    <w:t>《大气污染物综合排放标准》(GB 16297-1996)</w:t>
                  </w:r>
                </w:p>
              </w:tc>
              <w:tc>
                <w:tcPr>
                  <w:tcW w:w="1220" w:type="dxa"/>
                  <w:noWrap w:val="0"/>
                  <w:vAlign w:val="center"/>
                </w:tcPr>
                <w:p w14:paraId="1FE80F8A">
                  <w:pPr>
                    <w:jc w:val="center"/>
                    <w:rPr>
                      <w:color w:val="auto"/>
                      <w:szCs w:val="21"/>
                      <w:highlight w:val="none"/>
                    </w:rPr>
                  </w:pPr>
                  <w:r>
                    <w:rPr>
                      <w:color w:val="auto"/>
                      <w:szCs w:val="21"/>
                      <w:highlight w:val="none"/>
                    </w:rPr>
                    <w:t>污染物名称</w:t>
                  </w:r>
                </w:p>
              </w:tc>
              <w:tc>
                <w:tcPr>
                  <w:tcW w:w="852" w:type="dxa"/>
                  <w:gridSpan w:val="3"/>
                  <w:noWrap w:val="0"/>
                  <w:vAlign w:val="center"/>
                </w:tcPr>
                <w:p w14:paraId="2BD8A312">
                  <w:pPr>
                    <w:jc w:val="center"/>
                    <w:rPr>
                      <w:color w:val="auto"/>
                      <w:szCs w:val="21"/>
                      <w:highlight w:val="none"/>
                    </w:rPr>
                  </w:pPr>
                  <w:r>
                    <w:rPr>
                      <w:color w:val="auto"/>
                      <w:szCs w:val="21"/>
                      <w:highlight w:val="none"/>
                    </w:rPr>
                    <w:t>最高允许排放浓度mg/m</w:t>
                  </w:r>
                  <w:r>
                    <w:rPr>
                      <w:color w:val="auto"/>
                      <w:szCs w:val="21"/>
                      <w:highlight w:val="none"/>
                      <w:vertAlign w:val="superscript"/>
                    </w:rPr>
                    <w:t>3</w:t>
                  </w:r>
                </w:p>
              </w:tc>
              <w:tc>
                <w:tcPr>
                  <w:tcW w:w="853" w:type="dxa"/>
                  <w:gridSpan w:val="3"/>
                  <w:noWrap w:val="0"/>
                  <w:vAlign w:val="center"/>
                </w:tcPr>
                <w:p w14:paraId="269E0237">
                  <w:pPr>
                    <w:jc w:val="center"/>
                    <w:rPr>
                      <w:color w:val="auto"/>
                      <w:szCs w:val="21"/>
                      <w:highlight w:val="none"/>
                    </w:rPr>
                  </w:pPr>
                  <w:r>
                    <w:rPr>
                      <w:rFonts w:hint="eastAsia"/>
                      <w:color w:val="auto"/>
                      <w:szCs w:val="21"/>
                      <w:highlight w:val="none"/>
                    </w:rPr>
                    <w:t>污染物排放监控位置</w:t>
                  </w:r>
                </w:p>
              </w:tc>
              <w:tc>
                <w:tcPr>
                  <w:tcW w:w="1414" w:type="dxa"/>
                  <w:gridSpan w:val="4"/>
                  <w:noWrap w:val="0"/>
                  <w:vAlign w:val="center"/>
                </w:tcPr>
                <w:p w14:paraId="2D2E9F9B">
                  <w:pPr>
                    <w:spacing w:before="72" w:beforeLines="30" w:after="72" w:afterLines="30"/>
                    <w:jc w:val="center"/>
                    <w:rPr>
                      <w:color w:val="auto"/>
                      <w:szCs w:val="21"/>
                      <w:highlight w:val="none"/>
                    </w:rPr>
                  </w:pPr>
                  <w:r>
                    <w:rPr>
                      <w:rFonts w:hint="eastAsia"/>
                      <w:color w:val="auto"/>
                      <w:highlight w:val="none"/>
                    </w:rPr>
                    <w:t>最高允许排放速率/kg/h</w:t>
                  </w:r>
                </w:p>
              </w:tc>
              <w:tc>
                <w:tcPr>
                  <w:tcW w:w="1134" w:type="dxa"/>
                  <w:noWrap w:val="0"/>
                  <w:vAlign w:val="center"/>
                </w:tcPr>
                <w:p w14:paraId="01A9A619">
                  <w:pPr>
                    <w:pStyle w:val="25"/>
                    <w:widowControl w:val="0"/>
                    <w:snapToGrid w:val="0"/>
                    <w:spacing w:before="72" w:beforeLines="30" w:beforeAutospacing="0" w:after="72" w:afterLines="30" w:afterAutospacing="0"/>
                    <w:jc w:val="center"/>
                    <w:rPr>
                      <w:rFonts w:ascii="Times New Roman" w:hAnsi="Times New Roman"/>
                      <w:color w:val="auto"/>
                      <w:sz w:val="21"/>
                      <w:szCs w:val="21"/>
                      <w:highlight w:val="none"/>
                      <w:lang w:val="en-US" w:eastAsia="zh-CN"/>
                    </w:rPr>
                  </w:pPr>
                  <w:r>
                    <w:rPr>
                      <w:rFonts w:hint="eastAsia" w:ascii="Times New Roman" w:hAnsi="Times New Roman"/>
                      <w:bCs/>
                      <w:color w:val="auto"/>
                      <w:kern w:val="2"/>
                      <w:sz w:val="21"/>
                      <w:szCs w:val="21"/>
                      <w:highlight w:val="none"/>
                      <w:lang w:val="en-US" w:eastAsia="zh-CN" w:bidi="ar"/>
                    </w:rPr>
                    <w:t>无组织排放浓度限值</w:t>
                  </w:r>
                  <w:r>
                    <w:rPr>
                      <w:rFonts w:hint="eastAsia"/>
                      <w:color w:val="auto"/>
                      <w:sz w:val="21"/>
                      <w:szCs w:val="21"/>
                      <w:highlight w:val="none"/>
                      <w:lang w:val="en-US" w:eastAsia="zh-CN"/>
                    </w:rPr>
                    <w:t>（</w:t>
                  </w:r>
                  <w:r>
                    <w:rPr>
                      <w:rFonts w:ascii="Times New Roman" w:hAnsi="Times New Roman"/>
                      <w:color w:val="auto"/>
                      <w:sz w:val="21"/>
                      <w:szCs w:val="21"/>
                      <w:highlight w:val="none"/>
                      <w:lang w:val="en-US" w:eastAsia="zh-CN"/>
                    </w:rPr>
                    <w:t>mg/m</w:t>
                  </w:r>
                  <w:r>
                    <w:rPr>
                      <w:rFonts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vertAlign w:val="baseline"/>
                      <w:lang w:val="en-US" w:eastAsia="zh-CN"/>
                    </w:rPr>
                    <w:t>）</w:t>
                  </w:r>
                </w:p>
              </w:tc>
            </w:tr>
            <w:tr w14:paraId="4EE7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7419E19A">
                  <w:pPr>
                    <w:jc w:val="center"/>
                    <w:rPr>
                      <w:bCs/>
                      <w:color w:val="auto"/>
                      <w:szCs w:val="21"/>
                      <w:highlight w:val="none"/>
                    </w:rPr>
                  </w:pPr>
                </w:p>
              </w:tc>
              <w:tc>
                <w:tcPr>
                  <w:tcW w:w="1681" w:type="dxa"/>
                  <w:gridSpan w:val="2"/>
                  <w:vMerge w:val="continue"/>
                  <w:noWrap w:val="0"/>
                  <w:vAlign w:val="center"/>
                </w:tcPr>
                <w:p w14:paraId="55EF4031">
                  <w:pPr>
                    <w:widowControl/>
                    <w:adjustRightInd w:val="0"/>
                    <w:snapToGrid w:val="0"/>
                    <w:spacing w:before="72" w:beforeLines="30" w:after="72" w:afterLines="30"/>
                    <w:jc w:val="center"/>
                    <w:rPr>
                      <w:b/>
                      <w:bCs/>
                      <w:color w:val="auto"/>
                      <w:szCs w:val="21"/>
                      <w:highlight w:val="none"/>
                    </w:rPr>
                  </w:pPr>
                </w:p>
              </w:tc>
              <w:tc>
                <w:tcPr>
                  <w:tcW w:w="1220" w:type="dxa"/>
                  <w:noWrap w:val="0"/>
                  <w:vAlign w:val="center"/>
                </w:tcPr>
                <w:p w14:paraId="2C81E718">
                  <w:pPr>
                    <w:pStyle w:val="60"/>
                    <w:widowControl/>
                    <w:adjustRightInd w:val="0"/>
                    <w:spacing w:before="72" w:beforeLines="30" w:after="72" w:afterLines="30" w:line="240" w:lineRule="auto"/>
                    <w:ind w:firstLine="0" w:firstLineChars="0"/>
                    <w:rPr>
                      <w:rFonts w:hint="eastAsia" w:ascii="Times New Roman"/>
                      <w:b w:val="0"/>
                      <w:bCs/>
                      <w:color w:val="auto"/>
                      <w:sz w:val="21"/>
                      <w:szCs w:val="21"/>
                      <w:highlight w:val="none"/>
                    </w:rPr>
                  </w:pPr>
                  <w:r>
                    <w:rPr>
                      <w:rFonts w:hint="eastAsia" w:ascii="Times New Roman"/>
                      <w:b w:val="0"/>
                      <w:bCs/>
                      <w:color w:val="auto"/>
                      <w:sz w:val="21"/>
                      <w:szCs w:val="21"/>
                      <w:highlight w:val="none"/>
                    </w:rPr>
                    <w:t>颗粒物</w:t>
                  </w:r>
                </w:p>
              </w:tc>
              <w:tc>
                <w:tcPr>
                  <w:tcW w:w="852" w:type="dxa"/>
                  <w:gridSpan w:val="3"/>
                  <w:noWrap w:val="0"/>
                  <w:vAlign w:val="center"/>
                </w:tcPr>
                <w:p w14:paraId="5FF269E4">
                  <w:pPr>
                    <w:widowControl/>
                    <w:adjustRightInd w:val="0"/>
                    <w:snapToGrid w:val="0"/>
                    <w:spacing w:before="72" w:beforeLines="30" w:after="72" w:afterLines="30"/>
                    <w:jc w:val="center"/>
                    <w:rPr>
                      <w:color w:val="auto"/>
                      <w:szCs w:val="21"/>
                      <w:highlight w:val="none"/>
                    </w:rPr>
                  </w:pPr>
                  <w:r>
                    <w:rPr>
                      <w:rFonts w:hint="eastAsia"/>
                      <w:color w:val="auto"/>
                      <w:szCs w:val="21"/>
                      <w:highlight w:val="none"/>
                    </w:rPr>
                    <w:t>120</w:t>
                  </w:r>
                </w:p>
              </w:tc>
              <w:tc>
                <w:tcPr>
                  <w:tcW w:w="853" w:type="dxa"/>
                  <w:gridSpan w:val="3"/>
                  <w:noWrap w:val="0"/>
                  <w:vAlign w:val="center"/>
                </w:tcPr>
                <w:p w14:paraId="7627B0B7">
                  <w:pPr>
                    <w:widowControl/>
                    <w:adjustRightInd w:val="0"/>
                    <w:snapToGrid w:val="0"/>
                    <w:spacing w:before="72" w:beforeLines="30" w:after="72" w:afterLines="30"/>
                    <w:jc w:val="center"/>
                    <w:rPr>
                      <w:rFonts w:hint="eastAsia" w:eastAsia="宋体"/>
                      <w:color w:val="auto"/>
                      <w:szCs w:val="21"/>
                      <w:highlight w:val="none"/>
                      <w:lang w:eastAsia="zh-CN"/>
                    </w:rPr>
                  </w:pPr>
                  <w:r>
                    <w:rPr>
                      <w:rFonts w:hint="eastAsia"/>
                      <w:color w:val="auto"/>
                      <w:szCs w:val="21"/>
                      <w:highlight w:val="none"/>
                      <w:lang w:eastAsia="zh-CN"/>
                    </w:rPr>
                    <w:t>排气筒</w:t>
                  </w:r>
                </w:p>
              </w:tc>
              <w:tc>
                <w:tcPr>
                  <w:tcW w:w="1414" w:type="dxa"/>
                  <w:gridSpan w:val="4"/>
                  <w:noWrap w:val="0"/>
                  <w:vAlign w:val="center"/>
                </w:tcPr>
                <w:p w14:paraId="394CDD12">
                  <w:pPr>
                    <w:widowControl/>
                    <w:adjustRightInd w:val="0"/>
                    <w:snapToGrid w:val="0"/>
                    <w:spacing w:before="72" w:beforeLines="30" w:after="72" w:afterLines="30"/>
                    <w:jc w:val="center"/>
                    <w:rPr>
                      <w:color w:val="auto"/>
                      <w:szCs w:val="21"/>
                      <w:highlight w:val="none"/>
                    </w:rPr>
                  </w:pPr>
                  <w:r>
                    <w:rPr>
                      <w:rFonts w:hint="eastAsia"/>
                      <w:color w:val="auto"/>
                      <w:szCs w:val="21"/>
                      <w:highlight w:val="none"/>
                    </w:rPr>
                    <w:t>3.5</w:t>
                  </w:r>
                </w:p>
              </w:tc>
              <w:tc>
                <w:tcPr>
                  <w:tcW w:w="1134" w:type="dxa"/>
                  <w:noWrap w:val="0"/>
                  <w:vAlign w:val="center"/>
                </w:tcPr>
                <w:p w14:paraId="4A306464">
                  <w:pPr>
                    <w:pStyle w:val="25"/>
                    <w:adjustRightInd w:val="0"/>
                    <w:snapToGrid w:val="0"/>
                    <w:spacing w:before="72" w:beforeLines="30" w:beforeAutospacing="0" w:after="72" w:afterLines="30" w:afterAutospacing="0"/>
                    <w:jc w:val="center"/>
                    <w:rPr>
                      <w:rFonts w:ascii="Times New Roman" w:hAnsi="Times New Roman"/>
                      <w:bCs/>
                      <w:color w:val="auto"/>
                      <w:kern w:val="2"/>
                      <w:sz w:val="21"/>
                      <w:szCs w:val="21"/>
                      <w:highlight w:val="none"/>
                      <w:lang w:val="en-US" w:eastAsia="zh-CN" w:bidi="ar"/>
                    </w:rPr>
                  </w:pPr>
                  <w:r>
                    <w:rPr>
                      <w:rFonts w:hint="eastAsia" w:ascii="Times New Roman" w:hAnsi="Times New Roman"/>
                      <w:bCs/>
                      <w:color w:val="auto"/>
                      <w:kern w:val="2"/>
                      <w:sz w:val="21"/>
                      <w:szCs w:val="21"/>
                      <w:highlight w:val="none"/>
                      <w:lang w:val="en-US" w:eastAsia="zh-CN" w:bidi="ar"/>
                    </w:rPr>
                    <w:t>1</w:t>
                  </w:r>
                  <w:r>
                    <w:rPr>
                      <w:rFonts w:ascii="Times New Roman" w:hAnsi="Times New Roman"/>
                      <w:bCs/>
                      <w:color w:val="auto"/>
                      <w:kern w:val="2"/>
                      <w:sz w:val="21"/>
                      <w:szCs w:val="21"/>
                      <w:highlight w:val="none"/>
                      <w:lang w:val="en-US" w:eastAsia="zh-CN" w:bidi="ar"/>
                    </w:rPr>
                    <w:t>.0</w:t>
                  </w:r>
                </w:p>
              </w:tc>
            </w:tr>
            <w:tr w14:paraId="4D4F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033ACAD5">
                  <w:pPr>
                    <w:jc w:val="center"/>
                    <w:rPr>
                      <w:bCs/>
                      <w:color w:val="auto"/>
                      <w:szCs w:val="21"/>
                      <w:highlight w:val="none"/>
                    </w:rPr>
                  </w:pPr>
                </w:p>
              </w:tc>
              <w:tc>
                <w:tcPr>
                  <w:tcW w:w="1681" w:type="dxa"/>
                  <w:gridSpan w:val="2"/>
                  <w:vMerge w:val="restart"/>
                  <w:noWrap w:val="0"/>
                  <w:vAlign w:val="center"/>
                </w:tcPr>
                <w:p w14:paraId="3990E6A9">
                  <w:pPr>
                    <w:widowControl/>
                    <w:adjustRightInd w:val="0"/>
                    <w:snapToGrid w:val="0"/>
                    <w:spacing w:before="72" w:beforeLines="30" w:after="72" w:afterLines="30"/>
                    <w:jc w:val="center"/>
                    <w:rPr>
                      <w:b/>
                      <w:bCs/>
                      <w:color w:val="auto"/>
                      <w:szCs w:val="21"/>
                      <w:highlight w:val="none"/>
                    </w:rPr>
                  </w:pPr>
                  <w:r>
                    <w:rPr>
                      <w:rFonts w:hint="eastAsia"/>
                      <w:b w:val="0"/>
                      <w:bCs w:val="0"/>
                      <w:color w:val="auto"/>
                      <w:szCs w:val="21"/>
                      <w:highlight w:val="none"/>
                    </w:rPr>
                    <w:t>《挥发性有机物无组织排放控制标准》（GB 37822-2019）</w:t>
                  </w:r>
                </w:p>
              </w:tc>
              <w:tc>
                <w:tcPr>
                  <w:tcW w:w="1220" w:type="dxa"/>
                  <w:noWrap w:val="0"/>
                  <w:vAlign w:val="center"/>
                </w:tcPr>
                <w:p w14:paraId="42C7B910">
                  <w:pPr>
                    <w:widowControl/>
                    <w:adjustRightInd w:val="0"/>
                    <w:snapToGrid w:val="0"/>
                    <w:spacing w:before="72" w:beforeLines="30" w:after="72" w:afterLines="30"/>
                    <w:jc w:val="center"/>
                    <w:rPr>
                      <w:rFonts w:hint="eastAsia"/>
                      <w:color w:val="auto"/>
                      <w:szCs w:val="21"/>
                      <w:highlight w:val="none"/>
                    </w:rPr>
                  </w:pPr>
                  <w:r>
                    <w:rPr>
                      <w:color w:val="auto"/>
                      <w:szCs w:val="21"/>
                      <w:highlight w:val="none"/>
                    </w:rPr>
                    <w:t>污染物名称</w:t>
                  </w:r>
                </w:p>
              </w:tc>
              <w:tc>
                <w:tcPr>
                  <w:tcW w:w="1280" w:type="dxa"/>
                  <w:gridSpan w:val="5"/>
                  <w:noWrap w:val="0"/>
                  <w:vAlign w:val="center"/>
                </w:tcPr>
                <w:p w14:paraId="4E199C1E">
                  <w:pPr>
                    <w:widowControl/>
                    <w:adjustRightInd w:val="0"/>
                    <w:snapToGrid w:val="0"/>
                    <w:spacing w:before="72" w:beforeLines="30" w:after="72" w:afterLines="30"/>
                    <w:jc w:val="center"/>
                    <w:rPr>
                      <w:rFonts w:hint="eastAsia"/>
                      <w:color w:val="auto"/>
                      <w:szCs w:val="21"/>
                      <w:highlight w:val="none"/>
                    </w:rPr>
                  </w:pPr>
                  <w:r>
                    <w:rPr>
                      <w:rFonts w:hint="eastAsia"/>
                      <w:color w:val="auto"/>
                      <w:szCs w:val="21"/>
                      <w:highlight w:val="none"/>
                    </w:rPr>
                    <w:t>监控点处1h平均浓度值</w:t>
                  </w:r>
                </w:p>
              </w:tc>
              <w:tc>
                <w:tcPr>
                  <w:tcW w:w="1350" w:type="dxa"/>
                  <w:gridSpan w:val="3"/>
                  <w:noWrap w:val="0"/>
                  <w:vAlign w:val="center"/>
                </w:tcPr>
                <w:p w14:paraId="684C53CB">
                  <w:pPr>
                    <w:widowControl/>
                    <w:adjustRightInd w:val="0"/>
                    <w:snapToGrid w:val="0"/>
                    <w:spacing w:before="72" w:beforeLines="30" w:after="72" w:afterLines="30"/>
                    <w:jc w:val="center"/>
                    <w:rPr>
                      <w:rFonts w:hint="eastAsia"/>
                      <w:color w:val="auto"/>
                      <w:szCs w:val="21"/>
                      <w:highlight w:val="none"/>
                    </w:rPr>
                  </w:pPr>
                  <w:r>
                    <w:rPr>
                      <w:rFonts w:hint="eastAsia"/>
                      <w:color w:val="auto"/>
                      <w:szCs w:val="21"/>
                      <w:highlight w:val="none"/>
                    </w:rPr>
                    <w:t>监控点处任意一次浓度值</w:t>
                  </w:r>
                </w:p>
              </w:tc>
              <w:tc>
                <w:tcPr>
                  <w:tcW w:w="1623" w:type="dxa"/>
                  <w:gridSpan w:val="3"/>
                  <w:noWrap w:val="0"/>
                  <w:vAlign w:val="center"/>
                </w:tcPr>
                <w:p w14:paraId="693C6DAF">
                  <w:pPr>
                    <w:pStyle w:val="25"/>
                    <w:adjustRightInd w:val="0"/>
                    <w:snapToGrid w:val="0"/>
                    <w:spacing w:before="72" w:beforeLines="30" w:beforeAutospacing="0" w:after="72" w:afterLines="30" w:afterAutospacing="0"/>
                    <w:jc w:val="center"/>
                    <w:rPr>
                      <w:rFonts w:hint="eastAsia" w:ascii="Times New Roman" w:hAnsi="Times New Roman"/>
                      <w:bCs/>
                      <w:color w:val="auto"/>
                      <w:kern w:val="2"/>
                      <w:sz w:val="21"/>
                      <w:szCs w:val="21"/>
                      <w:highlight w:val="none"/>
                      <w:lang w:val="en-US" w:eastAsia="zh-CN" w:bidi="ar"/>
                    </w:rPr>
                  </w:pPr>
                  <w:r>
                    <w:rPr>
                      <w:rFonts w:hint="eastAsia" w:ascii="Times New Roman" w:hAnsi="Times New Roman"/>
                      <w:bCs/>
                      <w:color w:val="auto"/>
                      <w:kern w:val="2"/>
                      <w:sz w:val="21"/>
                      <w:szCs w:val="21"/>
                      <w:highlight w:val="none"/>
                      <w:lang w:val="en-US" w:eastAsia="zh-CN" w:bidi="ar"/>
                    </w:rPr>
                    <w:t>无组织排放监控位置</w:t>
                  </w:r>
                </w:p>
              </w:tc>
            </w:tr>
            <w:tr w14:paraId="23F0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1107986E">
                  <w:pPr>
                    <w:jc w:val="center"/>
                    <w:rPr>
                      <w:bCs/>
                      <w:color w:val="auto"/>
                      <w:szCs w:val="21"/>
                      <w:highlight w:val="none"/>
                    </w:rPr>
                  </w:pPr>
                </w:p>
              </w:tc>
              <w:tc>
                <w:tcPr>
                  <w:tcW w:w="1681" w:type="dxa"/>
                  <w:gridSpan w:val="2"/>
                  <w:vMerge w:val="continue"/>
                  <w:noWrap w:val="0"/>
                  <w:vAlign w:val="center"/>
                </w:tcPr>
                <w:p w14:paraId="27B1BD87">
                  <w:pPr>
                    <w:widowControl/>
                    <w:adjustRightInd w:val="0"/>
                    <w:snapToGrid w:val="0"/>
                    <w:spacing w:before="72" w:beforeLines="30" w:after="72" w:afterLines="30"/>
                    <w:jc w:val="center"/>
                    <w:rPr>
                      <w:b/>
                      <w:bCs/>
                      <w:color w:val="auto"/>
                      <w:szCs w:val="21"/>
                      <w:highlight w:val="none"/>
                    </w:rPr>
                  </w:pPr>
                </w:p>
              </w:tc>
              <w:tc>
                <w:tcPr>
                  <w:tcW w:w="1220" w:type="dxa"/>
                  <w:noWrap w:val="0"/>
                  <w:vAlign w:val="center"/>
                </w:tcPr>
                <w:p w14:paraId="5B1D5168">
                  <w:pPr>
                    <w:pStyle w:val="60"/>
                    <w:widowControl/>
                    <w:adjustRightInd w:val="0"/>
                    <w:spacing w:before="72" w:beforeLines="30" w:after="72" w:afterLines="30" w:line="240" w:lineRule="auto"/>
                    <w:ind w:firstLine="0" w:firstLineChars="0"/>
                    <w:rPr>
                      <w:rFonts w:hint="eastAsia" w:ascii="Times New Roman" w:eastAsia="宋体"/>
                      <w:b w:val="0"/>
                      <w:bCs/>
                      <w:color w:val="auto"/>
                      <w:sz w:val="21"/>
                      <w:szCs w:val="21"/>
                      <w:highlight w:val="none"/>
                      <w:lang w:eastAsia="zh-CN"/>
                    </w:rPr>
                  </w:pPr>
                  <w:r>
                    <w:rPr>
                      <w:rFonts w:hint="eastAsia" w:ascii="Times New Roman"/>
                      <w:b w:val="0"/>
                      <w:bCs/>
                      <w:color w:val="auto"/>
                      <w:sz w:val="21"/>
                      <w:szCs w:val="21"/>
                      <w:highlight w:val="none"/>
                      <w:lang w:eastAsia="zh-CN"/>
                    </w:rPr>
                    <w:t>非甲烷总烃</w:t>
                  </w:r>
                </w:p>
              </w:tc>
              <w:tc>
                <w:tcPr>
                  <w:tcW w:w="1280" w:type="dxa"/>
                  <w:gridSpan w:val="5"/>
                  <w:noWrap w:val="0"/>
                  <w:vAlign w:val="center"/>
                </w:tcPr>
                <w:p w14:paraId="344390B8">
                  <w:pPr>
                    <w:widowControl/>
                    <w:adjustRightInd w:val="0"/>
                    <w:snapToGrid w:val="0"/>
                    <w:spacing w:before="72" w:beforeLines="30" w:after="72" w:afterLines="30"/>
                    <w:jc w:val="center"/>
                    <w:rPr>
                      <w:rFonts w:hint="default"/>
                      <w:color w:val="auto"/>
                      <w:szCs w:val="21"/>
                      <w:highlight w:val="none"/>
                      <w:lang w:val="en-US" w:eastAsia="zh-CN"/>
                    </w:rPr>
                  </w:pPr>
                  <w:r>
                    <w:rPr>
                      <w:rFonts w:hint="eastAsia"/>
                      <w:color w:val="auto"/>
                      <w:szCs w:val="21"/>
                      <w:highlight w:val="none"/>
                      <w:lang w:val="en-US" w:eastAsia="zh-CN"/>
                    </w:rPr>
                    <w:t>10</w:t>
                  </w:r>
                  <w:r>
                    <w:rPr>
                      <w:rFonts w:ascii="Times New Roman" w:hAnsi="Times New Roman"/>
                      <w:color w:val="auto"/>
                      <w:sz w:val="21"/>
                      <w:szCs w:val="21"/>
                      <w:highlight w:val="none"/>
                      <w:lang w:val="en-US" w:eastAsia="zh-CN"/>
                    </w:rPr>
                    <w:t>mg/m</w:t>
                  </w:r>
                  <w:r>
                    <w:rPr>
                      <w:rFonts w:ascii="Times New Roman" w:hAnsi="Times New Roman"/>
                      <w:color w:val="auto"/>
                      <w:sz w:val="21"/>
                      <w:szCs w:val="21"/>
                      <w:highlight w:val="none"/>
                      <w:vertAlign w:val="superscript"/>
                      <w:lang w:val="en-US" w:eastAsia="zh-CN"/>
                    </w:rPr>
                    <w:t>3</w:t>
                  </w:r>
                </w:p>
              </w:tc>
              <w:tc>
                <w:tcPr>
                  <w:tcW w:w="1350" w:type="dxa"/>
                  <w:gridSpan w:val="3"/>
                  <w:noWrap w:val="0"/>
                  <w:vAlign w:val="center"/>
                </w:tcPr>
                <w:p w14:paraId="024978A2">
                  <w:pPr>
                    <w:widowControl/>
                    <w:adjustRightInd w:val="0"/>
                    <w:snapToGrid w:val="0"/>
                    <w:spacing w:before="72" w:beforeLines="30" w:after="72" w:afterLines="30"/>
                    <w:jc w:val="center"/>
                    <w:rPr>
                      <w:rFonts w:hint="default" w:eastAsia="宋体"/>
                      <w:color w:val="auto"/>
                      <w:szCs w:val="21"/>
                      <w:highlight w:val="none"/>
                      <w:lang w:val="en-US" w:eastAsia="zh-CN"/>
                    </w:rPr>
                  </w:pPr>
                  <w:r>
                    <w:rPr>
                      <w:rFonts w:hint="eastAsia"/>
                      <w:color w:val="auto"/>
                      <w:szCs w:val="21"/>
                      <w:highlight w:val="none"/>
                      <w:lang w:val="en-US" w:eastAsia="zh-CN"/>
                    </w:rPr>
                    <w:t>30</w:t>
                  </w:r>
                  <w:r>
                    <w:rPr>
                      <w:rFonts w:hint="eastAsia"/>
                      <w:color w:val="auto"/>
                      <w:sz w:val="21"/>
                      <w:szCs w:val="21"/>
                      <w:highlight w:val="none"/>
                      <w:lang w:val="en-US" w:eastAsia="zh-CN"/>
                    </w:rPr>
                    <w:t>（</w:t>
                  </w:r>
                  <w:r>
                    <w:rPr>
                      <w:rFonts w:ascii="Times New Roman" w:hAnsi="Times New Roman"/>
                      <w:color w:val="auto"/>
                      <w:sz w:val="21"/>
                      <w:szCs w:val="21"/>
                      <w:highlight w:val="none"/>
                      <w:lang w:val="en-US" w:eastAsia="zh-CN"/>
                    </w:rPr>
                    <w:t>mg/m</w:t>
                  </w:r>
                  <w:r>
                    <w:rPr>
                      <w:rFonts w:ascii="Times New Roman" w:hAnsi="Times New Roman"/>
                      <w:color w:val="auto"/>
                      <w:sz w:val="21"/>
                      <w:szCs w:val="21"/>
                      <w:highlight w:val="none"/>
                      <w:vertAlign w:val="superscript"/>
                      <w:lang w:val="en-US" w:eastAsia="zh-CN"/>
                    </w:rPr>
                    <w:t>3</w:t>
                  </w:r>
                  <w:r>
                    <w:rPr>
                      <w:rFonts w:hint="eastAsia" w:ascii="Times New Roman" w:hAnsi="Times New Roman"/>
                      <w:color w:val="auto"/>
                      <w:sz w:val="21"/>
                      <w:szCs w:val="21"/>
                      <w:highlight w:val="none"/>
                      <w:vertAlign w:val="baseline"/>
                      <w:lang w:val="en-US" w:eastAsia="zh-CN"/>
                    </w:rPr>
                    <w:t>）</w:t>
                  </w:r>
                </w:p>
              </w:tc>
              <w:tc>
                <w:tcPr>
                  <w:tcW w:w="1623" w:type="dxa"/>
                  <w:gridSpan w:val="3"/>
                  <w:noWrap w:val="0"/>
                  <w:vAlign w:val="center"/>
                </w:tcPr>
                <w:p w14:paraId="19423D61">
                  <w:pPr>
                    <w:pStyle w:val="25"/>
                    <w:adjustRightInd w:val="0"/>
                    <w:snapToGrid w:val="0"/>
                    <w:spacing w:before="72" w:beforeLines="30" w:beforeAutospacing="0" w:after="72" w:afterLines="30" w:afterAutospacing="0"/>
                    <w:jc w:val="center"/>
                    <w:rPr>
                      <w:rFonts w:hint="eastAsia" w:ascii="Times New Roman" w:hAnsi="Times New Roman"/>
                      <w:bCs/>
                      <w:color w:val="auto"/>
                      <w:kern w:val="2"/>
                      <w:sz w:val="21"/>
                      <w:szCs w:val="21"/>
                      <w:highlight w:val="none"/>
                      <w:lang w:val="en-US" w:eastAsia="zh-CN" w:bidi="ar"/>
                    </w:rPr>
                  </w:pPr>
                  <w:r>
                    <w:rPr>
                      <w:rFonts w:hint="eastAsia" w:ascii="Times New Roman" w:hAnsi="Times New Roman"/>
                      <w:bCs/>
                      <w:color w:val="auto"/>
                      <w:kern w:val="2"/>
                      <w:sz w:val="21"/>
                      <w:szCs w:val="21"/>
                      <w:highlight w:val="none"/>
                      <w:lang w:val="en-US" w:eastAsia="zh-CN" w:bidi="ar"/>
                    </w:rPr>
                    <w:t>在厂房外设置监控点</w:t>
                  </w:r>
                </w:p>
              </w:tc>
            </w:tr>
            <w:tr w14:paraId="4174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072B8DE2">
                  <w:pPr>
                    <w:jc w:val="center"/>
                    <w:rPr>
                      <w:bCs/>
                      <w:color w:val="auto"/>
                      <w:szCs w:val="21"/>
                      <w:highlight w:val="none"/>
                    </w:rPr>
                  </w:pPr>
                </w:p>
              </w:tc>
              <w:tc>
                <w:tcPr>
                  <w:tcW w:w="1681" w:type="dxa"/>
                  <w:gridSpan w:val="2"/>
                  <w:vMerge w:val="restart"/>
                  <w:noWrap w:val="0"/>
                  <w:vAlign w:val="center"/>
                </w:tcPr>
                <w:p w14:paraId="4BC4C476">
                  <w:pPr>
                    <w:widowControl/>
                    <w:adjustRightInd w:val="0"/>
                    <w:snapToGrid w:val="0"/>
                    <w:spacing w:before="72" w:beforeLines="30" w:after="72" w:afterLines="30"/>
                    <w:jc w:val="center"/>
                    <w:rPr>
                      <w:b/>
                      <w:bCs/>
                      <w:color w:val="auto"/>
                      <w:szCs w:val="21"/>
                      <w:highlight w:val="none"/>
                    </w:rPr>
                  </w:pPr>
                  <w:r>
                    <w:rPr>
                      <w:rFonts w:hint="eastAsia"/>
                      <w:b w:val="0"/>
                      <w:bCs w:val="0"/>
                      <w:color w:val="auto"/>
                      <w:szCs w:val="21"/>
                      <w:highlight w:val="none"/>
                      <w:lang w:eastAsia="zh-CN"/>
                    </w:rPr>
                    <w:t>《饮食业油烟排放标准（试行）》(GB18483-2001)</w:t>
                  </w:r>
                </w:p>
              </w:tc>
              <w:tc>
                <w:tcPr>
                  <w:tcW w:w="1220" w:type="dxa"/>
                  <w:noWrap w:val="0"/>
                  <w:vAlign w:val="center"/>
                </w:tcPr>
                <w:p w14:paraId="6D817CCA">
                  <w:pPr>
                    <w:pStyle w:val="60"/>
                    <w:widowControl/>
                    <w:adjustRightInd w:val="0"/>
                    <w:spacing w:before="72" w:beforeLines="30" w:after="72" w:afterLines="30" w:line="240" w:lineRule="auto"/>
                    <w:ind w:firstLine="0" w:firstLineChars="0"/>
                    <w:rPr>
                      <w:rFonts w:hint="eastAsia" w:ascii="Times New Roman"/>
                      <w:b w:val="0"/>
                      <w:bCs/>
                      <w:color w:val="auto"/>
                      <w:sz w:val="21"/>
                      <w:szCs w:val="21"/>
                      <w:highlight w:val="none"/>
                      <w:lang w:eastAsia="zh-CN"/>
                    </w:rPr>
                  </w:pPr>
                  <w:r>
                    <w:rPr>
                      <w:rFonts w:hint="eastAsia" w:ascii="Times New Roman"/>
                      <w:b w:val="0"/>
                      <w:bCs/>
                      <w:color w:val="auto"/>
                      <w:sz w:val="21"/>
                      <w:szCs w:val="21"/>
                      <w:highlight w:val="none"/>
                      <w:lang w:eastAsia="zh-CN"/>
                    </w:rPr>
                    <w:t>污染物名称</w:t>
                  </w:r>
                </w:p>
              </w:tc>
              <w:tc>
                <w:tcPr>
                  <w:tcW w:w="4253" w:type="dxa"/>
                  <w:gridSpan w:val="11"/>
                  <w:noWrap w:val="0"/>
                  <w:vAlign w:val="center"/>
                </w:tcPr>
                <w:p w14:paraId="22885A3F">
                  <w:pPr>
                    <w:pStyle w:val="25"/>
                    <w:adjustRightInd w:val="0"/>
                    <w:snapToGrid w:val="0"/>
                    <w:spacing w:before="72" w:beforeLines="30" w:beforeAutospacing="0" w:after="72" w:afterLines="30" w:afterAutospacing="0"/>
                    <w:jc w:val="center"/>
                    <w:rPr>
                      <w:rFonts w:hint="eastAsia" w:ascii="Times New Roman" w:hAnsi="Times New Roman"/>
                      <w:bCs/>
                      <w:color w:val="auto"/>
                      <w:kern w:val="2"/>
                      <w:sz w:val="21"/>
                      <w:szCs w:val="21"/>
                      <w:highlight w:val="none"/>
                      <w:lang w:val="en-US" w:eastAsia="zh-CN" w:bidi="ar"/>
                    </w:rPr>
                  </w:pPr>
                  <w:r>
                    <w:rPr>
                      <w:rFonts w:hint="eastAsia" w:ascii="Times New Roman" w:hAnsi="Times New Roman"/>
                      <w:bCs/>
                      <w:color w:val="auto"/>
                      <w:kern w:val="2"/>
                      <w:sz w:val="21"/>
                      <w:szCs w:val="21"/>
                      <w:highlight w:val="none"/>
                      <w:lang w:val="en-US" w:eastAsia="zh-CN" w:bidi="ar"/>
                    </w:rPr>
                    <w:t>最高允许排放浓度</w:t>
                  </w:r>
                </w:p>
              </w:tc>
            </w:tr>
            <w:tr w14:paraId="1D70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3947118B">
                  <w:pPr>
                    <w:jc w:val="center"/>
                    <w:rPr>
                      <w:bCs/>
                      <w:color w:val="auto"/>
                      <w:szCs w:val="21"/>
                      <w:highlight w:val="none"/>
                    </w:rPr>
                  </w:pPr>
                </w:p>
              </w:tc>
              <w:tc>
                <w:tcPr>
                  <w:tcW w:w="1681" w:type="dxa"/>
                  <w:gridSpan w:val="2"/>
                  <w:vMerge w:val="continue"/>
                  <w:noWrap w:val="0"/>
                  <w:vAlign w:val="center"/>
                </w:tcPr>
                <w:p w14:paraId="6A490403">
                  <w:pPr>
                    <w:widowControl/>
                    <w:adjustRightInd w:val="0"/>
                    <w:snapToGrid w:val="0"/>
                    <w:spacing w:before="72" w:beforeLines="30" w:after="72" w:afterLines="30"/>
                    <w:jc w:val="center"/>
                    <w:rPr>
                      <w:b/>
                      <w:bCs/>
                      <w:color w:val="auto"/>
                      <w:szCs w:val="21"/>
                      <w:highlight w:val="none"/>
                    </w:rPr>
                  </w:pPr>
                </w:p>
              </w:tc>
              <w:tc>
                <w:tcPr>
                  <w:tcW w:w="1220" w:type="dxa"/>
                  <w:noWrap w:val="0"/>
                  <w:vAlign w:val="center"/>
                </w:tcPr>
                <w:p w14:paraId="6F9E57B4">
                  <w:pPr>
                    <w:pStyle w:val="60"/>
                    <w:widowControl/>
                    <w:adjustRightInd w:val="0"/>
                    <w:spacing w:before="72" w:beforeLines="30" w:after="72" w:afterLines="30" w:line="240" w:lineRule="auto"/>
                    <w:ind w:firstLine="0" w:firstLineChars="0"/>
                    <w:rPr>
                      <w:rFonts w:hint="eastAsia" w:ascii="Times New Roman"/>
                      <w:b w:val="0"/>
                      <w:bCs/>
                      <w:color w:val="auto"/>
                      <w:sz w:val="21"/>
                      <w:szCs w:val="21"/>
                      <w:highlight w:val="none"/>
                      <w:lang w:eastAsia="zh-CN"/>
                    </w:rPr>
                  </w:pPr>
                  <w:r>
                    <w:rPr>
                      <w:rFonts w:hint="eastAsia" w:ascii="Times New Roman"/>
                      <w:b w:val="0"/>
                      <w:bCs/>
                      <w:color w:val="auto"/>
                      <w:sz w:val="21"/>
                      <w:szCs w:val="21"/>
                      <w:highlight w:val="none"/>
                      <w:lang w:eastAsia="zh-CN"/>
                    </w:rPr>
                    <w:t>油烟废气</w:t>
                  </w:r>
                </w:p>
              </w:tc>
              <w:tc>
                <w:tcPr>
                  <w:tcW w:w="4253" w:type="dxa"/>
                  <w:gridSpan w:val="11"/>
                  <w:noWrap w:val="0"/>
                  <w:vAlign w:val="center"/>
                </w:tcPr>
                <w:p w14:paraId="18BB2908">
                  <w:pPr>
                    <w:pStyle w:val="25"/>
                    <w:adjustRightInd w:val="0"/>
                    <w:snapToGrid w:val="0"/>
                    <w:spacing w:before="72" w:beforeLines="30" w:beforeAutospacing="0" w:after="72" w:afterLines="30" w:afterAutospacing="0"/>
                    <w:jc w:val="center"/>
                    <w:rPr>
                      <w:rFonts w:hint="default" w:ascii="Times New Roman" w:hAnsi="Times New Roman"/>
                      <w:bCs/>
                      <w:color w:val="auto"/>
                      <w:kern w:val="2"/>
                      <w:sz w:val="21"/>
                      <w:szCs w:val="21"/>
                      <w:highlight w:val="none"/>
                      <w:lang w:val="en-US" w:eastAsia="zh-CN" w:bidi="ar"/>
                    </w:rPr>
                  </w:pPr>
                  <w:r>
                    <w:rPr>
                      <w:rFonts w:hint="eastAsia" w:ascii="Times New Roman" w:hAnsi="Times New Roman"/>
                      <w:bCs/>
                      <w:color w:val="auto"/>
                      <w:kern w:val="2"/>
                      <w:sz w:val="21"/>
                      <w:szCs w:val="21"/>
                      <w:highlight w:val="none"/>
                      <w:lang w:val="en-US" w:eastAsia="zh-CN" w:bidi="ar"/>
                    </w:rPr>
                    <w:t>2.0</w:t>
                  </w:r>
                  <w:r>
                    <w:rPr>
                      <w:rFonts w:ascii="Times New Roman" w:hAnsi="Times New Roman"/>
                      <w:color w:val="auto"/>
                      <w:sz w:val="21"/>
                      <w:szCs w:val="21"/>
                      <w:highlight w:val="none"/>
                      <w:lang w:val="en-US" w:eastAsia="zh-CN"/>
                    </w:rPr>
                    <w:t>mg/m</w:t>
                  </w:r>
                  <w:r>
                    <w:rPr>
                      <w:rFonts w:ascii="Times New Roman" w:hAnsi="Times New Roman"/>
                      <w:color w:val="auto"/>
                      <w:sz w:val="21"/>
                      <w:szCs w:val="21"/>
                      <w:highlight w:val="none"/>
                      <w:vertAlign w:val="superscript"/>
                      <w:lang w:val="en-US" w:eastAsia="zh-CN"/>
                    </w:rPr>
                    <w:t>3</w:t>
                  </w:r>
                </w:p>
              </w:tc>
            </w:tr>
            <w:tr w14:paraId="4D39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05" w:type="dxa"/>
                  <w:vMerge w:val="continue"/>
                  <w:noWrap w:val="0"/>
                  <w:vAlign w:val="center"/>
                </w:tcPr>
                <w:p w14:paraId="2DCEB6C5">
                  <w:pPr>
                    <w:pStyle w:val="25"/>
                    <w:adjustRightInd w:val="0"/>
                    <w:snapToGrid w:val="0"/>
                    <w:spacing w:before="72" w:beforeLines="30" w:beforeAutospacing="0" w:after="72" w:afterLines="30" w:afterAutospacing="0"/>
                    <w:jc w:val="center"/>
                    <w:rPr>
                      <w:rFonts w:ascii="Times New Roman" w:hAnsi="Times New Roman"/>
                      <w:color w:val="auto"/>
                      <w:kern w:val="2"/>
                      <w:sz w:val="21"/>
                      <w:szCs w:val="21"/>
                      <w:highlight w:val="none"/>
                      <w:lang w:val="en-US" w:eastAsia="zh-CN"/>
                    </w:rPr>
                  </w:pPr>
                </w:p>
              </w:tc>
              <w:tc>
                <w:tcPr>
                  <w:tcW w:w="7154" w:type="dxa"/>
                  <w:gridSpan w:val="14"/>
                  <w:noWrap w:val="0"/>
                  <w:vAlign w:val="center"/>
                </w:tcPr>
                <w:p w14:paraId="7652DF0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rPr>
                      <w:rFonts w:ascii="Times New Roman" w:hAnsi="Times New Roman"/>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备注：项目使用锅炉为电锅炉，运营期不涉及排放锅炉废气。</w:t>
                  </w:r>
                </w:p>
              </w:tc>
            </w:tr>
            <w:tr w14:paraId="4A7A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805" w:type="dxa"/>
                  <w:noWrap w:val="0"/>
                  <w:vAlign w:val="center"/>
                </w:tcPr>
                <w:p w14:paraId="25D6FCAB">
                  <w:pPr>
                    <w:jc w:val="center"/>
                    <w:rPr>
                      <w:bCs/>
                      <w:color w:val="auto"/>
                      <w:szCs w:val="21"/>
                      <w:highlight w:val="none"/>
                    </w:rPr>
                  </w:pPr>
                  <w:r>
                    <w:rPr>
                      <w:bCs/>
                      <w:color w:val="auto"/>
                      <w:szCs w:val="21"/>
                      <w:highlight w:val="none"/>
                    </w:rPr>
                    <w:t>废水</w:t>
                  </w:r>
                </w:p>
              </w:tc>
              <w:tc>
                <w:tcPr>
                  <w:tcW w:w="7154" w:type="dxa"/>
                  <w:gridSpan w:val="14"/>
                  <w:noWrap w:val="0"/>
                  <w:vAlign w:val="center"/>
                </w:tcPr>
                <w:p w14:paraId="1F64C085">
                  <w:pPr>
                    <w:pStyle w:val="25"/>
                    <w:adjustRightInd w:val="0"/>
                    <w:snapToGrid w:val="0"/>
                    <w:spacing w:before="72" w:beforeLines="30" w:beforeAutospacing="0" w:after="72" w:afterLines="30" w:afterAutospacing="0"/>
                    <w:jc w:val="center"/>
                    <w:rPr>
                      <w:rFonts w:ascii="Times New Roman" w:hAnsi="Times New Roman"/>
                      <w:color w:val="auto"/>
                      <w:kern w:val="2"/>
                      <w:sz w:val="21"/>
                      <w:szCs w:val="21"/>
                      <w:highlight w:val="none"/>
                      <w:lang w:val="en-US" w:eastAsia="zh-CN"/>
                    </w:rPr>
                  </w:pPr>
                  <w:r>
                    <w:rPr>
                      <w:rFonts w:hint="eastAsia" w:ascii="Times New Roman" w:hAnsi="Times New Roman"/>
                      <w:color w:val="auto"/>
                      <w:kern w:val="2"/>
                      <w:sz w:val="21"/>
                      <w:szCs w:val="21"/>
                      <w:highlight w:val="none"/>
                      <w:lang w:val="en-US" w:eastAsia="zh-CN"/>
                    </w:rPr>
                    <w:t>生活污水、锅炉废水、纯水设备废水及反冲洗水执行</w:t>
                  </w:r>
                  <w:r>
                    <w:rPr>
                      <w:rFonts w:hint="default" w:ascii="Times New Roman" w:hAnsi="Times New Roman" w:eastAsia="宋体" w:cs="Times New Roman"/>
                      <w:color w:val="auto"/>
                      <w:kern w:val="2"/>
                      <w:sz w:val="21"/>
                      <w:szCs w:val="21"/>
                      <w:highlight w:val="none"/>
                      <w:lang w:val="en-US" w:eastAsia="zh-CN"/>
                    </w:rPr>
                    <w:t>《污水排入城镇下水道水质标准》（GB/T 31962-2015）</w:t>
                  </w:r>
                  <w:r>
                    <w:rPr>
                      <w:rFonts w:hint="eastAsia" w:ascii="Times New Roman" w:hAnsi="Times New Roman" w:eastAsia="宋体" w:cs="Times New Roman"/>
                      <w:color w:val="auto"/>
                      <w:kern w:val="2"/>
                      <w:sz w:val="21"/>
                      <w:szCs w:val="21"/>
                      <w:highlight w:val="none"/>
                      <w:lang w:val="en-US" w:eastAsia="zh-CN"/>
                    </w:rPr>
                    <w:t>相关</w:t>
                  </w:r>
                  <w:r>
                    <w:rPr>
                      <w:rFonts w:hint="default" w:ascii="Times New Roman" w:hAnsi="Times New Roman" w:eastAsia="宋体" w:cs="Times New Roman"/>
                      <w:color w:val="auto"/>
                      <w:kern w:val="2"/>
                      <w:sz w:val="21"/>
                      <w:szCs w:val="21"/>
                      <w:highlight w:val="none"/>
                      <w:lang w:val="en-US" w:eastAsia="zh-CN"/>
                    </w:rPr>
                    <w:t>标准</w:t>
                  </w:r>
                  <w:r>
                    <w:rPr>
                      <w:rFonts w:hint="eastAsia" w:ascii="Times New Roman" w:hAnsi="Times New Roman"/>
                      <w:color w:val="auto"/>
                      <w:kern w:val="2"/>
                      <w:sz w:val="21"/>
                      <w:szCs w:val="21"/>
                      <w:highlight w:val="none"/>
                      <w:lang w:val="en-US" w:eastAsia="zh-CN"/>
                    </w:rPr>
                    <w:t>同时满足洋县污水处理厂进水水质要求；设备冲洗废水及鲜果清洗废水执行依托的</w:t>
                  </w:r>
                  <w:r>
                    <w:rPr>
                      <w:rFonts w:hint="eastAsia" w:ascii="Times New Roman" w:hAnsi="Times New Roman" w:eastAsia="宋体" w:cs="Times New Roman"/>
                      <w:color w:val="auto"/>
                      <w:sz w:val="21"/>
                      <w:szCs w:val="21"/>
                      <w:highlight w:val="none"/>
                      <w:lang w:eastAsia="zh-CN"/>
                    </w:rPr>
                    <w:t>陕西朱鹮酒业有限公司厂区污水处理设施进水水质要求。</w:t>
                  </w:r>
                </w:p>
              </w:tc>
            </w:tr>
            <w:tr w14:paraId="15A7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05" w:type="dxa"/>
                  <w:vMerge w:val="restart"/>
                  <w:noWrap w:val="0"/>
                  <w:vAlign w:val="center"/>
                </w:tcPr>
                <w:p w14:paraId="0455B264">
                  <w:pPr>
                    <w:jc w:val="center"/>
                    <w:rPr>
                      <w:bCs/>
                      <w:color w:val="auto"/>
                      <w:szCs w:val="21"/>
                      <w:highlight w:val="none"/>
                    </w:rPr>
                  </w:pPr>
                  <w:r>
                    <w:rPr>
                      <w:bCs/>
                      <w:color w:val="auto"/>
                      <w:szCs w:val="21"/>
                      <w:highlight w:val="none"/>
                    </w:rPr>
                    <w:t>噪声</w:t>
                  </w:r>
                </w:p>
              </w:tc>
              <w:tc>
                <w:tcPr>
                  <w:tcW w:w="1681" w:type="dxa"/>
                  <w:gridSpan w:val="2"/>
                  <w:vMerge w:val="restart"/>
                  <w:noWrap w:val="0"/>
                  <w:vAlign w:val="center"/>
                </w:tcPr>
                <w:p w14:paraId="585D9134">
                  <w:pPr>
                    <w:jc w:val="center"/>
                    <w:rPr>
                      <w:b/>
                      <w:bCs/>
                      <w:color w:val="auto"/>
                      <w:szCs w:val="21"/>
                      <w:highlight w:val="none"/>
                    </w:rPr>
                  </w:pPr>
                  <w:r>
                    <w:rPr>
                      <w:color w:val="auto"/>
                      <w:highlight w:val="none"/>
                    </w:rPr>
                    <w:t>《工业企业厂界环境噪声排放标准》（GB 12348-2008）</w:t>
                  </w:r>
                </w:p>
              </w:tc>
              <w:tc>
                <w:tcPr>
                  <w:tcW w:w="1220" w:type="dxa"/>
                  <w:noWrap w:val="0"/>
                  <w:vAlign w:val="center"/>
                </w:tcPr>
                <w:p w14:paraId="094E4200">
                  <w:pPr>
                    <w:pStyle w:val="6"/>
                    <w:widowControl/>
                    <w:adjustRightInd w:val="0"/>
                    <w:snapToGrid w:val="0"/>
                    <w:spacing w:before="72" w:beforeLines="30" w:after="72" w:afterLines="30"/>
                    <w:ind w:left="0" w:leftChars="0" w:firstLine="0" w:firstLineChars="0"/>
                    <w:jc w:val="center"/>
                    <w:rPr>
                      <w:color w:val="auto"/>
                      <w:highlight w:val="none"/>
                    </w:rPr>
                  </w:pPr>
                  <w:r>
                    <w:rPr>
                      <w:color w:val="auto"/>
                      <w:highlight w:val="none"/>
                    </w:rPr>
                    <w:t>类别</w:t>
                  </w:r>
                </w:p>
              </w:tc>
              <w:tc>
                <w:tcPr>
                  <w:tcW w:w="1705" w:type="dxa"/>
                  <w:gridSpan w:val="6"/>
                  <w:noWrap w:val="0"/>
                  <w:vAlign w:val="center"/>
                </w:tcPr>
                <w:p w14:paraId="56644645">
                  <w:pPr>
                    <w:pStyle w:val="6"/>
                    <w:widowControl/>
                    <w:adjustRightInd w:val="0"/>
                    <w:snapToGrid w:val="0"/>
                    <w:spacing w:before="72" w:beforeLines="30" w:after="72" w:afterLines="30"/>
                    <w:ind w:left="0" w:leftChars="0" w:firstLine="0" w:firstLineChars="0"/>
                    <w:jc w:val="center"/>
                    <w:rPr>
                      <w:color w:val="auto"/>
                      <w:highlight w:val="none"/>
                    </w:rPr>
                  </w:pPr>
                  <w:r>
                    <w:rPr>
                      <w:color w:val="auto"/>
                      <w:highlight w:val="none"/>
                    </w:rPr>
                    <w:t>昼间</w:t>
                  </w:r>
                </w:p>
              </w:tc>
              <w:tc>
                <w:tcPr>
                  <w:tcW w:w="2548" w:type="dxa"/>
                  <w:gridSpan w:val="5"/>
                  <w:noWrap w:val="0"/>
                  <w:vAlign w:val="center"/>
                </w:tcPr>
                <w:p w14:paraId="7FC91A9A">
                  <w:pPr>
                    <w:pStyle w:val="6"/>
                    <w:widowControl/>
                    <w:adjustRightInd w:val="0"/>
                    <w:snapToGrid w:val="0"/>
                    <w:spacing w:before="72" w:beforeLines="30" w:after="72" w:afterLines="30"/>
                    <w:ind w:left="0" w:leftChars="0" w:firstLine="0" w:firstLineChars="0"/>
                    <w:jc w:val="center"/>
                    <w:rPr>
                      <w:color w:val="auto"/>
                      <w:highlight w:val="none"/>
                    </w:rPr>
                  </w:pPr>
                  <w:r>
                    <w:rPr>
                      <w:color w:val="auto"/>
                      <w:highlight w:val="none"/>
                    </w:rPr>
                    <w:t>夜间</w:t>
                  </w:r>
                </w:p>
              </w:tc>
            </w:tr>
            <w:tr w14:paraId="33D0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7787F882">
                  <w:pPr>
                    <w:jc w:val="center"/>
                    <w:rPr>
                      <w:bCs/>
                      <w:color w:val="auto"/>
                      <w:szCs w:val="21"/>
                      <w:highlight w:val="none"/>
                    </w:rPr>
                  </w:pPr>
                </w:p>
              </w:tc>
              <w:tc>
                <w:tcPr>
                  <w:tcW w:w="1681" w:type="dxa"/>
                  <w:gridSpan w:val="2"/>
                  <w:vMerge w:val="continue"/>
                  <w:noWrap w:val="0"/>
                  <w:vAlign w:val="center"/>
                </w:tcPr>
                <w:p w14:paraId="1F4E7251">
                  <w:pPr>
                    <w:jc w:val="center"/>
                    <w:rPr>
                      <w:b/>
                      <w:bCs/>
                      <w:color w:val="auto"/>
                      <w:szCs w:val="21"/>
                      <w:highlight w:val="none"/>
                    </w:rPr>
                  </w:pPr>
                </w:p>
              </w:tc>
              <w:tc>
                <w:tcPr>
                  <w:tcW w:w="1220" w:type="dxa"/>
                  <w:noWrap w:val="0"/>
                  <w:vAlign w:val="center"/>
                </w:tcPr>
                <w:p w14:paraId="6608331F">
                  <w:pPr>
                    <w:pStyle w:val="6"/>
                    <w:widowControl/>
                    <w:adjustRightInd w:val="0"/>
                    <w:snapToGrid w:val="0"/>
                    <w:spacing w:before="72" w:beforeLines="30" w:after="72" w:afterLines="30"/>
                    <w:ind w:left="0" w:leftChars="0" w:firstLine="0" w:firstLineChars="0"/>
                    <w:jc w:val="center"/>
                    <w:rPr>
                      <w:color w:val="auto"/>
                      <w:highlight w:val="none"/>
                    </w:rPr>
                  </w:pPr>
                  <w:r>
                    <w:rPr>
                      <w:rFonts w:hint="eastAsia"/>
                      <w:color w:val="auto"/>
                      <w:highlight w:val="none"/>
                    </w:rPr>
                    <w:t>3</w:t>
                  </w:r>
                  <w:r>
                    <w:rPr>
                      <w:color w:val="auto"/>
                      <w:highlight w:val="none"/>
                    </w:rPr>
                    <w:t>类</w:t>
                  </w:r>
                </w:p>
              </w:tc>
              <w:tc>
                <w:tcPr>
                  <w:tcW w:w="1705" w:type="dxa"/>
                  <w:gridSpan w:val="6"/>
                  <w:noWrap w:val="0"/>
                  <w:vAlign w:val="center"/>
                </w:tcPr>
                <w:p w14:paraId="6618EC99">
                  <w:pPr>
                    <w:pStyle w:val="6"/>
                    <w:widowControl/>
                    <w:adjustRightInd w:val="0"/>
                    <w:snapToGrid w:val="0"/>
                    <w:spacing w:before="72" w:beforeLines="30" w:after="72" w:afterLines="30"/>
                    <w:ind w:left="0" w:leftChars="0" w:firstLine="0" w:firstLineChars="0"/>
                    <w:jc w:val="center"/>
                    <w:rPr>
                      <w:color w:val="auto"/>
                      <w:highlight w:val="none"/>
                    </w:rPr>
                  </w:pPr>
                  <w:r>
                    <w:rPr>
                      <w:color w:val="auto"/>
                      <w:highlight w:val="none"/>
                    </w:rPr>
                    <w:t>≤6</w:t>
                  </w:r>
                  <w:r>
                    <w:rPr>
                      <w:rFonts w:hint="eastAsia"/>
                      <w:color w:val="auto"/>
                      <w:highlight w:val="none"/>
                    </w:rPr>
                    <w:t>5</w:t>
                  </w:r>
                  <w:r>
                    <w:rPr>
                      <w:color w:val="auto"/>
                      <w:highlight w:val="none"/>
                    </w:rPr>
                    <w:t>dB(A)</w:t>
                  </w:r>
                </w:p>
              </w:tc>
              <w:tc>
                <w:tcPr>
                  <w:tcW w:w="2548" w:type="dxa"/>
                  <w:gridSpan w:val="5"/>
                  <w:noWrap w:val="0"/>
                  <w:vAlign w:val="center"/>
                </w:tcPr>
                <w:p w14:paraId="034BEF68">
                  <w:pPr>
                    <w:pStyle w:val="6"/>
                    <w:widowControl/>
                    <w:adjustRightInd w:val="0"/>
                    <w:snapToGrid w:val="0"/>
                    <w:spacing w:before="72" w:beforeLines="30" w:after="72" w:afterLines="30"/>
                    <w:ind w:left="0" w:leftChars="0" w:firstLine="0" w:firstLineChars="0"/>
                    <w:jc w:val="center"/>
                    <w:rPr>
                      <w:color w:val="auto"/>
                      <w:highlight w:val="none"/>
                    </w:rPr>
                  </w:pPr>
                  <w:r>
                    <w:rPr>
                      <w:color w:val="auto"/>
                      <w:highlight w:val="none"/>
                    </w:rPr>
                    <w:t>≤5</w:t>
                  </w:r>
                  <w:r>
                    <w:rPr>
                      <w:rFonts w:hint="eastAsia"/>
                      <w:color w:val="auto"/>
                      <w:highlight w:val="none"/>
                    </w:rPr>
                    <w:t>5</w:t>
                  </w:r>
                  <w:r>
                    <w:rPr>
                      <w:color w:val="auto"/>
                      <w:highlight w:val="none"/>
                    </w:rPr>
                    <w:t>dB(A)</w:t>
                  </w:r>
                </w:p>
              </w:tc>
            </w:tr>
            <w:tr w14:paraId="4A1C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noWrap w:val="0"/>
                  <w:vAlign w:val="center"/>
                </w:tcPr>
                <w:p w14:paraId="196DAFFA">
                  <w:pPr>
                    <w:jc w:val="center"/>
                    <w:rPr>
                      <w:bCs/>
                      <w:color w:val="auto"/>
                      <w:szCs w:val="21"/>
                      <w:highlight w:val="none"/>
                    </w:rPr>
                  </w:pPr>
                </w:p>
              </w:tc>
              <w:tc>
                <w:tcPr>
                  <w:tcW w:w="1681" w:type="dxa"/>
                  <w:gridSpan w:val="2"/>
                  <w:vMerge w:val="continue"/>
                  <w:noWrap w:val="0"/>
                  <w:vAlign w:val="center"/>
                </w:tcPr>
                <w:p w14:paraId="11026F24">
                  <w:pPr>
                    <w:jc w:val="center"/>
                    <w:rPr>
                      <w:b/>
                      <w:bCs/>
                      <w:color w:val="auto"/>
                      <w:szCs w:val="21"/>
                      <w:highlight w:val="none"/>
                    </w:rPr>
                  </w:pPr>
                </w:p>
              </w:tc>
              <w:tc>
                <w:tcPr>
                  <w:tcW w:w="1220" w:type="dxa"/>
                  <w:noWrap w:val="0"/>
                  <w:vAlign w:val="center"/>
                </w:tcPr>
                <w:p w14:paraId="6EC18D1B">
                  <w:pPr>
                    <w:pStyle w:val="6"/>
                    <w:widowControl/>
                    <w:adjustRightInd w:val="0"/>
                    <w:snapToGrid w:val="0"/>
                    <w:spacing w:before="72" w:beforeLines="30" w:after="72" w:afterLines="30"/>
                    <w:ind w:left="0" w:leftChars="0" w:firstLine="0" w:firstLineChars="0"/>
                    <w:jc w:val="center"/>
                    <w:rPr>
                      <w:rFonts w:hint="eastAsia" w:eastAsia="宋体"/>
                      <w:color w:val="auto"/>
                      <w:highlight w:val="none"/>
                      <w:lang w:val="en-US" w:eastAsia="zh-CN"/>
                    </w:rPr>
                  </w:pPr>
                  <w:r>
                    <w:rPr>
                      <w:rFonts w:hint="eastAsia"/>
                      <w:color w:val="auto"/>
                      <w:highlight w:val="none"/>
                      <w:lang w:val="en-US" w:eastAsia="zh-CN"/>
                    </w:rPr>
                    <w:t>4类</w:t>
                  </w:r>
                </w:p>
              </w:tc>
              <w:tc>
                <w:tcPr>
                  <w:tcW w:w="1705" w:type="dxa"/>
                  <w:gridSpan w:val="6"/>
                  <w:noWrap w:val="0"/>
                  <w:vAlign w:val="center"/>
                </w:tcPr>
                <w:p w14:paraId="2EB909F4">
                  <w:pPr>
                    <w:widowControl/>
                    <w:adjustRightInd w:val="0"/>
                    <w:snapToGrid w:val="0"/>
                    <w:spacing w:before="72" w:beforeLines="30" w:after="72" w:afterLines="30"/>
                    <w:ind w:left="0" w:leftChars="0" w:firstLine="0" w:firstLineChars="0"/>
                    <w:jc w:val="center"/>
                    <w:rPr>
                      <w:color w:val="auto"/>
                      <w:highlight w:val="none"/>
                    </w:rPr>
                  </w:pPr>
                  <w:r>
                    <w:rPr>
                      <w:color w:val="auto"/>
                      <w:highlight w:val="none"/>
                    </w:rPr>
                    <w:t>≤</w:t>
                  </w:r>
                  <w:r>
                    <w:rPr>
                      <w:rFonts w:hint="eastAsia"/>
                      <w:color w:val="auto"/>
                      <w:highlight w:val="none"/>
                      <w:lang w:val="en-US" w:eastAsia="zh-CN"/>
                    </w:rPr>
                    <w:t>70</w:t>
                  </w:r>
                  <w:r>
                    <w:rPr>
                      <w:color w:val="auto"/>
                      <w:highlight w:val="none"/>
                    </w:rPr>
                    <w:t>dB(A)</w:t>
                  </w:r>
                </w:p>
              </w:tc>
              <w:tc>
                <w:tcPr>
                  <w:tcW w:w="2548" w:type="dxa"/>
                  <w:gridSpan w:val="5"/>
                  <w:noWrap w:val="0"/>
                  <w:vAlign w:val="center"/>
                </w:tcPr>
                <w:p w14:paraId="1E03DD7E">
                  <w:pPr>
                    <w:widowControl/>
                    <w:adjustRightInd w:val="0"/>
                    <w:snapToGrid w:val="0"/>
                    <w:spacing w:before="72" w:beforeLines="30" w:after="72" w:afterLines="30"/>
                    <w:ind w:left="0" w:leftChars="0" w:firstLine="0" w:firstLineChars="0"/>
                    <w:jc w:val="center"/>
                    <w:rPr>
                      <w:color w:val="auto"/>
                      <w:highlight w:val="none"/>
                    </w:rPr>
                  </w:pPr>
                  <w:r>
                    <w:rPr>
                      <w:color w:val="auto"/>
                      <w:highlight w:val="none"/>
                    </w:rPr>
                    <w:t>≤</w:t>
                  </w:r>
                  <w:r>
                    <w:rPr>
                      <w:rFonts w:hint="eastAsia"/>
                      <w:color w:val="auto"/>
                      <w:highlight w:val="none"/>
                      <w:lang w:val="en-US" w:eastAsia="zh-CN"/>
                    </w:rPr>
                    <w:t>5</w:t>
                  </w:r>
                  <w:r>
                    <w:rPr>
                      <w:rFonts w:hint="eastAsia"/>
                      <w:color w:val="auto"/>
                      <w:highlight w:val="none"/>
                    </w:rPr>
                    <w:t>5</w:t>
                  </w:r>
                  <w:r>
                    <w:rPr>
                      <w:color w:val="auto"/>
                      <w:highlight w:val="none"/>
                    </w:rPr>
                    <w:t>dB(A)</w:t>
                  </w:r>
                </w:p>
              </w:tc>
            </w:tr>
            <w:tr w14:paraId="757B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05" w:type="dxa"/>
                  <w:vMerge w:val="restart"/>
                  <w:noWrap w:val="0"/>
                  <w:vAlign w:val="center"/>
                </w:tcPr>
                <w:p w14:paraId="5C40E2A6">
                  <w:pPr>
                    <w:jc w:val="center"/>
                    <w:rPr>
                      <w:bCs/>
                      <w:color w:val="auto"/>
                      <w:szCs w:val="21"/>
                      <w:highlight w:val="none"/>
                    </w:rPr>
                  </w:pPr>
                  <w:r>
                    <w:rPr>
                      <w:bCs/>
                      <w:color w:val="auto"/>
                      <w:szCs w:val="21"/>
                      <w:highlight w:val="none"/>
                    </w:rPr>
                    <w:t>固废</w:t>
                  </w:r>
                </w:p>
              </w:tc>
              <w:tc>
                <w:tcPr>
                  <w:tcW w:w="7154" w:type="dxa"/>
                  <w:gridSpan w:val="14"/>
                  <w:noWrap w:val="0"/>
                  <w:vAlign w:val="center"/>
                </w:tcPr>
                <w:p w14:paraId="14975228">
                  <w:pPr>
                    <w:pStyle w:val="6"/>
                    <w:widowControl/>
                    <w:adjustRightInd w:val="0"/>
                    <w:snapToGrid w:val="0"/>
                    <w:spacing w:before="72" w:beforeLines="30" w:after="72" w:afterLines="30"/>
                    <w:ind w:left="0" w:leftChars="0" w:firstLine="0" w:firstLineChars="0"/>
                    <w:jc w:val="center"/>
                    <w:rPr>
                      <w:color w:val="auto"/>
                      <w:highlight w:val="none"/>
                    </w:rPr>
                  </w:pPr>
                  <w:r>
                    <w:rPr>
                      <w:color w:val="auto"/>
                      <w:szCs w:val="21"/>
                      <w:highlight w:val="none"/>
                    </w:rPr>
                    <w:t>《一般工业固体废物贮存和填埋污染控制标准》（GB 18599-2020）</w:t>
                  </w:r>
                </w:p>
              </w:tc>
            </w:tr>
            <w:tr w14:paraId="470A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05" w:type="dxa"/>
                  <w:vMerge w:val="continue"/>
                  <w:noWrap w:val="0"/>
                  <w:vAlign w:val="center"/>
                </w:tcPr>
                <w:p w14:paraId="54111E0B">
                  <w:pPr>
                    <w:jc w:val="center"/>
                    <w:rPr>
                      <w:b/>
                      <w:bCs/>
                      <w:color w:val="auto"/>
                      <w:szCs w:val="21"/>
                      <w:highlight w:val="none"/>
                    </w:rPr>
                  </w:pPr>
                </w:p>
              </w:tc>
              <w:tc>
                <w:tcPr>
                  <w:tcW w:w="7154" w:type="dxa"/>
                  <w:gridSpan w:val="14"/>
                  <w:noWrap w:val="0"/>
                  <w:vAlign w:val="center"/>
                </w:tcPr>
                <w:p w14:paraId="5F5F0C23">
                  <w:pPr>
                    <w:pStyle w:val="6"/>
                    <w:widowControl/>
                    <w:adjustRightInd w:val="0"/>
                    <w:snapToGrid w:val="0"/>
                    <w:spacing w:before="72" w:beforeLines="30" w:after="72" w:afterLines="30"/>
                    <w:ind w:left="0" w:leftChars="0" w:firstLine="0" w:firstLineChars="0"/>
                    <w:jc w:val="center"/>
                    <w:rPr>
                      <w:rFonts w:hint="eastAsia"/>
                      <w:color w:val="auto"/>
                      <w:highlight w:val="none"/>
                    </w:rPr>
                  </w:pPr>
                  <w:r>
                    <w:rPr>
                      <w:rFonts w:hint="eastAsia"/>
                      <w:color w:val="auto"/>
                      <w:szCs w:val="21"/>
                      <w:highlight w:val="none"/>
                    </w:rPr>
                    <w:t>《危险废物贮存污染控制标准》（GB 18597—2023）</w:t>
                  </w:r>
                </w:p>
              </w:tc>
            </w:tr>
          </w:tbl>
          <w:p w14:paraId="31641495">
            <w:pPr>
              <w:rPr>
                <w:color w:val="auto"/>
                <w:highlight w:val="none"/>
              </w:rPr>
            </w:pPr>
          </w:p>
        </w:tc>
      </w:tr>
      <w:tr w14:paraId="2E424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2" w:hRule="atLeast"/>
          <w:jc w:val="center"/>
        </w:trPr>
        <w:tc>
          <w:tcPr>
            <w:tcW w:w="800" w:type="dxa"/>
            <w:noWrap w:val="0"/>
            <w:vAlign w:val="center"/>
          </w:tcPr>
          <w:p w14:paraId="0D74B27E">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总量</w:t>
            </w:r>
          </w:p>
          <w:p w14:paraId="77B5F56E">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控制</w:t>
            </w:r>
          </w:p>
          <w:p w14:paraId="37FBD50C">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指标</w:t>
            </w:r>
          </w:p>
        </w:tc>
        <w:tc>
          <w:tcPr>
            <w:tcW w:w="8190" w:type="dxa"/>
            <w:noWrap w:val="0"/>
            <w:vAlign w:val="center"/>
          </w:tcPr>
          <w:p w14:paraId="7B500760">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宋体" w:hAnsi="宋体" w:cs="宋体"/>
                <w:color w:val="auto"/>
                <w:szCs w:val="21"/>
                <w:highlight w:val="none"/>
              </w:rPr>
            </w:pPr>
            <w:r>
              <w:rPr>
                <w:rFonts w:hint="eastAsia" w:cs="Times New Roman"/>
                <w:color w:val="auto"/>
                <w:sz w:val="24"/>
                <w:highlight w:val="none"/>
                <w:lang w:val="en-US" w:eastAsia="zh-CN"/>
              </w:rPr>
              <w:t>无</w:t>
            </w:r>
          </w:p>
        </w:tc>
      </w:tr>
    </w:tbl>
    <w:p w14:paraId="249DD5F5">
      <w:pPr>
        <w:pStyle w:val="25"/>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F103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746" w:type="dxa"/>
            <w:noWrap w:val="0"/>
            <w:tcMar>
              <w:left w:w="28" w:type="dxa"/>
              <w:right w:w="28" w:type="dxa"/>
            </w:tcMar>
            <w:vAlign w:val="center"/>
          </w:tcPr>
          <w:p w14:paraId="07ACEFB0">
            <w:pPr>
              <w:pStyle w:val="25"/>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施工</w:t>
            </w:r>
          </w:p>
          <w:p w14:paraId="4E6FC255">
            <w:pPr>
              <w:pStyle w:val="25"/>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期环</w:t>
            </w:r>
          </w:p>
          <w:p w14:paraId="5A94A5D7">
            <w:pPr>
              <w:pStyle w:val="25"/>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境保</w:t>
            </w:r>
          </w:p>
          <w:p w14:paraId="4E3095F7">
            <w:pPr>
              <w:pStyle w:val="25"/>
              <w:adjustRightInd w:val="0"/>
              <w:snapToGrid w:val="0"/>
              <w:spacing w:before="0" w:beforeAutospacing="0" w:after="0" w:afterAutospacing="0"/>
              <w:jc w:val="center"/>
              <w:rPr>
                <w:rFonts w:hint="eastAsia" w:cs="宋体"/>
                <w:color w:val="auto"/>
                <w:kern w:val="2"/>
                <w:sz w:val="21"/>
                <w:szCs w:val="21"/>
                <w:highlight w:val="none"/>
                <w:lang w:val="en-US" w:eastAsia="zh-CN"/>
              </w:rPr>
            </w:pPr>
            <w:r>
              <w:rPr>
                <w:rFonts w:hint="eastAsia" w:cs="宋体"/>
                <w:color w:val="auto"/>
                <w:kern w:val="2"/>
                <w:sz w:val="21"/>
                <w:szCs w:val="21"/>
                <w:highlight w:val="none"/>
                <w:lang w:val="en-US" w:eastAsia="zh-CN"/>
              </w:rPr>
              <w:t>护措</w:t>
            </w:r>
          </w:p>
          <w:p w14:paraId="1C699AC8">
            <w:pPr>
              <w:pStyle w:val="25"/>
              <w:adjustRightInd w:val="0"/>
              <w:snapToGrid w:val="0"/>
              <w:spacing w:before="0" w:beforeAutospacing="0" w:after="0" w:afterAutospacing="0"/>
              <w:jc w:val="center"/>
              <w:rPr>
                <w:rFonts w:hint="eastAsia" w:cs="宋体"/>
                <w:bCs/>
                <w:color w:val="auto"/>
                <w:kern w:val="2"/>
                <w:sz w:val="21"/>
                <w:szCs w:val="21"/>
                <w:highlight w:val="none"/>
                <w:lang w:val="en-US" w:eastAsia="zh-CN"/>
              </w:rPr>
            </w:pPr>
            <w:r>
              <w:rPr>
                <w:rFonts w:hint="eastAsia" w:cs="宋体"/>
                <w:color w:val="auto"/>
                <w:kern w:val="2"/>
                <w:sz w:val="21"/>
                <w:szCs w:val="21"/>
                <w:highlight w:val="none"/>
                <w:lang w:val="en-US" w:eastAsia="zh-CN"/>
              </w:rPr>
              <w:t>施</w:t>
            </w:r>
          </w:p>
        </w:tc>
        <w:tc>
          <w:tcPr>
            <w:tcW w:w="8162" w:type="dxa"/>
            <w:noWrap w:val="0"/>
            <w:vAlign w:val="center"/>
          </w:tcPr>
          <w:p w14:paraId="4951044D">
            <w:pPr>
              <w:keepNext w:val="0"/>
              <w:keepLines w:val="0"/>
              <w:pageBreakBefore w:val="0"/>
              <w:kinsoku/>
              <w:wordWrap/>
              <w:overflowPunct/>
              <w:topLinePunct w:val="0"/>
              <w:bidi w:val="0"/>
              <w:adjustRightInd w:val="0"/>
              <w:snapToGrid w:val="0"/>
              <w:spacing w:line="460" w:lineRule="exact"/>
              <w:ind w:firstLine="480" w:firstLineChars="200"/>
              <w:textAlignment w:val="auto"/>
              <w:rPr>
                <w:rFonts w:hint="eastAsia" w:ascii="宋体" w:hAnsi="宋体" w:cs="宋体"/>
                <w:bCs/>
                <w:color w:val="auto"/>
                <w:sz w:val="24"/>
                <w:szCs w:val="24"/>
                <w:highlight w:val="none"/>
              </w:rPr>
            </w:pPr>
            <w:r>
              <w:rPr>
                <w:rFonts w:hint="eastAsia" w:ascii="宋体" w:hAnsi="宋体" w:cs="宋体"/>
                <w:bCs/>
                <w:color w:val="auto"/>
                <w:sz w:val="24"/>
                <w:szCs w:val="24"/>
                <w:highlight w:val="none"/>
              </w:rPr>
              <w:t>本项目为</w:t>
            </w:r>
            <w:r>
              <w:rPr>
                <w:rFonts w:hint="eastAsia" w:ascii="宋体" w:hAnsi="宋体" w:cs="宋体"/>
                <w:bCs/>
                <w:color w:val="auto"/>
                <w:sz w:val="24"/>
                <w:szCs w:val="24"/>
                <w:highlight w:val="none"/>
                <w:lang w:eastAsia="zh-CN"/>
              </w:rPr>
              <w:t>新建</w:t>
            </w:r>
            <w:r>
              <w:rPr>
                <w:rFonts w:hint="eastAsia" w:ascii="宋体" w:hAnsi="宋体" w:cs="宋体"/>
                <w:bCs/>
                <w:color w:val="auto"/>
                <w:sz w:val="24"/>
                <w:szCs w:val="24"/>
                <w:highlight w:val="none"/>
              </w:rPr>
              <w:t>项目，根据现场踏勘，</w:t>
            </w:r>
            <w:r>
              <w:rPr>
                <w:rFonts w:hint="eastAsia"/>
                <w:color w:val="auto"/>
                <w:sz w:val="24"/>
                <w:szCs w:val="24"/>
                <w:highlight w:val="none"/>
              </w:rPr>
              <w:t>本项目</w:t>
            </w:r>
            <w:r>
              <w:rPr>
                <w:rFonts w:hint="eastAsia"/>
                <w:color w:val="auto"/>
                <w:sz w:val="24"/>
                <w:szCs w:val="24"/>
                <w:highlight w:val="none"/>
                <w:lang w:eastAsia="zh-CN"/>
              </w:rPr>
              <w:t>已</w:t>
            </w:r>
            <w:r>
              <w:rPr>
                <w:rFonts w:hint="eastAsia"/>
                <w:color w:val="auto"/>
                <w:sz w:val="24"/>
                <w:szCs w:val="24"/>
                <w:highlight w:val="none"/>
              </w:rPr>
              <w:t>开工建设，</w:t>
            </w:r>
            <w:r>
              <w:rPr>
                <w:rFonts w:hint="eastAsia"/>
                <w:color w:val="auto"/>
                <w:sz w:val="24"/>
                <w:szCs w:val="24"/>
                <w:highlight w:val="none"/>
                <w:lang w:eastAsia="zh-CN"/>
              </w:rPr>
              <w:t>现场踏勘时</w:t>
            </w:r>
            <w:r>
              <w:rPr>
                <w:rFonts w:hint="eastAsia"/>
                <w:color w:val="auto"/>
                <w:sz w:val="24"/>
                <w:szCs w:val="24"/>
                <w:highlight w:val="none"/>
                <w:lang w:val="en-US" w:eastAsia="zh-CN"/>
              </w:rPr>
              <w:t>区域土地已平整，</w:t>
            </w:r>
            <w:r>
              <w:rPr>
                <w:rFonts w:hint="eastAsia"/>
                <w:color w:val="auto"/>
                <w:sz w:val="24"/>
                <w:szCs w:val="24"/>
                <w:highlight w:val="none"/>
                <w:lang w:eastAsia="zh-CN"/>
              </w:rPr>
              <w:t>项目</w:t>
            </w:r>
            <w:r>
              <w:rPr>
                <w:rFonts w:hint="eastAsia"/>
                <w:color w:val="auto"/>
                <w:sz w:val="24"/>
                <w:szCs w:val="24"/>
                <w:highlight w:val="none"/>
                <w:lang w:val="en-US" w:eastAsia="zh-CN"/>
              </w:rPr>
              <w:t>1#厂房、2#厂房及3#综合楼主体已建成，其他区域目前正在建设中</w:t>
            </w:r>
            <w:r>
              <w:rPr>
                <w:rFonts w:hint="eastAsia" w:ascii="宋体" w:hAnsi="宋体" w:cs="宋体"/>
                <w:bCs/>
                <w:color w:val="auto"/>
                <w:sz w:val="24"/>
                <w:szCs w:val="24"/>
                <w:highlight w:val="none"/>
              </w:rPr>
              <w:t>。</w:t>
            </w:r>
          </w:p>
          <w:p w14:paraId="58B9A71F">
            <w:pPr>
              <w:keepNext w:val="0"/>
              <w:keepLines w:val="0"/>
              <w:pageBreakBefore w:val="0"/>
              <w:kinsoku/>
              <w:wordWrap/>
              <w:overflowPunct/>
              <w:topLinePunct w:val="0"/>
              <w:bidi w:val="0"/>
              <w:spacing w:line="460" w:lineRule="exact"/>
              <w:ind w:firstLine="482" w:firstLineChars="200"/>
              <w:textAlignment w:val="auto"/>
              <w:rPr>
                <w:rFonts w:hint="eastAsia"/>
                <w:b/>
                <w:bCs/>
                <w:color w:val="auto"/>
                <w:sz w:val="24"/>
                <w:szCs w:val="24"/>
                <w:highlight w:val="none"/>
                <w:lang w:bidi="ar"/>
              </w:rPr>
            </w:pPr>
            <w:r>
              <w:rPr>
                <w:rFonts w:hint="eastAsia"/>
                <w:b/>
                <w:bCs/>
                <w:color w:val="auto"/>
                <w:sz w:val="24"/>
                <w:szCs w:val="24"/>
                <w:highlight w:val="none"/>
                <w:lang w:bidi="ar"/>
              </w:rPr>
              <w:t>一、废气环境保护措施</w:t>
            </w:r>
          </w:p>
          <w:p w14:paraId="58730022">
            <w:pPr>
              <w:keepNext w:val="0"/>
              <w:keepLines w:val="0"/>
              <w:pageBreakBefore w:val="0"/>
              <w:kinsoku/>
              <w:wordWrap/>
              <w:overflowPunct/>
              <w:topLinePunct w:val="0"/>
              <w:bidi w:val="0"/>
              <w:spacing w:line="460" w:lineRule="exact"/>
              <w:ind w:firstLine="480" w:firstLineChars="200"/>
              <w:textAlignment w:val="auto"/>
              <w:rPr>
                <w:color w:val="auto"/>
                <w:sz w:val="24"/>
                <w:szCs w:val="24"/>
                <w:highlight w:val="none"/>
              </w:rPr>
            </w:pPr>
            <w:r>
              <w:rPr>
                <w:color w:val="auto"/>
                <w:sz w:val="24"/>
                <w:szCs w:val="24"/>
                <w:highlight w:val="none"/>
                <w:lang w:bidi="ar"/>
              </w:rPr>
              <w:t>施工期废气主要为施工</w:t>
            </w:r>
            <w:r>
              <w:rPr>
                <w:rFonts w:hint="eastAsia"/>
                <w:color w:val="auto"/>
                <w:sz w:val="24"/>
                <w:szCs w:val="24"/>
                <w:highlight w:val="none"/>
                <w:lang w:bidi="ar"/>
              </w:rPr>
              <w:t>扬尘</w:t>
            </w:r>
            <w:r>
              <w:rPr>
                <w:color w:val="auto"/>
                <w:sz w:val="24"/>
                <w:szCs w:val="24"/>
                <w:highlight w:val="none"/>
                <w:lang w:bidi="ar"/>
              </w:rPr>
              <w:t>、道路扬尘、运输车辆尾气等。</w:t>
            </w:r>
          </w:p>
          <w:p w14:paraId="1826FAA6">
            <w:pPr>
              <w:keepNext w:val="0"/>
              <w:keepLines w:val="0"/>
              <w:pageBreakBefore w:val="0"/>
              <w:kinsoku/>
              <w:wordWrap/>
              <w:overflowPunct/>
              <w:topLinePunct w:val="0"/>
              <w:bidi w:val="0"/>
              <w:spacing w:line="460" w:lineRule="exact"/>
              <w:ind w:firstLine="480" w:firstLineChars="200"/>
              <w:textAlignment w:val="auto"/>
              <w:rPr>
                <w:bCs/>
                <w:color w:val="auto"/>
                <w:sz w:val="24"/>
                <w:szCs w:val="24"/>
                <w:highlight w:val="none"/>
              </w:rPr>
            </w:pPr>
            <w:r>
              <w:rPr>
                <w:bCs/>
                <w:color w:val="auto"/>
                <w:sz w:val="24"/>
                <w:szCs w:val="24"/>
                <w:highlight w:val="none"/>
                <w:lang w:bidi="ar"/>
              </w:rPr>
              <w:t>1、扬尘</w:t>
            </w:r>
          </w:p>
          <w:p w14:paraId="3365DEB9">
            <w:pPr>
              <w:keepNext w:val="0"/>
              <w:keepLines w:val="0"/>
              <w:pageBreakBefore w:val="0"/>
              <w:kinsoku/>
              <w:wordWrap/>
              <w:overflowPunct/>
              <w:topLinePunct w:val="0"/>
              <w:bidi w:val="0"/>
              <w:spacing w:line="460" w:lineRule="exact"/>
              <w:ind w:firstLine="480" w:firstLineChars="200"/>
              <w:textAlignment w:val="auto"/>
              <w:rPr>
                <w:color w:val="auto"/>
                <w:sz w:val="24"/>
                <w:szCs w:val="24"/>
                <w:highlight w:val="none"/>
              </w:rPr>
            </w:pPr>
            <w:r>
              <w:rPr>
                <w:color w:val="auto"/>
                <w:sz w:val="24"/>
                <w:szCs w:val="24"/>
                <w:highlight w:val="none"/>
              </w:rPr>
              <w:t>评价要求项目施工期间应严格执行《陕西省大气污染防治条例（2019年修正版）</w:t>
            </w:r>
            <w:r>
              <w:rPr>
                <w:rFonts w:hint="eastAsia"/>
                <w:color w:val="auto"/>
                <w:sz w:val="24"/>
                <w:szCs w:val="24"/>
                <w:highlight w:val="none"/>
                <w:lang w:eastAsia="zh-CN"/>
              </w:rPr>
              <w:t>》《</w:t>
            </w:r>
            <w:r>
              <w:rPr>
                <w:color w:val="auto"/>
                <w:kern w:val="0"/>
                <w:sz w:val="24"/>
                <w:szCs w:val="24"/>
                <w:highlight w:val="none"/>
              </w:rPr>
              <w:t>汉中市大气污染防治条例》（2020.6.11</w:t>
            </w:r>
            <w:r>
              <w:rPr>
                <w:rFonts w:hint="eastAsia"/>
                <w:color w:val="auto"/>
                <w:kern w:val="0"/>
                <w:sz w:val="24"/>
                <w:szCs w:val="24"/>
                <w:highlight w:val="none"/>
                <w:lang w:eastAsia="zh-CN"/>
              </w:rPr>
              <w:t>）和</w:t>
            </w:r>
            <w:r>
              <w:rPr>
                <w:rFonts w:hint="eastAsia"/>
                <w:color w:val="auto"/>
                <w:kern w:val="0"/>
                <w:sz w:val="24"/>
                <w:szCs w:val="24"/>
                <w:highlight w:val="none"/>
              </w:rPr>
              <w:t>《汉中市大气污染治理专项行动方案（2023—2027年）》</w:t>
            </w:r>
            <w:r>
              <w:rPr>
                <w:color w:val="auto"/>
                <w:sz w:val="24"/>
                <w:szCs w:val="24"/>
                <w:highlight w:val="none"/>
              </w:rPr>
              <w:t>中的相关要求，具体如下：</w:t>
            </w:r>
          </w:p>
          <w:p w14:paraId="6CEB5EE6">
            <w:pPr>
              <w:keepNext w:val="0"/>
              <w:keepLines w:val="0"/>
              <w:pageBreakBefore w:val="0"/>
              <w:kinsoku/>
              <w:wordWrap/>
              <w:overflowPunct/>
              <w:topLinePunct w:val="0"/>
              <w:bidi w:val="0"/>
              <w:spacing w:line="460" w:lineRule="exact"/>
              <w:ind w:firstLine="480" w:firstLineChars="200"/>
              <w:textAlignment w:val="auto"/>
              <w:rPr>
                <w:color w:val="auto"/>
                <w:sz w:val="24"/>
                <w:szCs w:val="24"/>
                <w:highlight w:val="none"/>
              </w:rPr>
            </w:pPr>
            <w:r>
              <w:rPr>
                <w:rFonts w:hint="eastAsia"/>
                <w:bCs/>
                <w:color w:val="auto"/>
                <w:sz w:val="24"/>
                <w:szCs w:val="24"/>
                <w:highlight w:val="none"/>
                <w:lang w:val="en-US" w:eastAsia="zh-CN" w:bidi="ar"/>
              </w:rPr>
              <w:t>a</w:t>
            </w:r>
            <w:r>
              <w:rPr>
                <w:bCs/>
                <w:color w:val="auto"/>
                <w:sz w:val="24"/>
                <w:szCs w:val="24"/>
                <w:highlight w:val="none"/>
                <w:lang w:bidi="ar"/>
              </w:rPr>
              <w:t>、</w:t>
            </w:r>
            <w:r>
              <w:rPr>
                <w:color w:val="auto"/>
                <w:sz w:val="24"/>
                <w:szCs w:val="24"/>
                <w:highlight w:val="none"/>
              </w:rPr>
              <w:t>施工工地湿法作业、场地覆盖，必须建立洒水清扫制度或雾化降尘措施，并由专人负责；施工工地内堆放产生扬尘污染物料和建筑垃圾、工程渣土，必须采取封闭储存或严格的防风抑尘措施</w:t>
            </w:r>
            <w:r>
              <w:rPr>
                <w:rFonts w:hint="eastAsia"/>
                <w:color w:val="auto"/>
                <w:sz w:val="24"/>
                <w:szCs w:val="24"/>
                <w:highlight w:val="none"/>
              </w:rPr>
              <w:t>，</w:t>
            </w:r>
            <w:r>
              <w:rPr>
                <w:color w:val="auto"/>
                <w:sz w:val="24"/>
                <w:szCs w:val="24"/>
                <w:highlight w:val="none"/>
              </w:rPr>
              <w:t>严禁裸露；</w:t>
            </w:r>
          </w:p>
          <w:p w14:paraId="53C2E5A7">
            <w:pPr>
              <w:keepNext w:val="0"/>
              <w:keepLines w:val="0"/>
              <w:pageBreakBefore w:val="0"/>
              <w:kinsoku/>
              <w:wordWrap/>
              <w:overflowPunct/>
              <w:topLinePunct w:val="0"/>
              <w:bidi w:val="0"/>
              <w:spacing w:line="460" w:lineRule="exact"/>
              <w:ind w:firstLine="480" w:firstLineChars="200"/>
              <w:textAlignment w:val="auto"/>
              <w:rPr>
                <w:color w:val="auto"/>
                <w:sz w:val="24"/>
                <w:szCs w:val="24"/>
                <w:highlight w:val="none"/>
              </w:rPr>
            </w:pPr>
            <w:r>
              <w:rPr>
                <w:rFonts w:hint="eastAsia"/>
                <w:color w:val="auto"/>
                <w:sz w:val="24"/>
                <w:szCs w:val="24"/>
                <w:highlight w:val="none"/>
                <w:lang w:eastAsia="zh-CN"/>
              </w:rPr>
              <w:t>b.</w:t>
            </w:r>
            <w:r>
              <w:rPr>
                <w:rFonts w:hint="eastAsia"/>
                <w:color w:val="auto"/>
                <w:sz w:val="24"/>
                <w:szCs w:val="24"/>
                <w:highlight w:val="none"/>
              </w:rPr>
              <w:t>要严格执行关于建筑施工扬尘污染的相关规定，执行“6个100%”：确保施工现场100%围蔽，工地砂土100%覆盖，工地路面100%硬地化，拆除工程100%洒水压尘，出工地车辆100%冲净车轮车身，暂不开发的场地100%绿化。以最大程度</w:t>
            </w:r>
            <w:r>
              <w:rPr>
                <w:rFonts w:hint="eastAsia"/>
                <w:color w:val="auto"/>
                <w:sz w:val="24"/>
                <w:szCs w:val="24"/>
                <w:highlight w:val="none"/>
                <w:lang w:eastAsia="zh-CN"/>
              </w:rPr>
              <w:t>地</w:t>
            </w:r>
            <w:r>
              <w:rPr>
                <w:rFonts w:hint="eastAsia"/>
                <w:color w:val="auto"/>
                <w:sz w:val="24"/>
                <w:szCs w:val="24"/>
                <w:highlight w:val="none"/>
              </w:rPr>
              <w:t>降低扬尘对周围环境的影响</w:t>
            </w:r>
            <w:r>
              <w:rPr>
                <w:color w:val="auto"/>
                <w:sz w:val="24"/>
                <w:szCs w:val="24"/>
                <w:highlight w:val="none"/>
              </w:rPr>
              <w:t>；</w:t>
            </w:r>
          </w:p>
          <w:p w14:paraId="37593586">
            <w:pPr>
              <w:keepNext w:val="0"/>
              <w:keepLines w:val="0"/>
              <w:pageBreakBefore w:val="0"/>
              <w:kinsoku/>
              <w:wordWrap/>
              <w:overflowPunct/>
              <w:topLinePunct w:val="0"/>
              <w:bidi w:val="0"/>
              <w:spacing w:line="460" w:lineRule="exact"/>
              <w:ind w:firstLine="480" w:firstLineChars="200"/>
              <w:textAlignment w:val="auto"/>
              <w:rPr>
                <w:color w:val="auto"/>
                <w:sz w:val="24"/>
                <w:szCs w:val="24"/>
                <w:highlight w:val="none"/>
              </w:rPr>
            </w:pPr>
            <w:r>
              <w:rPr>
                <w:rFonts w:hint="eastAsia"/>
                <w:color w:val="auto"/>
                <w:sz w:val="24"/>
                <w:szCs w:val="24"/>
                <w:highlight w:val="none"/>
                <w:lang w:eastAsia="zh-CN"/>
              </w:rPr>
              <w:t>c.</w:t>
            </w:r>
            <w:r>
              <w:rPr>
                <w:color w:val="auto"/>
                <w:sz w:val="24"/>
                <w:szCs w:val="24"/>
                <w:highlight w:val="none"/>
              </w:rPr>
              <w:t>建筑工地施工现场主要道路进行</w:t>
            </w:r>
            <w:r>
              <w:rPr>
                <w:rFonts w:hint="eastAsia"/>
                <w:color w:val="auto"/>
                <w:sz w:val="24"/>
                <w:szCs w:val="24"/>
                <w:highlight w:val="none"/>
                <w:lang w:eastAsia="zh-CN"/>
              </w:rPr>
              <w:t>压实</w:t>
            </w:r>
            <w:r>
              <w:rPr>
                <w:color w:val="auto"/>
                <w:sz w:val="24"/>
                <w:szCs w:val="24"/>
                <w:highlight w:val="none"/>
              </w:rPr>
              <w:t>，</w:t>
            </w:r>
            <w:r>
              <w:rPr>
                <w:rFonts w:hint="eastAsia"/>
                <w:color w:val="auto"/>
                <w:sz w:val="24"/>
                <w:szCs w:val="24"/>
                <w:highlight w:val="none"/>
                <w:lang w:eastAsia="zh-CN"/>
              </w:rPr>
              <w:t>定期进行洒水</w:t>
            </w:r>
            <w:r>
              <w:rPr>
                <w:color w:val="auto"/>
                <w:sz w:val="24"/>
                <w:szCs w:val="24"/>
                <w:highlight w:val="none"/>
              </w:rPr>
              <w:t>；</w:t>
            </w:r>
          </w:p>
          <w:p w14:paraId="6CEE5737">
            <w:pPr>
              <w:keepNext w:val="0"/>
              <w:keepLines w:val="0"/>
              <w:pageBreakBefore w:val="0"/>
              <w:kinsoku/>
              <w:wordWrap/>
              <w:overflowPunct/>
              <w:topLinePunct w:val="0"/>
              <w:bidi w:val="0"/>
              <w:spacing w:line="460" w:lineRule="exact"/>
              <w:ind w:firstLine="480" w:firstLineChars="200"/>
              <w:textAlignment w:val="auto"/>
              <w:rPr>
                <w:color w:val="auto"/>
                <w:sz w:val="24"/>
                <w:szCs w:val="24"/>
                <w:highlight w:val="none"/>
              </w:rPr>
            </w:pPr>
            <w:r>
              <w:rPr>
                <w:rFonts w:hint="eastAsia"/>
                <w:color w:val="auto"/>
                <w:sz w:val="24"/>
                <w:szCs w:val="24"/>
                <w:highlight w:val="none"/>
                <w:lang w:eastAsia="zh-CN"/>
              </w:rPr>
              <w:t>d.项目施工混凝土全部采用商砼；施工期</w:t>
            </w:r>
            <w:r>
              <w:rPr>
                <w:color w:val="auto"/>
                <w:sz w:val="24"/>
                <w:szCs w:val="24"/>
                <w:highlight w:val="none"/>
              </w:rPr>
              <w:t>减少露天装卸作业，易产生扬尘物料采取密闭运输，严查渣土车沿途</w:t>
            </w:r>
            <w:r>
              <w:rPr>
                <w:rFonts w:hint="eastAsia"/>
                <w:color w:val="auto"/>
                <w:sz w:val="24"/>
                <w:szCs w:val="24"/>
                <w:highlight w:val="none"/>
                <w:lang w:eastAsia="zh-CN"/>
              </w:rPr>
              <w:t>抛撒</w:t>
            </w:r>
            <w:r>
              <w:rPr>
                <w:color w:val="auto"/>
                <w:sz w:val="24"/>
                <w:szCs w:val="24"/>
                <w:highlight w:val="none"/>
              </w:rPr>
              <w:t>；</w:t>
            </w:r>
          </w:p>
          <w:p w14:paraId="2AFF2C78">
            <w:pPr>
              <w:pStyle w:val="44"/>
              <w:keepNext w:val="0"/>
              <w:keepLines w:val="0"/>
              <w:pageBreakBefore w:val="0"/>
              <w:kinsoku/>
              <w:wordWrap/>
              <w:overflowPunct/>
              <w:topLinePunct w:val="0"/>
              <w:bidi w:val="0"/>
              <w:spacing w:line="460" w:lineRule="exact"/>
              <w:ind w:firstLine="480" w:firstLineChars="200"/>
              <w:textAlignment w:val="auto"/>
              <w:rPr>
                <w:rFonts w:hint="default" w:ascii="Times New Roman"/>
                <w:color w:val="auto"/>
                <w:sz w:val="24"/>
                <w:szCs w:val="24"/>
                <w:highlight w:val="none"/>
              </w:rPr>
            </w:pPr>
            <w:r>
              <w:rPr>
                <w:rFonts w:hint="eastAsia" w:ascii="Times New Roman"/>
                <w:color w:val="auto"/>
                <w:sz w:val="24"/>
                <w:szCs w:val="24"/>
                <w:highlight w:val="none"/>
                <w:lang w:eastAsia="zh-CN"/>
              </w:rPr>
              <w:t>e.</w:t>
            </w:r>
            <w:r>
              <w:rPr>
                <w:rFonts w:ascii="Times New Roman"/>
                <w:color w:val="auto"/>
                <w:sz w:val="24"/>
                <w:szCs w:val="24"/>
                <w:highlight w:val="none"/>
              </w:rPr>
              <w:t>修建洗车平台，对进出车辆进行冲洗。</w:t>
            </w:r>
          </w:p>
          <w:p w14:paraId="5400E78E">
            <w:pPr>
              <w:keepNext w:val="0"/>
              <w:keepLines w:val="0"/>
              <w:pageBreakBefore w:val="0"/>
              <w:widowControl/>
              <w:kinsoku/>
              <w:wordWrap/>
              <w:overflowPunct/>
              <w:topLinePunct w:val="0"/>
              <w:bidi w:val="0"/>
              <w:spacing w:line="460" w:lineRule="exact"/>
              <w:ind w:firstLine="480" w:firstLineChars="200"/>
              <w:textAlignment w:val="auto"/>
              <w:rPr>
                <w:bCs/>
                <w:color w:val="auto"/>
                <w:kern w:val="0"/>
                <w:sz w:val="24"/>
                <w:szCs w:val="24"/>
                <w:highlight w:val="none"/>
                <w:lang w:bidi="ar"/>
              </w:rPr>
            </w:pPr>
            <w:r>
              <w:rPr>
                <w:bCs/>
                <w:color w:val="auto"/>
                <w:kern w:val="0"/>
                <w:sz w:val="24"/>
                <w:szCs w:val="24"/>
                <w:highlight w:val="none"/>
                <w:lang w:bidi="ar"/>
              </w:rPr>
              <w:t>2、施工机械、车辆尾气</w:t>
            </w:r>
          </w:p>
          <w:p w14:paraId="6AB68105">
            <w:pPr>
              <w:keepNext w:val="0"/>
              <w:keepLines w:val="0"/>
              <w:pageBreakBefore w:val="0"/>
              <w:widowControl/>
              <w:kinsoku/>
              <w:wordWrap/>
              <w:overflowPunct/>
              <w:topLinePunct w:val="0"/>
              <w:bidi w:val="0"/>
              <w:spacing w:line="460" w:lineRule="exact"/>
              <w:ind w:firstLine="480" w:firstLineChars="200"/>
              <w:textAlignment w:val="auto"/>
              <w:rPr>
                <w:color w:val="auto"/>
                <w:kern w:val="0"/>
                <w:sz w:val="24"/>
                <w:szCs w:val="24"/>
                <w:highlight w:val="none"/>
                <w:lang w:bidi="ar"/>
              </w:rPr>
            </w:pPr>
            <w:r>
              <w:rPr>
                <w:rFonts w:hint="eastAsia"/>
                <w:color w:val="auto"/>
                <w:kern w:val="0"/>
                <w:sz w:val="24"/>
                <w:szCs w:val="24"/>
                <w:highlight w:val="none"/>
                <w:lang w:val="en-US" w:eastAsia="zh-CN" w:bidi="ar"/>
              </w:rPr>
              <w:t>a.</w:t>
            </w:r>
            <w:r>
              <w:rPr>
                <w:color w:val="auto"/>
                <w:kern w:val="0"/>
                <w:sz w:val="24"/>
                <w:szCs w:val="24"/>
                <w:highlight w:val="none"/>
                <w:lang w:bidi="ar"/>
              </w:rPr>
              <w:t>运输车辆禁止超载，不得使用劣质燃料；</w:t>
            </w:r>
          </w:p>
          <w:p w14:paraId="1E6DD16C">
            <w:pPr>
              <w:keepNext w:val="0"/>
              <w:keepLines w:val="0"/>
              <w:pageBreakBefore w:val="0"/>
              <w:widowControl/>
              <w:kinsoku/>
              <w:wordWrap/>
              <w:overflowPunct/>
              <w:topLinePunct w:val="0"/>
              <w:bidi w:val="0"/>
              <w:spacing w:line="460" w:lineRule="exact"/>
              <w:ind w:firstLine="480" w:firstLineChars="200"/>
              <w:textAlignment w:val="auto"/>
              <w:rPr>
                <w:color w:val="auto"/>
                <w:kern w:val="0"/>
                <w:sz w:val="24"/>
                <w:szCs w:val="24"/>
                <w:highlight w:val="none"/>
                <w:lang w:bidi="ar"/>
              </w:rPr>
            </w:pPr>
            <w:r>
              <w:rPr>
                <w:rFonts w:hint="eastAsia"/>
                <w:bCs/>
                <w:color w:val="auto"/>
                <w:kern w:val="0"/>
                <w:sz w:val="24"/>
                <w:szCs w:val="24"/>
                <w:highlight w:val="none"/>
                <w:lang w:eastAsia="zh-CN" w:bidi="ar"/>
              </w:rPr>
              <w:t>b.</w:t>
            </w:r>
            <w:r>
              <w:rPr>
                <w:color w:val="auto"/>
                <w:kern w:val="0"/>
                <w:sz w:val="24"/>
                <w:szCs w:val="24"/>
                <w:highlight w:val="none"/>
                <w:lang w:bidi="ar"/>
              </w:rPr>
              <w:t>对车辆的尾气排放应进行监督管理，严格执行汽车排污监管办法相关规定。</w:t>
            </w:r>
          </w:p>
          <w:p w14:paraId="5657F2B9">
            <w:pPr>
              <w:keepNext w:val="0"/>
              <w:keepLines w:val="0"/>
              <w:pageBreakBefore w:val="0"/>
              <w:widowControl/>
              <w:kinsoku/>
              <w:wordWrap/>
              <w:overflowPunct/>
              <w:topLinePunct w:val="0"/>
              <w:bidi w:val="0"/>
              <w:spacing w:line="460" w:lineRule="exact"/>
              <w:ind w:firstLine="480" w:firstLineChars="200"/>
              <w:textAlignment w:val="auto"/>
              <w:rPr>
                <w:color w:val="auto"/>
                <w:sz w:val="24"/>
                <w:szCs w:val="24"/>
                <w:highlight w:val="none"/>
              </w:rPr>
            </w:pPr>
            <w:r>
              <w:rPr>
                <w:color w:val="auto"/>
                <w:kern w:val="0"/>
                <w:sz w:val="24"/>
                <w:szCs w:val="24"/>
                <w:highlight w:val="none"/>
                <w:lang w:bidi="ar"/>
              </w:rPr>
              <w:t>采取以上防护措施后，可减轻工程建设对施工区域环境空气质量的影响。</w:t>
            </w:r>
          </w:p>
          <w:p w14:paraId="498FAC4E">
            <w:pPr>
              <w:keepNext w:val="0"/>
              <w:keepLines w:val="0"/>
              <w:pageBreakBefore w:val="0"/>
              <w:kinsoku/>
              <w:wordWrap/>
              <w:overflowPunct/>
              <w:topLinePunct w:val="0"/>
              <w:bidi w:val="0"/>
              <w:adjustRightInd w:val="0"/>
              <w:snapToGrid w:val="0"/>
              <w:spacing w:line="460" w:lineRule="exact"/>
              <w:ind w:firstLine="482" w:firstLineChars="200"/>
              <w:textAlignment w:val="auto"/>
              <w:rPr>
                <w:rFonts w:hint="eastAsia"/>
                <w:b/>
                <w:bCs/>
                <w:color w:val="auto"/>
                <w:sz w:val="24"/>
                <w:szCs w:val="24"/>
                <w:highlight w:val="none"/>
              </w:rPr>
            </w:pPr>
            <w:r>
              <w:rPr>
                <w:rFonts w:hint="eastAsia"/>
                <w:b/>
                <w:bCs/>
                <w:color w:val="auto"/>
                <w:sz w:val="24"/>
                <w:szCs w:val="24"/>
                <w:highlight w:val="none"/>
              </w:rPr>
              <w:t>二</w:t>
            </w:r>
            <w:r>
              <w:rPr>
                <w:b/>
                <w:bCs/>
                <w:color w:val="auto"/>
                <w:sz w:val="24"/>
                <w:szCs w:val="24"/>
                <w:highlight w:val="none"/>
              </w:rPr>
              <w:t>、</w:t>
            </w:r>
            <w:r>
              <w:rPr>
                <w:rFonts w:hint="eastAsia"/>
                <w:b/>
                <w:bCs/>
                <w:color w:val="auto"/>
                <w:sz w:val="24"/>
                <w:szCs w:val="24"/>
                <w:highlight w:val="none"/>
              </w:rPr>
              <w:t>废水</w:t>
            </w:r>
            <w:r>
              <w:rPr>
                <w:b/>
                <w:bCs/>
                <w:color w:val="auto"/>
                <w:sz w:val="24"/>
                <w:szCs w:val="24"/>
                <w:highlight w:val="none"/>
              </w:rPr>
              <w:t>环境保护措施</w:t>
            </w:r>
          </w:p>
          <w:p w14:paraId="70FDB311">
            <w:pPr>
              <w:keepNext w:val="0"/>
              <w:keepLines w:val="0"/>
              <w:pageBreakBefore w:val="0"/>
              <w:widowControl/>
              <w:kinsoku/>
              <w:wordWrap/>
              <w:overflowPunct/>
              <w:topLinePunct w:val="0"/>
              <w:bidi w:val="0"/>
              <w:spacing w:line="460" w:lineRule="exact"/>
              <w:ind w:firstLine="480" w:firstLineChars="200"/>
              <w:textAlignment w:val="auto"/>
              <w:rPr>
                <w:color w:val="auto"/>
                <w:kern w:val="0"/>
                <w:sz w:val="24"/>
                <w:szCs w:val="24"/>
                <w:highlight w:val="none"/>
                <w:lang w:bidi="ar"/>
              </w:rPr>
            </w:pPr>
            <w:r>
              <w:rPr>
                <w:color w:val="auto"/>
                <w:kern w:val="0"/>
                <w:sz w:val="24"/>
                <w:szCs w:val="24"/>
                <w:highlight w:val="none"/>
                <w:lang w:bidi="ar"/>
              </w:rPr>
              <w:t>建设项目施工期废水为施工生产废水和施工人员生活污水。</w:t>
            </w:r>
          </w:p>
          <w:p w14:paraId="69699369">
            <w:pPr>
              <w:keepNext w:val="0"/>
              <w:keepLines w:val="0"/>
              <w:pageBreakBefore w:val="0"/>
              <w:widowControl/>
              <w:kinsoku/>
              <w:wordWrap/>
              <w:overflowPunct/>
              <w:topLinePunct w:val="0"/>
              <w:bidi w:val="0"/>
              <w:spacing w:line="460" w:lineRule="exact"/>
              <w:ind w:firstLine="480" w:firstLineChars="200"/>
              <w:textAlignment w:val="auto"/>
              <w:rPr>
                <w:bCs/>
                <w:color w:val="auto"/>
                <w:kern w:val="0"/>
                <w:sz w:val="24"/>
                <w:szCs w:val="24"/>
                <w:highlight w:val="none"/>
                <w:lang w:bidi="ar"/>
              </w:rPr>
            </w:pPr>
            <w:r>
              <w:rPr>
                <w:bCs/>
                <w:color w:val="auto"/>
                <w:kern w:val="0"/>
                <w:sz w:val="24"/>
                <w:szCs w:val="24"/>
                <w:highlight w:val="none"/>
                <w:lang w:bidi="ar"/>
              </w:rPr>
              <w:t>1、生产废水</w:t>
            </w:r>
          </w:p>
          <w:p w14:paraId="3F4E5FFB">
            <w:pPr>
              <w:keepNext w:val="0"/>
              <w:keepLines w:val="0"/>
              <w:pageBreakBefore w:val="0"/>
              <w:widowControl/>
              <w:kinsoku/>
              <w:wordWrap/>
              <w:overflowPunct/>
              <w:topLinePunct w:val="0"/>
              <w:bidi w:val="0"/>
              <w:spacing w:line="460" w:lineRule="exact"/>
              <w:ind w:firstLine="480" w:firstLineChars="200"/>
              <w:textAlignment w:val="auto"/>
              <w:rPr>
                <w:bCs/>
                <w:color w:val="auto"/>
                <w:kern w:val="0"/>
                <w:sz w:val="24"/>
                <w:szCs w:val="24"/>
                <w:highlight w:val="none"/>
                <w:lang w:bidi="ar"/>
              </w:rPr>
            </w:pPr>
            <w:r>
              <w:rPr>
                <w:bCs/>
                <w:color w:val="auto"/>
                <w:kern w:val="0"/>
                <w:sz w:val="24"/>
                <w:szCs w:val="24"/>
                <w:highlight w:val="none"/>
                <w:lang w:bidi="ar"/>
              </w:rPr>
              <w:t>运输车辆和机械的洗刷产生一部分洗刷废水，其主要污染物是SS。对于施工废水</w:t>
            </w:r>
            <w:r>
              <w:rPr>
                <w:rFonts w:hint="eastAsia"/>
                <w:bCs/>
                <w:color w:val="auto"/>
                <w:kern w:val="0"/>
                <w:sz w:val="24"/>
                <w:szCs w:val="24"/>
                <w:highlight w:val="none"/>
                <w:lang w:bidi="ar"/>
              </w:rPr>
              <w:t>要求</w:t>
            </w:r>
            <w:r>
              <w:rPr>
                <w:bCs/>
                <w:color w:val="auto"/>
                <w:kern w:val="0"/>
                <w:sz w:val="24"/>
                <w:szCs w:val="24"/>
                <w:highlight w:val="none"/>
                <w:lang w:bidi="ar"/>
              </w:rPr>
              <w:t>设置</w:t>
            </w:r>
            <w:r>
              <w:rPr>
                <w:rFonts w:hint="eastAsia"/>
                <w:bCs/>
                <w:color w:val="auto"/>
                <w:kern w:val="0"/>
                <w:sz w:val="24"/>
                <w:szCs w:val="24"/>
                <w:highlight w:val="none"/>
                <w:lang w:bidi="ar"/>
              </w:rPr>
              <w:t>临时</w:t>
            </w:r>
            <w:r>
              <w:rPr>
                <w:bCs/>
                <w:color w:val="auto"/>
                <w:kern w:val="0"/>
                <w:sz w:val="24"/>
                <w:szCs w:val="24"/>
                <w:highlight w:val="none"/>
                <w:lang w:bidi="ar"/>
              </w:rPr>
              <w:t>车辆冲洗平台及沉淀池，使废水经沉淀处理后循环使用。</w:t>
            </w:r>
          </w:p>
          <w:p w14:paraId="3B7C8FD5">
            <w:pPr>
              <w:keepNext w:val="0"/>
              <w:keepLines w:val="0"/>
              <w:pageBreakBefore w:val="0"/>
              <w:widowControl/>
              <w:kinsoku/>
              <w:wordWrap/>
              <w:overflowPunct/>
              <w:topLinePunct w:val="0"/>
              <w:bidi w:val="0"/>
              <w:spacing w:line="460" w:lineRule="exact"/>
              <w:ind w:firstLine="480" w:firstLineChars="200"/>
              <w:textAlignment w:val="auto"/>
              <w:rPr>
                <w:bCs/>
                <w:color w:val="auto"/>
                <w:kern w:val="0"/>
                <w:sz w:val="24"/>
                <w:szCs w:val="24"/>
                <w:highlight w:val="none"/>
                <w:lang w:bidi="ar"/>
              </w:rPr>
            </w:pPr>
            <w:r>
              <w:rPr>
                <w:bCs/>
                <w:color w:val="auto"/>
                <w:kern w:val="0"/>
                <w:sz w:val="24"/>
                <w:szCs w:val="24"/>
                <w:highlight w:val="none"/>
                <w:lang w:bidi="ar"/>
              </w:rPr>
              <w:t>2、施工生活污水</w:t>
            </w:r>
          </w:p>
          <w:p w14:paraId="7D53E16C">
            <w:pPr>
              <w:keepNext w:val="0"/>
              <w:keepLines w:val="0"/>
              <w:pageBreakBefore w:val="0"/>
              <w:widowControl/>
              <w:kinsoku/>
              <w:wordWrap/>
              <w:overflowPunct/>
              <w:topLinePunct w:val="0"/>
              <w:bidi w:val="0"/>
              <w:spacing w:line="460" w:lineRule="exact"/>
              <w:ind w:firstLine="480" w:firstLineChars="200"/>
              <w:textAlignment w:val="auto"/>
              <w:rPr>
                <w:color w:val="auto"/>
                <w:kern w:val="0"/>
                <w:sz w:val="24"/>
                <w:szCs w:val="24"/>
                <w:highlight w:val="none"/>
                <w:lang w:bidi="ar"/>
              </w:rPr>
            </w:pPr>
            <w:r>
              <w:rPr>
                <w:color w:val="auto"/>
                <w:kern w:val="0"/>
                <w:sz w:val="24"/>
                <w:szCs w:val="24"/>
                <w:highlight w:val="none"/>
                <w:lang w:bidi="ar"/>
              </w:rPr>
              <w:t>施工人员生活污水</w:t>
            </w:r>
            <w:r>
              <w:rPr>
                <w:rFonts w:hint="eastAsia"/>
                <w:color w:val="auto"/>
                <w:kern w:val="0"/>
                <w:sz w:val="24"/>
                <w:szCs w:val="24"/>
                <w:highlight w:val="none"/>
                <w:lang w:bidi="ar"/>
              </w:rPr>
              <w:t>依托厂内现有</w:t>
            </w:r>
            <w:r>
              <w:rPr>
                <w:color w:val="auto"/>
                <w:kern w:val="0"/>
                <w:sz w:val="24"/>
                <w:szCs w:val="24"/>
                <w:highlight w:val="none"/>
                <w:lang w:bidi="ar"/>
              </w:rPr>
              <w:t>化粪池</w:t>
            </w:r>
            <w:r>
              <w:rPr>
                <w:rFonts w:hint="eastAsia"/>
                <w:color w:val="auto"/>
                <w:kern w:val="0"/>
                <w:sz w:val="24"/>
                <w:szCs w:val="24"/>
                <w:highlight w:val="none"/>
                <w:lang w:bidi="ar"/>
              </w:rPr>
              <w:t>处理后</w:t>
            </w:r>
            <w:r>
              <w:rPr>
                <w:rFonts w:hint="eastAsia"/>
                <w:color w:val="auto"/>
                <w:kern w:val="0"/>
                <w:sz w:val="24"/>
                <w:szCs w:val="24"/>
                <w:highlight w:val="none"/>
                <w:lang w:eastAsia="zh-CN" w:bidi="ar"/>
              </w:rPr>
              <w:t>经污水管网排入洋县污水处理厂处理</w:t>
            </w:r>
            <w:r>
              <w:rPr>
                <w:rFonts w:hint="eastAsia"/>
                <w:color w:val="auto"/>
                <w:kern w:val="0"/>
                <w:sz w:val="24"/>
                <w:szCs w:val="24"/>
                <w:highlight w:val="none"/>
                <w:lang w:bidi="ar"/>
              </w:rPr>
              <w:t>。</w:t>
            </w:r>
          </w:p>
          <w:p w14:paraId="2FB51FF0">
            <w:pPr>
              <w:keepNext w:val="0"/>
              <w:keepLines w:val="0"/>
              <w:pageBreakBefore w:val="0"/>
              <w:kinsoku/>
              <w:wordWrap/>
              <w:overflowPunct/>
              <w:topLinePunct w:val="0"/>
              <w:bidi w:val="0"/>
              <w:adjustRightInd w:val="0"/>
              <w:snapToGrid w:val="0"/>
              <w:spacing w:line="460" w:lineRule="exact"/>
              <w:ind w:firstLine="482" w:firstLineChars="200"/>
              <w:textAlignment w:val="auto"/>
              <w:rPr>
                <w:b/>
                <w:bCs/>
                <w:color w:val="auto"/>
                <w:sz w:val="24"/>
                <w:szCs w:val="24"/>
                <w:highlight w:val="none"/>
              </w:rPr>
            </w:pPr>
            <w:r>
              <w:rPr>
                <w:rFonts w:hint="eastAsia"/>
                <w:b/>
                <w:bCs/>
                <w:color w:val="auto"/>
                <w:sz w:val="24"/>
                <w:szCs w:val="24"/>
                <w:highlight w:val="none"/>
              </w:rPr>
              <w:t>三</w:t>
            </w:r>
            <w:r>
              <w:rPr>
                <w:b/>
                <w:bCs/>
                <w:color w:val="auto"/>
                <w:sz w:val="24"/>
                <w:szCs w:val="24"/>
                <w:highlight w:val="none"/>
              </w:rPr>
              <w:t>、噪声环境影响及保护措施</w:t>
            </w:r>
          </w:p>
          <w:p w14:paraId="7ADCD44E">
            <w:pPr>
              <w:keepNext w:val="0"/>
              <w:keepLines w:val="0"/>
              <w:pageBreakBefore w:val="0"/>
              <w:kinsoku/>
              <w:wordWrap/>
              <w:overflowPunct/>
              <w:topLinePunct w:val="0"/>
              <w:bidi w:val="0"/>
              <w:snapToGrid w:val="0"/>
              <w:spacing w:line="460" w:lineRule="exact"/>
              <w:ind w:firstLine="480" w:firstLineChars="200"/>
              <w:textAlignment w:val="auto"/>
              <w:rPr>
                <w:color w:val="auto"/>
                <w:sz w:val="24"/>
                <w:szCs w:val="24"/>
                <w:highlight w:val="none"/>
              </w:rPr>
            </w:pPr>
            <w:r>
              <w:rPr>
                <w:color w:val="auto"/>
                <w:sz w:val="24"/>
                <w:szCs w:val="24"/>
                <w:highlight w:val="none"/>
              </w:rPr>
              <w:t>为了降低噪声对</w:t>
            </w:r>
            <w:r>
              <w:rPr>
                <w:rFonts w:hint="eastAsia"/>
                <w:color w:val="auto"/>
                <w:sz w:val="24"/>
                <w:szCs w:val="24"/>
                <w:highlight w:val="none"/>
              </w:rPr>
              <w:t>周边环境</w:t>
            </w:r>
            <w:r>
              <w:rPr>
                <w:color w:val="auto"/>
                <w:sz w:val="24"/>
                <w:szCs w:val="24"/>
                <w:highlight w:val="none"/>
              </w:rPr>
              <w:t>的影响，应采取以下措施：</w:t>
            </w:r>
          </w:p>
          <w:p w14:paraId="173BE1DA">
            <w:pPr>
              <w:keepNext w:val="0"/>
              <w:keepLines w:val="0"/>
              <w:pageBreakBefore w:val="0"/>
              <w:widowControl/>
              <w:numPr>
                <w:ilvl w:val="0"/>
                <w:numId w:val="12"/>
              </w:numPr>
              <w:kinsoku/>
              <w:wordWrap/>
              <w:overflowPunct/>
              <w:topLinePunct w:val="0"/>
              <w:bidi w:val="0"/>
              <w:spacing w:line="460" w:lineRule="exact"/>
              <w:ind w:firstLine="480" w:firstLineChars="200"/>
              <w:jc w:val="left"/>
              <w:textAlignment w:val="auto"/>
              <w:rPr>
                <w:color w:val="auto"/>
                <w:sz w:val="24"/>
                <w:szCs w:val="24"/>
                <w:highlight w:val="none"/>
              </w:rPr>
            </w:pPr>
            <w:r>
              <w:rPr>
                <w:color w:val="auto"/>
                <w:kern w:val="0"/>
                <w:sz w:val="24"/>
                <w:szCs w:val="24"/>
                <w:highlight w:val="none"/>
                <w:lang w:bidi="ar"/>
              </w:rPr>
              <w:t>施工设备优选低噪声设备，合理安排施工时间，尽可能避免大量高噪声设备同时施工。</w:t>
            </w:r>
          </w:p>
          <w:p w14:paraId="3345DDF6">
            <w:pPr>
              <w:keepNext w:val="0"/>
              <w:keepLines w:val="0"/>
              <w:pageBreakBefore w:val="0"/>
              <w:widowControl/>
              <w:kinsoku/>
              <w:wordWrap/>
              <w:overflowPunct/>
              <w:topLinePunct w:val="0"/>
              <w:bidi w:val="0"/>
              <w:spacing w:line="460" w:lineRule="exact"/>
              <w:ind w:firstLine="480" w:firstLineChars="200"/>
              <w:jc w:val="left"/>
              <w:textAlignment w:val="auto"/>
              <w:rPr>
                <w:color w:val="auto"/>
                <w:kern w:val="0"/>
                <w:sz w:val="24"/>
                <w:szCs w:val="24"/>
                <w:highlight w:val="none"/>
                <w:lang w:bidi="ar"/>
              </w:rPr>
            </w:pPr>
            <w:r>
              <w:rPr>
                <w:color w:val="auto"/>
                <w:kern w:val="0"/>
                <w:sz w:val="24"/>
                <w:szCs w:val="24"/>
                <w:highlight w:val="none"/>
                <w:lang w:bidi="ar"/>
              </w:rPr>
              <w:t>2、选用符合标准的施工车辆，禁止不符合国家噪声排放标准的运输车辆进入厂区。</w:t>
            </w:r>
          </w:p>
          <w:p w14:paraId="3F8FE53C">
            <w:pPr>
              <w:keepNext w:val="0"/>
              <w:keepLines w:val="0"/>
              <w:pageBreakBefore w:val="0"/>
              <w:widowControl/>
              <w:kinsoku/>
              <w:wordWrap/>
              <w:overflowPunct/>
              <w:topLinePunct w:val="0"/>
              <w:bidi w:val="0"/>
              <w:spacing w:line="460" w:lineRule="exact"/>
              <w:ind w:firstLine="480" w:firstLineChars="200"/>
              <w:jc w:val="left"/>
              <w:textAlignment w:val="auto"/>
              <w:rPr>
                <w:color w:val="auto"/>
                <w:sz w:val="24"/>
                <w:szCs w:val="24"/>
                <w:highlight w:val="none"/>
              </w:rPr>
            </w:pPr>
            <w:r>
              <w:rPr>
                <w:color w:val="auto"/>
                <w:kern w:val="0"/>
                <w:sz w:val="24"/>
                <w:szCs w:val="24"/>
                <w:highlight w:val="none"/>
                <w:lang w:bidi="ar"/>
              </w:rPr>
              <w:t>3、运输汽车进场安排专人指挥，场内禁止运输车辆鸣笛。</w:t>
            </w:r>
          </w:p>
          <w:p w14:paraId="62510F3E">
            <w:pPr>
              <w:keepNext w:val="0"/>
              <w:keepLines w:val="0"/>
              <w:pageBreakBefore w:val="0"/>
              <w:widowControl/>
              <w:kinsoku/>
              <w:wordWrap/>
              <w:overflowPunct/>
              <w:topLinePunct w:val="0"/>
              <w:bidi w:val="0"/>
              <w:spacing w:line="460" w:lineRule="exact"/>
              <w:ind w:firstLine="480" w:firstLineChars="200"/>
              <w:jc w:val="left"/>
              <w:textAlignment w:val="auto"/>
              <w:rPr>
                <w:color w:val="auto"/>
                <w:kern w:val="0"/>
                <w:sz w:val="24"/>
                <w:szCs w:val="24"/>
                <w:highlight w:val="none"/>
                <w:lang w:bidi="ar"/>
              </w:rPr>
            </w:pPr>
            <w:r>
              <w:rPr>
                <w:color w:val="auto"/>
                <w:kern w:val="0"/>
                <w:sz w:val="24"/>
                <w:szCs w:val="24"/>
                <w:highlight w:val="none"/>
                <w:lang w:bidi="ar"/>
              </w:rPr>
              <w:t>4、加强施工人员的管理和教育，施工中减少不必要的金属敲击声。</w:t>
            </w:r>
          </w:p>
          <w:p w14:paraId="579F9979">
            <w:pPr>
              <w:keepNext w:val="0"/>
              <w:keepLines w:val="0"/>
              <w:pageBreakBefore w:val="0"/>
              <w:kinsoku/>
              <w:wordWrap/>
              <w:overflowPunct/>
              <w:topLinePunct w:val="0"/>
              <w:bidi w:val="0"/>
              <w:spacing w:line="460" w:lineRule="exact"/>
              <w:ind w:firstLine="480" w:firstLineChars="200"/>
              <w:textAlignment w:val="auto"/>
              <w:rPr>
                <w:color w:val="auto"/>
                <w:sz w:val="24"/>
                <w:szCs w:val="24"/>
                <w:highlight w:val="none"/>
              </w:rPr>
            </w:pPr>
            <w:r>
              <w:rPr>
                <w:rFonts w:hint="eastAsia"/>
                <w:color w:val="auto"/>
                <w:kern w:val="0"/>
                <w:sz w:val="24"/>
                <w:szCs w:val="24"/>
                <w:highlight w:val="none"/>
                <w:lang w:bidi="ar"/>
              </w:rPr>
              <w:t>5、</w:t>
            </w:r>
            <w:r>
              <w:rPr>
                <w:color w:val="auto"/>
                <w:sz w:val="24"/>
                <w:szCs w:val="24"/>
                <w:highlight w:val="none"/>
              </w:rPr>
              <w:t>同时要加强检查、维护和保养机械设备，保持润滑，紧固各部件，减少运行</w:t>
            </w:r>
            <w:r>
              <w:rPr>
                <w:rFonts w:hint="eastAsia"/>
                <w:color w:val="auto"/>
                <w:sz w:val="24"/>
                <w:szCs w:val="24"/>
                <w:highlight w:val="none"/>
                <w:lang w:eastAsia="zh-CN"/>
              </w:rPr>
              <w:t>振动</w:t>
            </w:r>
            <w:r>
              <w:rPr>
                <w:color w:val="auto"/>
                <w:sz w:val="24"/>
                <w:szCs w:val="24"/>
                <w:highlight w:val="none"/>
              </w:rPr>
              <w:t>噪声。整体设备应安放稳固，并与地面保持良好接触，有条件的应使用减振机座，降低噪声。</w:t>
            </w:r>
          </w:p>
          <w:p w14:paraId="63AC99E9">
            <w:pPr>
              <w:keepNext w:val="0"/>
              <w:keepLines w:val="0"/>
              <w:pageBreakBefore w:val="0"/>
              <w:kinsoku/>
              <w:wordWrap/>
              <w:overflowPunct/>
              <w:topLinePunct w:val="0"/>
              <w:bidi w:val="0"/>
              <w:adjustRightInd w:val="0"/>
              <w:snapToGrid w:val="0"/>
              <w:spacing w:line="460" w:lineRule="exact"/>
              <w:ind w:firstLine="480" w:firstLineChars="200"/>
              <w:textAlignment w:val="auto"/>
              <w:rPr>
                <w:color w:val="auto"/>
                <w:sz w:val="24"/>
                <w:szCs w:val="24"/>
                <w:highlight w:val="none"/>
              </w:rPr>
            </w:pPr>
            <w:r>
              <w:rPr>
                <w:color w:val="auto"/>
                <w:sz w:val="24"/>
                <w:szCs w:val="24"/>
                <w:highlight w:val="none"/>
                <w:lang w:bidi="ar"/>
              </w:rPr>
              <w:t>通过采取上述措施后，项目施工期产生的噪声影响能够降到可接受的程度。</w:t>
            </w:r>
          </w:p>
          <w:p w14:paraId="26E89AB6">
            <w:pPr>
              <w:keepNext w:val="0"/>
              <w:keepLines w:val="0"/>
              <w:pageBreakBefore w:val="0"/>
              <w:kinsoku/>
              <w:wordWrap/>
              <w:overflowPunct/>
              <w:topLinePunct w:val="0"/>
              <w:bidi w:val="0"/>
              <w:adjustRightInd w:val="0"/>
              <w:snapToGrid w:val="0"/>
              <w:spacing w:line="460" w:lineRule="exact"/>
              <w:ind w:firstLine="482" w:firstLineChars="200"/>
              <w:textAlignment w:val="auto"/>
              <w:rPr>
                <w:b/>
                <w:bCs/>
                <w:color w:val="auto"/>
                <w:sz w:val="24"/>
                <w:szCs w:val="24"/>
                <w:highlight w:val="none"/>
              </w:rPr>
            </w:pPr>
            <w:r>
              <w:rPr>
                <w:rFonts w:hint="eastAsia"/>
                <w:b/>
                <w:bCs/>
                <w:color w:val="auto"/>
                <w:sz w:val="24"/>
                <w:szCs w:val="24"/>
                <w:highlight w:val="none"/>
              </w:rPr>
              <w:t>四</w:t>
            </w:r>
            <w:r>
              <w:rPr>
                <w:b/>
                <w:bCs/>
                <w:color w:val="auto"/>
                <w:sz w:val="24"/>
                <w:szCs w:val="24"/>
                <w:highlight w:val="none"/>
              </w:rPr>
              <w:t>、固废环境影响及保护措施</w:t>
            </w:r>
          </w:p>
          <w:p w14:paraId="6BD7CC17">
            <w:pPr>
              <w:keepNext w:val="0"/>
              <w:keepLines w:val="0"/>
              <w:pageBreakBefore w:val="0"/>
              <w:kinsoku/>
              <w:wordWrap/>
              <w:overflowPunct/>
              <w:topLinePunct w:val="0"/>
              <w:bidi w:val="0"/>
              <w:adjustRightInd w:val="0"/>
              <w:snapToGrid w:val="0"/>
              <w:spacing w:line="460" w:lineRule="exact"/>
              <w:ind w:firstLine="480" w:firstLineChars="200"/>
              <w:textAlignment w:val="auto"/>
              <w:rPr>
                <w:rFonts w:hint="eastAsia" w:eastAsia="宋体"/>
                <w:color w:val="auto"/>
                <w:sz w:val="24"/>
                <w:szCs w:val="24"/>
                <w:highlight w:val="none"/>
                <w:lang w:eastAsia="zh-CN" w:bidi="ar"/>
              </w:rPr>
            </w:pPr>
            <w:r>
              <w:rPr>
                <w:rFonts w:hint="eastAsia"/>
                <w:color w:val="auto"/>
                <w:sz w:val="24"/>
                <w:szCs w:val="24"/>
                <w:highlight w:val="none"/>
                <w:lang w:bidi="ar"/>
              </w:rPr>
              <w:t>施工期固体废物</w:t>
            </w:r>
            <w:r>
              <w:rPr>
                <w:rFonts w:hint="eastAsia"/>
                <w:color w:val="auto"/>
                <w:sz w:val="24"/>
                <w:szCs w:val="24"/>
                <w:highlight w:val="none"/>
                <w:lang w:eastAsia="zh-CN" w:bidi="ar"/>
              </w:rPr>
              <w:t>主要</w:t>
            </w:r>
            <w:r>
              <w:rPr>
                <w:rFonts w:hint="eastAsia"/>
                <w:color w:val="auto"/>
                <w:sz w:val="24"/>
                <w:szCs w:val="24"/>
                <w:highlight w:val="none"/>
                <w:lang w:bidi="ar"/>
              </w:rPr>
              <w:t>包括地表清理产生的杂草、农作物、塑料瓶等杂物、</w:t>
            </w:r>
            <w:r>
              <w:rPr>
                <w:rFonts w:hint="eastAsia"/>
                <w:color w:val="auto"/>
                <w:sz w:val="24"/>
                <w:szCs w:val="24"/>
                <w:highlight w:val="none"/>
                <w:lang w:eastAsia="zh-CN" w:bidi="ar"/>
              </w:rPr>
              <w:t>开挖土方及</w:t>
            </w:r>
            <w:r>
              <w:rPr>
                <w:rFonts w:hint="eastAsia"/>
                <w:color w:val="auto"/>
                <w:sz w:val="24"/>
                <w:szCs w:val="24"/>
                <w:highlight w:val="none"/>
                <w:lang w:bidi="ar"/>
              </w:rPr>
              <w:t>施工人员产生的生活垃圾。</w:t>
            </w:r>
          </w:p>
          <w:p w14:paraId="0B83BE01">
            <w:pPr>
              <w:keepNext w:val="0"/>
              <w:keepLines w:val="0"/>
              <w:pageBreakBefore w:val="0"/>
              <w:kinsoku/>
              <w:wordWrap/>
              <w:overflowPunct/>
              <w:topLinePunct w:val="0"/>
              <w:bidi w:val="0"/>
              <w:adjustRightInd w:val="0"/>
              <w:snapToGrid w:val="0"/>
              <w:spacing w:line="460" w:lineRule="exact"/>
              <w:ind w:firstLine="480" w:firstLineChars="200"/>
              <w:textAlignment w:val="auto"/>
              <w:rPr>
                <w:rFonts w:hint="eastAsia"/>
                <w:color w:val="auto"/>
                <w:kern w:val="0"/>
                <w:sz w:val="24"/>
                <w:szCs w:val="24"/>
                <w:highlight w:val="none"/>
              </w:rPr>
            </w:pPr>
            <w:r>
              <w:rPr>
                <w:rFonts w:hint="eastAsia"/>
                <w:color w:val="auto"/>
                <w:sz w:val="24"/>
                <w:szCs w:val="24"/>
                <w:highlight w:val="none"/>
                <w:lang w:val="en-US" w:eastAsia="zh-CN" w:bidi="ar"/>
              </w:rPr>
              <w:t>1、</w:t>
            </w:r>
            <w:r>
              <w:rPr>
                <w:rFonts w:hint="eastAsia"/>
                <w:color w:val="auto"/>
                <w:sz w:val="24"/>
                <w:szCs w:val="24"/>
                <w:highlight w:val="none"/>
                <w:lang w:bidi="ar"/>
              </w:rPr>
              <w:t>清理</w:t>
            </w:r>
            <w:r>
              <w:rPr>
                <w:rFonts w:hint="eastAsia"/>
                <w:color w:val="auto"/>
                <w:kern w:val="0"/>
                <w:sz w:val="24"/>
                <w:szCs w:val="24"/>
                <w:highlight w:val="none"/>
                <w:lang w:bidi="ar"/>
              </w:rPr>
              <w:t>杂物</w:t>
            </w:r>
          </w:p>
          <w:p w14:paraId="59702214">
            <w:pPr>
              <w:keepNext w:val="0"/>
              <w:keepLines w:val="0"/>
              <w:pageBreakBefore w:val="0"/>
              <w:kinsoku/>
              <w:wordWrap/>
              <w:overflowPunct/>
              <w:topLinePunct w:val="0"/>
              <w:bidi w:val="0"/>
              <w:adjustRightInd w:val="0"/>
              <w:snapToGrid w:val="0"/>
              <w:spacing w:line="460" w:lineRule="exact"/>
              <w:ind w:firstLine="480" w:firstLineChars="200"/>
              <w:textAlignment w:val="auto"/>
              <w:rPr>
                <w:color w:val="auto"/>
                <w:sz w:val="24"/>
                <w:szCs w:val="24"/>
                <w:highlight w:val="none"/>
              </w:rPr>
            </w:pPr>
            <w:r>
              <w:rPr>
                <w:color w:val="auto"/>
                <w:sz w:val="24"/>
                <w:szCs w:val="24"/>
                <w:highlight w:val="none"/>
                <w:lang w:bidi="ar"/>
              </w:rPr>
              <w:t>本项目施工期</w:t>
            </w:r>
            <w:r>
              <w:rPr>
                <w:rFonts w:hint="eastAsia"/>
                <w:color w:val="auto"/>
                <w:sz w:val="24"/>
                <w:szCs w:val="24"/>
                <w:highlight w:val="none"/>
                <w:lang w:bidi="ar"/>
              </w:rPr>
              <w:t>场地清理</w:t>
            </w:r>
            <w:r>
              <w:rPr>
                <w:color w:val="auto"/>
                <w:sz w:val="24"/>
                <w:szCs w:val="24"/>
                <w:highlight w:val="none"/>
                <w:lang w:bidi="ar"/>
              </w:rPr>
              <w:t>会产生少量的</w:t>
            </w:r>
            <w:r>
              <w:rPr>
                <w:rFonts w:hint="eastAsia"/>
                <w:color w:val="auto"/>
                <w:sz w:val="24"/>
                <w:szCs w:val="24"/>
                <w:highlight w:val="none"/>
                <w:lang w:bidi="ar"/>
              </w:rPr>
              <w:t>杂草、植被等</w:t>
            </w:r>
            <w:r>
              <w:rPr>
                <w:color w:val="auto"/>
                <w:sz w:val="24"/>
                <w:szCs w:val="24"/>
                <w:highlight w:val="none"/>
                <w:lang w:bidi="ar"/>
              </w:rPr>
              <w:t>，</w:t>
            </w:r>
            <w:r>
              <w:rPr>
                <w:rFonts w:hint="eastAsia"/>
                <w:color w:val="auto"/>
                <w:sz w:val="24"/>
                <w:szCs w:val="24"/>
                <w:highlight w:val="none"/>
                <w:lang w:bidi="ar"/>
              </w:rPr>
              <w:t>集中收集后交由园区环卫部门处置。</w:t>
            </w:r>
          </w:p>
          <w:p w14:paraId="514D40F0">
            <w:pPr>
              <w:keepNext w:val="0"/>
              <w:keepLines w:val="0"/>
              <w:pageBreakBefore w:val="0"/>
              <w:kinsoku/>
              <w:wordWrap/>
              <w:overflowPunct/>
              <w:topLinePunct w:val="0"/>
              <w:bidi w:val="0"/>
              <w:adjustRightInd w:val="0"/>
              <w:snapToGrid w:val="0"/>
              <w:spacing w:line="460" w:lineRule="exact"/>
              <w:ind w:firstLine="480" w:firstLineChars="200"/>
              <w:textAlignment w:val="auto"/>
              <w:rPr>
                <w:rFonts w:hint="default" w:eastAsia="宋体"/>
                <w:color w:val="auto"/>
                <w:sz w:val="24"/>
                <w:szCs w:val="24"/>
                <w:highlight w:val="none"/>
                <w:lang w:val="en-US" w:eastAsia="zh-CN" w:bidi="ar"/>
              </w:rPr>
            </w:pPr>
            <w:r>
              <w:rPr>
                <w:rFonts w:hint="eastAsia"/>
                <w:color w:val="auto"/>
                <w:sz w:val="24"/>
                <w:szCs w:val="24"/>
                <w:highlight w:val="none"/>
                <w:lang w:val="en-US" w:eastAsia="zh-CN" w:bidi="ar"/>
              </w:rPr>
              <w:t>2、开挖土方</w:t>
            </w:r>
          </w:p>
          <w:p w14:paraId="215CFFF3">
            <w:pPr>
              <w:keepNext w:val="0"/>
              <w:keepLines w:val="0"/>
              <w:pageBreakBefore w:val="0"/>
              <w:kinsoku/>
              <w:wordWrap/>
              <w:overflowPunct/>
              <w:topLinePunct w:val="0"/>
              <w:bidi w:val="0"/>
              <w:adjustRightInd w:val="0"/>
              <w:snapToGrid w:val="0"/>
              <w:spacing w:line="460" w:lineRule="exact"/>
              <w:ind w:firstLine="480" w:firstLineChars="200"/>
              <w:textAlignment w:val="auto"/>
              <w:rPr>
                <w:color w:val="auto"/>
                <w:sz w:val="24"/>
                <w:szCs w:val="24"/>
                <w:highlight w:val="none"/>
              </w:rPr>
            </w:pPr>
            <w:r>
              <w:rPr>
                <w:rFonts w:hint="eastAsia"/>
                <w:color w:val="auto"/>
                <w:sz w:val="24"/>
                <w:szCs w:val="24"/>
                <w:highlight w:val="none"/>
                <w:lang w:bidi="ar"/>
              </w:rPr>
              <w:t>施工过程中挖出的土方</w:t>
            </w:r>
            <w:r>
              <w:rPr>
                <w:rFonts w:hint="eastAsia"/>
                <w:color w:val="auto"/>
                <w:sz w:val="24"/>
                <w:szCs w:val="24"/>
                <w:highlight w:val="none"/>
                <w:lang w:eastAsia="zh-CN" w:bidi="ar"/>
              </w:rPr>
              <w:t>（约</w:t>
            </w:r>
            <w:r>
              <w:rPr>
                <w:rFonts w:hint="eastAsia"/>
                <w:color w:val="auto"/>
                <w:sz w:val="24"/>
                <w:szCs w:val="24"/>
                <w:highlight w:val="none"/>
                <w:lang w:val="en-US" w:eastAsia="zh-CN" w:bidi="ar"/>
              </w:rPr>
              <w:t>1.9万m</w:t>
            </w:r>
            <w:r>
              <w:rPr>
                <w:rFonts w:hint="eastAsia"/>
                <w:color w:val="auto"/>
                <w:sz w:val="24"/>
                <w:szCs w:val="24"/>
                <w:highlight w:val="none"/>
                <w:vertAlign w:val="superscript"/>
                <w:lang w:val="en-US" w:eastAsia="zh-CN" w:bidi="ar"/>
              </w:rPr>
              <w:t>3</w:t>
            </w:r>
            <w:r>
              <w:rPr>
                <w:rFonts w:hint="eastAsia"/>
                <w:color w:val="auto"/>
                <w:sz w:val="24"/>
                <w:szCs w:val="24"/>
                <w:highlight w:val="none"/>
                <w:lang w:eastAsia="zh-CN" w:bidi="ar"/>
              </w:rPr>
              <w:t>）</w:t>
            </w:r>
            <w:r>
              <w:rPr>
                <w:rFonts w:hint="eastAsia"/>
                <w:color w:val="auto"/>
                <w:sz w:val="24"/>
                <w:szCs w:val="24"/>
                <w:highlight w:val="none"/>
                <w:lang w:bidi="ar"/>
              </w:rPr>
              <w:t>，全部回填用于场地平整或厂内空地绿化覆土、能做到土方填挖平衡，无弃土产生。</w:t>
            </w:r>
          </w:p>
          <w:p w14:paraId="6CCD4A3D">
            <w:pPr>
              <w:keepNext w:val="0"/>
              <w:keepLines w:val="0"/>
              <w:pageBreakBefore w:val="0"/>
              <w:tabs>
                <w:tab w:val="left" w:pos="2220"/>
              </w:tabs>
              <w:kinsoku/>
              <w:wordWrap/>
              <w:overflowPunct/>
              <w:topLinePunct w:val="0"/>
              <w:bidi w:val="0"/>
              <w:adjustRightInd w:val="0"/>
              <w:snapToGrid w:val="0"/>
              <w:spacing w:line="460" w:lineRule="exact"/>
              <w:ind w:firstLine="480" w:firstLineChars="200"/>
              <w:textAlignment w:val="auto"/>
              <w:rPr>
                <w:color w:val="auto"/>
                <w:sz w:val="24"/>
                <w:szCs w:val="24"/>
                <w:highlight w:val="none"/>
              </w:rPr>
            </w:pPr>
            <w:r>
              <w:rPr>
                <w:rFonts w:hint="eastAsia"/>
                <w:color w:val="auto"/>
                <w:sz w:val="24"/>
                <w:szCs w:val="24"/>
                <w:highlight w:val="none"/>
                <w:lang w:val="en-US" w:eastAsia="zh-CN" w:bidi="ar"/>
              </w:rPr>
              <w:t>3</w:t>
            </w:r>
            <w:r>
              <w:rPr>
                <w:color w:val="auto"/>
                <w:sz w:val="24"/>
                <w:szCs w:val="24"/>
                <w:highlight w:val="none"/>
                <w:lang w:bidi="ar"/>
              </w:rPr>
              <w:t>、生活垃圾</w:t>
            </w:r>
          </w:p>
          <w:p w14:paraId="42CE7D32">
            <w:pPr>
              <w:keepNext w:val="0"/>
              <w:keepLines w:val="0"/>
              <w:pageBreakBefore w:val="0"/>
              <w:kinsoku/>
              <w:wordWrap/>
              <w:overflowPunct/>
              <w:topLinePunct w:val="0"/>
              <w:bidi w:val="0"/>
              <w:adjustRightInd w:val="0"/>
              <w:snapToGrid w:val="0"/>
              <w:spacing w:line="460" w:lineRule="exact"/>
              <w:ind w:firstLine="480" w:firstLineChars="200"/>
              <w:textAlignment w:val="auto"/>
              <w:rPr>
                <w:rFonts w:hint="eastAsia" w:ascii="宋体" w:hAnsi="宋体" w:cs="宋体"/>
                <w:bCs/>
                <w:color w:val="auto"/>
                <w:sz w:val="24"/>
                <w:highlight w:val="none"/>
              </w:rPr>
            </w:pPr>
            <w:r>
              <w:rPr>
                <w:color w:val="auto"/>
                <w:sz w:val="24"/>
                <w:szCs w:val="24"/>
                <w:highlight w:val="none"/>
                <w:lang w:bidi="ar"/>
              </w:rPr>
              <w:t>施工方应在施工场地设置垃圾桶进行分类收集</w:t>
            </w:r>
            <w:r>
              <w:rPr>
                <w:rFonts w:hint="eastAsia"/>
                <w:color w:val="auto"/>
                <w:sz w:val="24"/>
                <w:szCs w:val="24"/>
                <w:highlight w:val="none"/>
                <w:lang w:bidi="ar"/>
              </w:rPr>
              <w:t>交由园区环卫部门处置。</w:t>
            </w:r>
            <w:r>
              <w:rPr>
                <w:color w:val="auto"/>
                <w:sz w:val="24"/>
                <w:szCs w:val="24"/>
                <w:highlight w:val="none"/>
                <w:lang w:bidi="ar"/>
              </w:rPr>
              <w:t>综上，项目施工期间各类固体废物均可得到有效处置，对环境的影响较小。</w:t>
            </w:r>
          </w:p>
        </w:tc>
      </w:tr>
      <w:tr w14:paraId="366C4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4" w:hRule="atLeast"/>
          <w:jc w:val="center"/>
        </w:trPr>
        <w:tc>
          <w:tcPr>
            <w:tcW w:w="746" w:type="dxa"/>
            <w:noWrap w:val="0"/>
            <w:tcMar>
              <w:left w:w="28" w:type="dxa"/>
              <w:right w:w="28" w:type="dxa"/>
            </w:tcMar>
            <w:vAlign w:val="center"/>
          </w:tcPr>
          <w:p w14:paraId="202950EC">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运营</w:t>
            </w:r>
          </w:p>
          <w:p w14:paraId="4AEE01C0">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期环</w:t>
            </w:r>
          </w:p>
          <w:p w14:paraId="2D014E19">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境影</w:t>
            </w:r>
          </w:p>
          <w:p w14:paraId="6C86FFB1">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响和</w:t>
            </w:r>
          </w:p>
          <w:p w14:paraId="6BEFF375">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保护</w:t>
            </w:r>
          </w:p>
          <w:p w14:paraId="572A36E7">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措施</w:t>
            </w:r>
          </w:p>
        </w:tc>
        <w:tc>
          <w:tcPr>
            <w:tcW w:w="8162" w:type="dxa"/>
            <w:noWrap w:val="0"/>
            <w:vAlign w:val="center"/>
          </w:tcPr>
          <w:p w14:paraId="2C235839">
            <w:pPr>
              <w:keepLines w:val="0"/>
              <w:pageBreakBefore w:val="0"/>
              <w:kinsoku/>
              <w:wordWrap/>
              <w:overflowPunct/>
              <w:topLinePunct w:val="0"/>
              <w:bidi w:val="0"/>
              <w:adjustRightInd w:val="0"/>
              <w:snapToGrid w:val="0"/>
              <w:spacing w:line="360" w:lineRule="auto"/>
              <w:ind w:firstLine="482" w:firstLineChars="200"/>
              <w:rPr>
                <w:b/>
                <w:bCs/>
                <w:color w:val="auto"/>
                <w:sz w:val="24"/>
                <w:highlight w:val="none"/>
              </w:rPr>
            </w:pPr>
            <w:r>
              <w:rPr>
                <w:rFonts w:hint="eastAsia"/>
                <w:b/>
                <w:bCs/>
                <w:color w:val="auto"/>
                <w:sz w:val="24"/>
                <w:highlight w:val="none"/>
              </w:rPr>
              <w:t>一、废气</w:t>
            </w:r>
          </w:p>
          <w:p w14:paraId="0947675B">
            <w:pPr>
              <w:keepLines w:val="0"/>
              <w:pageBreakBefore w:val="0"/>
              <w:kinsoku/>
              <w:wordWrap/>
              <w:overflowPunct/>
              <w:topLinePunct w:val="0"/>
              <w:bidi w:val="0"/>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本项目设置</w:t>
            </w:r>
            <w:r>
              <w:rPr>
                <w:rFonts w:hint="eastAsia"/>
                <w:color w:val="auto"/>
                <w:kern w:val="0"/>
                <w:sz w:val="24"/>
                <w:highlight w:val="none"/>
                <w:lang w:eastAsia="zh-CN"/>
              </w:rPr>
              <w:t>一台</w:t>
            </w:r>
            <w:r>
              <w:rPr>
                <w:rFonts w:hint="eastAsia"/>
                <w:color w:val="auto"/>
                <w:kern w:val="0"/>
                <w:sz w:val="24"/>
                <w:highlight w:val="none"/>
              </w:rPr>
              <w:t>电锅炉，生产过程中产品及原料的干燥、烘干都采用电锅炉加热，无锅炉废气产生。</w:t>
            </w:r>
          </w:p>
          <w:p w14:paraId="0980B471">
            <w:pPr>
              <w:keepLines w:val="0"/>
              <w:pageBreakBefore w:val="0"/>
              <w:kinsoku/>
              <w:wordWrap/>
              <w:overflowPunct/>
              <w:topLinePunct w:val="0"/>
              <w:bidi w:val="0"/>
              <w:adjustRightInd w:val="0"/>
              <w:snapToGrid w:val="0"/>
              <w:spacing w:line="360" w:lineRule="auto"/>
              <w:ind w:firstLine="480" w:firstLineChars="200"/>
              <w:rPr>
                <w:rFonts w:hint="eastAsia" w:eastAsia="宋体"/>
                <w:color w:val="auto"/>
                <w:kern w:val="0"/>
                <w:sz w:val="24"/>
                <w:highlight w:val="none"/>
                <w:lang w:eastAsia="zh-CN"/>
              </w:rPr>
            </w:pPr>
            <w:r>
              <w:rPr>
                <w:rFonts w:hint="eastAsia"/>
                <w:color w:val="auto"/>
                <w:kern w:val="0"/>
                <w:sz w:val="24"/>
                <w:highlight w:val="none"/>
              </w:rPr>
              <w:t>本项目</w:t>
            </w:r>
            <w:r>
              <w:rPr>
                <w:rFonts w:hint="eastAsia"/>
                <w:color w:val="auto"/>
                <w:kern w:val="0"/>
                <w:sz w:val="24"/>
                <w:highlight w:val="none"/>
                <w:lang w:eastAsia="zh-CN"/>
              </w:rPr>
              <w:t>运营期</w:t>
            </w:r>
            <w:r>
              <w:rPr>
                <w:rFonts w:hint="eastAsia"/>
                <w:color w:val="auto"/>
                <w:kern w:val="0"/>
                <w:sz w:val="24"/>
                <w:highlight w:val="none"/>
              </w:rPr>
              <w:t>废气主要为</w:t>
            </w:r>
            <w:r>
              <w:rPr>
                <w:rFonts w:hint="eastAsia"/>
                <w:color w:val="auto"/>
                <w:kern w:val="0"/>
                <w:sz w:val="24"/>
                <w:highlight w:val="none"/>
                <w:lang w:eastAsia="zh-CN"/>
              </w:rPr>
              <w:t>蒸煮异味、调制废气、食堂油烟。</w:t>
            </w:r>
          </w:p>
          <w:p w14:paraId="7FEE34A5">
            <w:pPr>
              <w:keepLines w:val="0"/>
              <w:pageBreakBefore w:val="0"/>
              <w:kinsoku/>
              <w:wordWrap/>
              <w:overflowPunct/>
              <w:topLinePunct w:val="0"/>
              <w:bidi w:val="0"/>
              <w:adjustRightInd w:val="0"/>
              <w:snapToGrid w:val="0"/>
              <w:spacing w:line="360" w:lineRule="auto"/>
              <w:ind w:firstLine="480" w:firstLineChars="200"/>
              <w:rPr>
                <w:rFonts w:hint="eastAsia" w:eastAsia="宋体"/>
                <w:color w:val="auto"/>
                <w:kern w:val="0"/>
                <w:sz w:val="24"/>
                <w:highlight w:val="none"/>
                <w:lang w:val="en-US" w:eastAsia="zh-CN"/>
              </w:rPr>
            </w:pPr>
            <w:r>
              <w:rPr>
                <w:rFonts w:hint="eastAsia"/>
                <w:color w:val="auto"/>
                <w:kern w:val="0"/>
                <w:sz w:val="24"/>
                <w:highlight w:val="none"/>
                <w:lang w:val="en-US" w:eastAsia="zh-CN"/>
              </w:rPr>
              <w:t>1、蒸煮异味</w:t>
            </w:r>
          </w:p>
          <w:p w14:paraId="7AFFF01E">
            <w:pPr>
              <w:keepLines w:val="0"/>
              <w:pageBreakBefore w:val="0"/>
              <w:kinsoku/>
              <w:wordWrap/>
              <w:overflowPunct/>
              <w:topLinePunct w:val="0"/>
              <w:bidi w:val="0"/>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项目</w:t>
            </w:r>
            <w:r>
              <w:rPr>
                <w:rFonts w:hint="eastAsia"/>
                <w:color w:val="auto"/>
                <w:kern w:val="0"/>
                <w:sz w:val="24"/>
                <w:highlight w:val="none"/>
                <w:lang w:eastAsia="zh-CN"/>
              </w:rPr>
              <w:t>山茱萸干果加工过程中需要蒸煮，蒸煮过程中会产生异味，</w:t>
            </w:r>
            <w:r>
              <w:rPr>
                <w:rFonts w:hint="eastAsia"/>
                <w:color w:val="auto"/>
                <w:kern w:val="0"/>
                <w:sz w:val="24"/>
                <w:highlight w:val="none"/>
              </w:rPr>
              <w:t>其主要</w:t>
            </w:r>
            <w:r>
              <w:rPr>
                <w:rFonts w:hint="eastAsia"/>
                <w:color w:val="auto"/>
                <w:kern w:val="0"/>
                <w:sz w:val="24"/>
                <w:highlight w:val="none"/>
                <w:lang w:eastAsia="zh-CN"/>
              </w:rPr>
              <w:t>来自山茱萸鲜果</w:t>
            </w:r>
            <w:r>
              <w:rPr>
                <w:rFonts w:hint="eastAsia"/>
                <w:color w:val="auto"/>
                <w:kern w:val="0"/>
                <w:sz w:val="24"/>
                <w:highlight w:val="none"/>
              </w:rPr>
              <w:t>本身，产生量小，对大气环境影响较小，本次评价不进行定量分析。</w:t>
            </w:r>
          </w:p>
          <w:p w14:paraId="0953603D">
            <w:pPr>
              <w:keepLines w:val="0"/>
              <w:pageBreakBefore w:val="0"/>
              <w:kinsoku/>
              <w:wordWrap/>
              <w:overflowPunct/>
              <w:topLinePunct w:val="0"/>
              <w:bidi w:val="0"/>
              <w:adjustRightInd w:val="0"/>
              <w:snapToGrid w:val="0"/>
              <w:spacing w:line="360" w:lineRule="auto"/>
              <w:ind w:firstLine="480" w:firstLineChars="200"/>
              <w:rPr>
                <w:rFonts w:hint="eastAsia" w:eastAsia="宋体"/>
                <w:color w:val="auto"/>
                <w:kern w:val="0"/>
                <w:sz w:val="24"/>
                <w:highlight w:val="none"/>
                <w:lang w:val="en-US" w:eastAsia="zh-CN"/>
              </w:rPr>
            </w:pPr>
            <w:r>
              <w:rPr>
                <w:rFonts w:hint="eastAsia"/>
                <w:color w:val="auto"/>
                <w:kern w:val="0"/>
                <w:sz w:val="24"/>
                <w:highlight w:val="none"/>
                <w:lang w:val="en-US" w:eastAsia="zh-CN"/>
              </w:rPr>
              <w:t>2、调制废气</w:t>
            </w:r>
          </w:p>
          <w:p w14:paraId="76BF95CB">
            <w:pPr>
              <w:pStyle w:val="8"/>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kern w:val="0"/>
                <w:sz w:val="24"/>
                <w:szCs w:val="24"/>
                <w:highlight w:val="none"/>
                <w:lang w:eastAsia="zh-CN"/>
              </w:rPr>
            </w:pPr>
            <w:r>
              <w:rPr>
                <w:rFonts w:hint="eastAsia"/>
                <w:color w:val="auto"/>
                <w:kern w:val="0"/>
                <w:sz w:val="24"/>
                <w:highlight w:val="none"/>
              </w:rPr>
              <w:t>项目</w:t>
            </w:r>
            <w:r>
              <w:rPr>
                <w:rFonts w:hint="eastAsia"/>
                <w:color w:val="auto"/>
                <w:kern w:val="0"/>
                <w:sz w:val="24"/>
                <w:highlight w:val="none"/>
                <w:lang w:eastAsia="zh-CN"/>
              </w:rPr>
              <w:t>山茱萸</w:t>
            </w:r>
            <w:r>
              <w:rPr>
                <w:rFonts w:hint="eastAsia"/>
                <w:color w:val="auto"/>
                <w:kern w:val="0"/>
                <w:sz w:val="24"/>
                <w:highlight w:val="none"/>
              </w:rPr>
              <w:t>酒调配工序</w:t>
            </w:r>
            <w:r>
              <w:rPr>
                <w:rFonts w:hint="eastAsia"/>
                <w:color w:val="auto"/>
                <w:kern w:val="0"/>
                <w:sz w:val="24"/>
                <w:highlight w:val="none"/>
                <w:lang w:eastAsia="zh-CN"/>
              </w:rPr>
              <w:t>食用酒、食用醋</w:t>
            </w:r>
            <w:r>
              <w:rPr>
                <w:rFonts w:hint="eastAsia"/>
                <w:color w:val="auto"/>
                <w:kern w:val="0"/>
                <w:sz w:val="24"/>
                <w:highlight w:val="none"/>
              </w:rPr>
              <w:t>挥发形成废气，主要成分为乙醇</w:t>
            </w:r>
            <w:r>
              <w:rPr>
                <w:rFonts w:hint="eastAsia"/>
                <w:color w:val="auto"/>
                <w:kern w:val="0"/>
                <w:sz w:val="24"/>
                <w:highlight w:val="none"/>
                <w:lang w:eastAsia="zh-CN"/>
              </w:rPr>
              <w:t>、醋酸（</w:t>
            </w:r>
            <w:r>
              <w:rPr>
                <w:rFonts w:hint="eastAsia"/>
                <w:color w:val="auto"/>
                <w:kern w:val="0"/>
                <w:sz w:val="24"/>
                <w:highlight w:val="none"/>
              </w:rPr>
              <w:t>以非甲烷总烃计</w:t>
            </w:r>
            <w:r>
              <w:rPr>
                <w:rFonts w:hint="eastAsia"/>
                <w:color w:val="auto"/>
                <w:kern w:val="0"/>
                <w:sz w:val="24"/>
                <w:highlight w:val="none"/>
                <w:lang w:eastAsia="zh-CN"/>
              </w:rPr>
              <w:t>）</w:t>
            </w:r>
            <w:r>
              <w:rPr>
                <w:rFonts w:hint="eastAsia"/>
                <w:color w:val="auto"/>
                <w:kern w:val="0"/>
                <w:sz w:val="24"/>
                <w:highlight w:val="none"/>
              </w:rPr>
              <w:t>。</w:t>
            </w:r>
            <w:r>
              <w:rPr>
                <w:rFonts w:hint="eastAsia"/>
                <w:color w:val="auto"/>
                <w:kern w:val="0"/>
                <w:sz w:val="24"/>
                <w:highlight w:val="none"/>
                <w:lang w:eastAsia="zh-CN"/>
              </w:rPr>
              <w:t>项目食用酒、食用醋主要通过密闭管道计量添加，日常采用封闭储罐暂存，仅在进厂及调制添加时少量挥发，挥发量极小，</w:t>
            </w:r>
            <w:r>
              <w:rPr>
                <w:rFonts w:hint="default" w:ascii="Times New Roman" w:hAnsi="Times New Roman" w:cs="Times New Roman"/>
                <w:b w:val="0"/>
                <w:bCs w:val="0"/>
                <w:color w:val="auto"/>
                <w:kern w:val="0"/>
                <w:sz w:val="24"/>
                <w:highlight w:val="none"/>
              </w:rPr>
              <w:t>且不易收集，</w:t>
            </w:r>
            <w:r>
              <w:rPr>
                <w:rFonts w:hint="eastAsia" w:ascii="Times New Roman" w:hAnsi="Times New Roman" w:cs="Times New Roman"/>
                <w:b w:val="0"/>
                <w:bCs w:val="0"/>
                <w:color w:val="auto"/>
                <w:kern w:val="0"/>
                <w:sz w:val="24"/>
                <w:highlight w:val="none"/>
                <w:lang w:eastAsia="zh-CN"/>
              </w:rPr>
              <w:t>本次评价不进行定量分析，</w:t>
            </w:r>
            <w:r>
              <w:rPr>
                <w:rFonts w:hint="default" w:ascii="Times New Roman" w:hAnsi="Times New Roman" w:cs="Times New Roman"/>
                <w:b w:val="0"/>
                <w:bCs w:val="0"/>
                <w:color w:val="auto"/>
                <w:kern w:val="0"/>
                <w:sz w:val="24"/>
                <w:highlight w:val="none"/>
                <w:lang w:eastAsia="zh-CN"/>
              </w:rPr>
              <w:t>经车间通风后</w:t>
            </w:r>
            <w:r>
              <w:rPr>
                <w:rFonts w:hint="default" w:ascii="Times New Roman" w:hAnsi="Times New Roman" w:cs="Times New Roman"/>
                <w:color w:val="auto"/>
                <w:kern w:val="0"/>
                <w:sz w:val="24"/>
                <w:szCs w:val="24"/>
                <w:highlight w:val="none"/>
              </w:rPr>
              <w:t>以无组织形式排放</w:t>
            </w:r>
            <w:r>
              <w:rPr>
                <w:rFonts w:hint="eastAsia" w:ascii="Times New Roman" w:hAnsi="Times New Roman" w:cs="Times New Roman"/>
                <w:color w:val="auto"/>
                <w:kern w:val="0"/>
                <w:sz w:val="24"/>
                <w:szCs w:val="24"/>
                <w:highlight w:val="none"/>
                <w:lang w:eastAsia="zh-CN"/>
              </w:rPr>
              <w:t>，对周边环境影响有限</w:t>
            </w:r>
            <w:r>
              <w:rPr>
                <w:rFonts w:hint="default" w:ascii="Times New Roman" w:hAnsi="Times New Roman" w:cs="Times New Roman"/>
                <w:color w:val="auto"/>
                <w:kern w:val="0"/>
                <w:sz w:val="24"/>
                <w:szCs w:val="24"/>
                <w:highlight w:val="none"/>
                <w:lang w:eastAsia="zh-CN"/>
              </w:rPr>
              <w:t>。</w:t>
            </w:r>
          </w:p>
          <w:p w14:paraId="5833933C">
            <w:pPr>
              <w:keepLines w:val="0"/>
              <w:pageBreakBefore w:val="0"/>
              <w:kinsoku/>
              <w:wordWrap/>
              <w:overflowPunct/>
              <w:topLinePunct w:val="0"/>
              <w:bidi w:val="0"/>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lang w:val="en-US" w:eastAsia="zh-CN"/>
              </w:rPr>
              <w:t>3</w:t>
            </w:r>
            <w:r>
              <w:rPr>
                <w:rFonts w:hint="eastAsia"/>
                <w:color w:val="auto"/>
                <w:kern w:val="0"/>
                <w:sz w:val="24"/>
                <w:highlight w:val="none"/>
              </w:rPr>
              <w:t>、食堂油烟</w:t>
            </w:r>
          </w:p>
          <w:p w14:paraId="7CAF05F3">
            <w:pPr>
              <w:keepLines w:val="0"/>
              <w:pageBreakBefore w:val="0"/>
              <w:kinsoku/>
              <w:wordWrap/>
              <w:overflowPunct/>
              <w:topLinePunct w:val="0"/>
              <w:bidi w:val="0"/>
              <w:adjustRightInd w:val="0"/>
              <w:snapToGrid w:val="0"/>
              <w:spacing w:line="360" w:lineRule="auto"/>
              <w:ind w:firstLine="480" w:firstLineChars="200"/>
              <w:rPr>
                <w:color w:val="auto"/>
                <w:sz w:val="24"/>
                <w:highlight w:val="none"/>
              </w:rPr>
            </w:pPr>
            <w:r>
              <w:rPr>
                <w:rFonts w:hint="eastAsia"/>
                <w:color w:val="auto"/>
                <w:sz w:val="24"/>
                <w:highlight w:val="none"/>
              </w:rPr>
              <w:t>本项目</w:t>
            </w:r>
            <w:r>
              <w:rPr>
                <w:rFonts w:hint="eastAsia"/>
                <w:color w:val="auto"/>
                <w:sz w:val="24"/>
                <w:highlight w:val="none"/>
                <w:lang w:eastAsia="zh-CN"/>
              </w:rPr>
              <w:t>拟</w:t>
            </w:r>
            <w:r>
              <w:rPr>
                <w:rFonts w:hint="eastAsia"/>
                <w:color w:val="auto"/>
                <w:sz w:val="24"/>
                <w:highlight w:val="none"/>
              </w:rPr>
              <w:t>设食堂，食堂使用电能作为能源，项目</w:t>
            </w:r>
            <w:r>
              <w:rPr>
                <w:rFonts w:hint="eastAsia"/>
                <w:color w:val="auto"/>
                <w:sz w:val="24"/>
                <w:highlight w:val="none"/>
                <w:lang w:eastAsia="zh-CN"/>
              </w:rPr>
              <w:t>拟定</w:t>
            </w:r>
            <w:r>
              <w:rPr>
                <w:rFonts w:hint="eastAsia"/>
                <w:color w:val="auto"/>
                <w:sz w:val="24"/>
                <w:highlight w:val="none"/>
              </w:rPr>
              <w:t>员工</w:t>
            </w:r>
            <w:r>
              <w:rPr>
                <w:rFonts w:hint="eastAsia"/>
                <w:color w:val="auto"/>
                <w:sz w:val="24"/>
                <w:highlight w:val="none"/>
                <w:lang w:val="en-US" w:eastAsia="zh-CN"/>
              </w:rPr>
              <w:t>26</w:t>
            </w:r>
            <w:r>
              <w:rPr>
                <w:rFonts w:hint="eastAsia"/>
                <w:color w:val="auto"/>
                <w:sz w:val="24"/>
                <w:highlight w:val="none"/>
              </w:rPr>
              <w:t>人，年工作</w:t>
            </w:r>
            <w:r>
              <w:rPr>
                <w:rFonts w:hint="eastAsia"/>
                <w:color w:val="auto"/>
                <w:sz w:val="24"/>
                <w:highlight w:val="none"/>
                <w:lang w:val="en-US" w:eastAsia="zh-CN"/>
              </w:rPr>
              <w:t>15</w:t>
            </w:r>
            <w:r>
              <w:rPr>
                <w:rFonts w:hint="eastAsia"/>
                <w:color w:val="auto"/>
                <w:sz w:val="24"/>
                <w:highlight w:val="none"/>
              </w:rPr>
              <w:t>0天，类比一般居民生活，食堂食用油的消耗量按30g/人</w:t>
            </w:r>
            <w:r>
              <w:rPr>
                <w:color w:val="auto"/>
                <w:sz w:val="24"/>
                <w:highlight w:val="none"/>
              </w:rPr>
              <w:t>·</w:t>
            </w:r>
            <w:r>
              <w:rPr>
                <w:rFonts w:hint="eastAsia"/>
                <w:color w:val="auto"/>
                <w:sz w:val="24"/>
                <w:highlight w:val="none"/>
              </w:rPr>
              <w:t>d计，则本项目食用油消耗量为0.</w:t>
            </w:r>
            <w:r>
              <w:rPr>
                <w:rFonts w:hint="eastAsia"/>
                <w:color w:val="auto"/>
                <w:sz w:val="24"/>
                <w:highlight w:val="none"/>
                <w:lang w:val="en-US" w:eastAsia="zh-CN"/>
              </w:rPr>
              <w:t>78</w:t>
            </w:r>
            <w:r>
              <w:rPr>
                <w:rFonts w:hint="eastAsia"/>
                <w:color w:val="auto"/>
                <w:sz w:val="24"/>
                <w:highlight w:val="none"/>
              </w:rPr>
              <w:t>kg/d。厨房不同的炒炸工况油的挥发量不同，平均约占总耗油量的2%～4%，本次评价取3%，则油烟产生量为0.0</w:t>
            </w:r>
            <w:r>
              <w:rPr>
                <w:rFonts w:hint="eastAsia"/>
                <w:color w:val="auto"/>
                <w:sz w:val="24"/>
                <w:highlight w:val="none"/>
                <w:lang w:val="en-US" w:eastAsia="zh-CN"/>
              </w:rPr>
              <w:t>234</w:t>
            </w:r>
            <w:r>
              <w:rPr>
                <w:rFonts w:hint="eastAsia"/>
                <w:color w:val="auto"/>
                <w:sz w:val="24"/>
                <w:highlight w:val="none"/>
              </w:rPr>
              <w:t>kg/d，</w:t>
            </w:r>
            <w:r>
              <w:rPr>
                <w:rFonts w:hint="eastAsia"/>
                <w:color w:val="auto"/>
                <w:sz w:val="24"/>
                <w:highlight w:val="none"/>
                <w:lang w:val="en-US" w:eastAsia="zh-CN"/>
              </w:rPr>
              <w:t>3.51</w:t>
            </w:r>
            <w:r>
              <w:rPr>
                <w:rFonts w:hint="eastAsia"/>
                <w:color w:val="auto"/>
                <w:sz w:val="24"/>
                <w:highlight w:val="none"/>
              </w:rPr>
              <w:t>kg/a，项目食堂</w:t>
            </w:r>
            <w:r>
              <w:rPr>
                <w:rFonts w:hint="eastAsia"/>
                <w:color w:val="auto"/>
                <w:sz w:val="24"/>
                <w:highlight w:val="none"/>
                <w:lang w:eastAsia="zh-CN"/>
              </w:rPr>
              <w:t>拟</w:t>
            </w:r>
            <w:r>
              <w:rPr>
                <w:rFonts w:hint="eastAsia"/>
                <w:color w:val="auto"/>
                <w:sz w:val="24"/>
                <w:highlight w:val="none"/>
              </w:rPr>
              <w:t>设1个灶头，引风机风量2000m</w:t>
            </w:r>
            <w:r>
              <w:rPr>
                <w:rFonts w:hint="eastAsia"/>
                <w:color w:val="auto"/>
                <w:sz w:val="24"/>
                <w:highlight w:val="none"/>
                <w:vertAlign w:val="superscript"/>
              </w:rPr>
              <w:t>3</w:t>
            </w:r>
            <w:r>
              <w:rPr>
                <w:rFonts w:hint="eastAsia"/>
                <w:color w:val="auto"/>
                <w:sz w:val="24"/>
                <w:highlight w:val="none"/>
              </w:rPr>
              <w:t>/h，项目每天工作按6h计算，则油烟产生浓度为</w:t>
            </w:r>
            <w:r>
              <w:rPr>
                <w:rFonts w:hint="eastAsia"/>
                <w:color w:val="auto"/>
                <w:sz w:val="24"/>
                <w:highlight w:val="none"/>
                <w:lang w:val="en-US" w:eastAsia="zh-CN"/>
              </w:rPr>
              <w:t>1.95</w:t>
            </w:r>
            <w:r>
              <w:rPr>
                <w:rFonts w:hint="eastAsia"/>
                <w:color w:val="auto"/>
                <w:sz w:val="24"/>
                <w:highlight w:val="none"/>
              </w:rPr>
              <w:t>mg/m</w:t>
            </w:r>
            <w:r>
              <w:rPr>
                <w:rFonts w:hint="eastAsia"/>
                <w:color w:val="auto"/>
                <w:sz w:val="24"/>
                <w:highlight w:val="none"/>
                <w:vertAlign w:val="superscript"/>
              </w:rPr>
              <w:t>3</w:t>
            </w:r>
            <w:r>
              <w:rPr>
                <w:rFonts w:hint="eastAsia"/>
                <w:color w:val="auto"/>
                <w:sz w:val="24"/>
                <w:highlight w:val="none"/>
                <w:lang w:eastAsia="zh-CN"/>
              </w:rPr>
              <w:t>，</w:t>
            </w:r>
            <w:r>
              <w:rPr>
                <w:rFonts w:hint="eastAsia"/>
                <w:color w:val="auto"/>
                <w:sz w:val="24"/>
                <w:highlight w:val="none"/>
              </w:rPr>
              <w:t>能够满足《饮食业油烟排放标准</w:t>
            </w:r>
            <w:r>
              <w:rPr>
                <w:rFonts w:hint="eastAsia"/>
                <w:color w:val="auto"/>
                <w:sz w:val="24"/>
                <w:highlight w:val="none"/>
                <w:lang w:eastAsia="zh-CN"/>
              </w:rPr>
              <w:t>（试行）</w:t>
            </w:r>
            <w:r>
              <w:rPr>
                <w:rFonts w:hint="eastAsia"/>
                <w:color w:val="auto"/>
                <w:sz w:val="24"/>
                <w:highlight w:val="none"/>
              </w:rPr>
              <w:t>》(GB18483-2001)最高允许排放浓度限值2mg/m</w:t>
            </w:r>
            <w:r>
              <w:rPr>
                <w:rFonts w:hint="eastAsia"/>
                <w:color w:val="auto"/>
                <w:sz w:val="24"/>
                <w:highlight w:val="none"/>
                <w:vertAlign w:val="superscript"/>
              </w:rPr>
              <w:t>3</w:t>
            </w:r>
            <w:r>
              <w:rPr>
                <w:rFonts w:hint="eastAsia"/>
                <w:color w:val="auto"/>
                <w:sz w:val="24"/>
                <w:highlight w:val="none"/>
              </w:rPr>
              <w:t>，通过专用烟道从屋顶高空排放。</w:t>
            </w:r>
          </w:p>
          <w:p w14:paraId="2002326B">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b w:val="0"/>
                <w:bCs w:val="0"/>
                <w:color w:val="auto"/>
                <w:kern w:val="0"/>
                <w:sz w:val="24"/>
                <w:highlight w:val="none"/>
              </w:rPr>
            </w:pPr>
            <w:r>
              <w:rPr>
                <w:rFonts w:hint="eastAsia"/>
                <w:b w:val="0"/>
                <w:bCs w:val="0"/>
                <w:color w:val="auto"/>
                <w:kern w:val="0"/>
                <w:sz w:val="24"/>
                <w:highlight w:val="none"/>
                <w:lang w:val="en-US" w:eastAsia="zh-CN"/>
              </w:rPr>
              <w:t>4</w:t>
            </w:r>
            <w:r>
              <w:rPr>
                <w:rFonts w:hint="eastAsia"/>
                <w:b w:val="0"/>
                <w:bCs w:val="0"/>
                <w:color w:val="auto"/>
                <w:kern w:val="0"/>
                <w:sz w:val="24"/>
                <w:highlight w:val="none"/>
              </w:rPr>
              <w:t>、环境影响分析</w:t>
            </w:r>
          </w:p>
          <w:p w14:paraId="14CB946E">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eastAsia" w:ascii="宋体" w:hAnsi="宋体" w:cs="宋体"/>
                <w:color w:val="auto"/>
                <w:kern w:val="0"/>
                <w:sz w:val="24"/>
                <w:highlight w:val="none"/>
                <w:lang w:bidi="ar"/>
              </w:rPr>
            </w:pPr>
            <w:r>
              <w:rPr>
                <w:rFonts w:hint="eastAsia" w:ascii="宋体" w:hAnsi="宋体" w:cs="宋体"/>
                <w:color w:val="auto"/>
                <w:kern w:val="0"/>
                <w:sz w:val="24"/>
                <w:highlight w:val="none"/>
                <w:lang w:eastAsia="zh-CN" w:bidi="ar"/>
              </w:rPr>
              <w:t>根据前文分析结果可知，项目区域大气环境质量良好，同时</w:t>
            </w:r>
            <w:r>
              <w:rPr>
                <w:rFonts w:hint="eastAsia" w:ascii="宋体" w:hAnsi="宋体" w:cs="宋体"/>
                <w:color w:val="auto"/>
                <w:kern w:val="0"/>
                <w:sz w:val="24"/>
                <w:highlight w:val="none"/>
                <w:lang w:bidi="ar"/>
              </w:rPr>
              <w:t>根据以上估算结果可知，</w:t>
            </w:r>
            <w:r>
              <w:rPr>
                <w:rFonts w:hint="eastAsia" w:ascii="宋体" w:hAnsi="宋体" w:cs="宋体"/>
                <w:color w:val="auto"/>
                <w:kern w:val="0"/>
                <w:sz w:val="24"/>
                <w:highlight w:val="none"/>
                <w:lang w:eastAsia="zh-CN" w:bidi="ar"/>
              </w:rPr>
              <w:t>项目蒸煮异味及调制废气</w:t>
            </w:r>
            <w:r>
              <w:rPr>
                <w:rFonts w:hint="eastAsia" w:ascii="宋体" w:hAnsi="宋体" w:cs="宋体"/>
                <w:color w:val="auto"/>
                <w:kern w:val="0"/>
                <w:sz w:val="24"/>
                <w:highlight w:val="none"/>
                <w:lang w:bidi="ar"/>
              </w:rPr>
              <w:t>无组织排放，</w:t>
            </w:r>
            <w:r>
              <w:rPr>
                <w:rFonts w:hint="eastAsia"/>
                <w:color w:val="auto"/>
                <w:kern w:val="0"/>
                <w:sz w:val="24"/>
                <w:highlight w:val="none"/>
                <w:lang w:eastAsia="zh-CN" w:bidi="ar"/>
              </w:rPr>
              <w:t>排放量较小，对周边环境影响较小</w:t>
            </w:r>
            <w:r>
              <w:rPr>
                <w:rFonts w:hint="eastAsia"/>
                <w:bCs/>
                <w:color w:val="auto"/>
                <w:sz w:val="24"/>
                <w:highlight w:val="none"/>
              </w:rPr>
              <w:t>；</w:t>
            </w:r>
            <w:r>
              <w:rPr>
                <w:rFonts w:hint="eastAsia"/>
                <w:bCs/>
                <w:color w:val="auto"/>
                <w:sz w:val="24"/>
                <w:highlight w:val="none"/>
                <w:lang w:eastAsia="zh-CN"/>
              </w:rPr>
              <w:t>同时油烟废气</w:t>
            </w:r>
            <w:r>
              <w:rPr>
                <w:rFonts w:hint="eastAsia"/>
                <w:color w:val="auto"/>
                <w:sz w:val="24"/>
                <w:highlight w:val="none"/>
              </w:rPr>
              <w:t>能够满足《饮食业油烟排放标准（试行）》(GB18483-2001)最高允许排放浓度限值2mg/m</w:t>
            </w:r>
            <w:r>
              <w:rPr>
                <w:rFonts w:hint="eastAsia"/>
                <w:color w:val="auto"/>
                <w:sz w:val="24"/>
                <w:highlight w:val="none"/>
                <w:vertAlign w:val="superscript"/>
              </w:rPr>
              <w:t>3</w:t>
            </w:r>
            <w:r>
              <w:rPr>
                <w:rFonts w:hint="eastAsia"/>
                <w:color w:val="auto"/>
                <w:sz w:val="24"/>
                <w:highlight w:val="none"/>
              </w:rPr>
              <w:t>。</w:t>
            </w:r>
          </w:p>
          <w:p w14:paraId="44124FE8">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bCs/>
                <w:color w:val="auto"/>
                <w:sz w:val="24"/>
                <w:highlight w:val="none"/>
              </w:rPr>
            </w:pPr>
            <w:r>
              <w:rPr>
                <w:rFonts w:hint="eastAsia"/>
                <w:bCs/>
                <w:color w:val="auto"/>
                <w:sz w:val="24"/>
                <w:highlight w:val="none"/>
              </w:rPr>
              <w:t>因此</w:t>
            </w:r>
            <w:r>
              <w:rPr>
                <w:bCs/>
                <w:color w:val="auto"/>
                <w:sz w:val="24"/>
                <w:highlight w:val="none"/>
              </w:rPr>
              <w:t>，本项目产生的废气经有效处理后对</w:t>
            </w:r>
            <w:r>
              <w:rPr>
                <w:rFonts w:hint="eastAsia"/>
                <w:bCs/>
                <w:color w:val="auto"/>
                <w:sz w:val="24"/>
                <w:highlight w:val="none"/>
              </w:rPr>
              <w:t>区域</w:t>
            </w:r>
            <w:r>
              <w:rPr>
                <w:bCs/>
                <w:color w:val="auto"/>
                <w:sz w:val="24"/>
                <w:highlight w:val="none"/>
              </w:rPr>
              <w:t>环境影响较小。</w:t>
            </w:r>
          </w:p>
          <w:p w14:paraId="4D38E9EE">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b w:val="0"/>
                <w:bCs/>
                <w:color w:val="auto"/>
                <w:sz w:val="24"/>
                <w:highlight w:val="none"/>
              </w:rPr>
            </w:pPr>
            <w:r>
              <w:rPr>
                <w:rFonts w:hint="eastAsia"/>
                <w:b w:val="0"/>
                <w:bCs/>
                <w:color w:val="auto"/>
                <w:sz w:val="24"/>
                <w:highlight w:val="none"/>
                <w:lang w:val="en-US" w:eastAsia="zh-CN"/>
              </w:rPr>
              <w:t>6</w:t>
            </w:r>
            <w:r>
              <w:rPr>
                <w:rFonts w:hint="eastAsia"/>
                <w:b w:val="0"/>
                <w:bCs/>
                <w:color w:val="auto"/>
                <w:sz w:val="24"/>
                <w:highlight w:val="none"/>
              </w:rPr>
              <w:t>、</w:t>
            </w:r>
            <w:r>
              <w:rPr>
                <w:b w:val="0"/>
                <w:bCs/>
                <w:color w:val="auto"/>
                <w:sz w:val="24"/>
                <w:highlight w:val="none"/>
              </w:rPr>
              <w:t>监测计划</w:t>
            </w:r>
          </w:p>
          <w:p w14:paraId="2F9EF97F">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color w:val="auto"/>
                <w:highlight w:val="none"/>
              </w:rPr>
            </w:pPr>
            <w:r>
              <w:rPr>
                <w:color w:val="auto"/>
                <w:sz w:val="24"/>
                <w:highlight w:val="none"/>
              </w:rPr>
              <w:t>根据《排污单位自行监测技术指南 总则》（HJ819-2017）规定，</w:t>
            </w:r>
            <w:r>
              <w:rPr>
                <w:rFonts w:hint="eastAsia"/>
                <w:color w:val="auto"/>
                <w:sz w:val="24"/>
                <w:highlight w:val="none"/>
              </w:rPr>
              <w:t>建设单位应</w:t>
            </w:r>
            <w:r>
              <w:rPr>
                <w:color w:val="auto"/>
                <w:sz w:val="24"/>
                <w:highlight w:val="none"/>
              </w:rPr>
              <w:t>定期开展污染源监测，及时掌握产排污规律，加强污染治理。</w:t>
            </w:r>
            <w:r>
              <w:rPr>
                <w:rFonts w:hint="eastAsia"/>
                <w:color w:val="auto"/>
                <w:sz w:val="24"/>
                <w:highlight w:val="none"/>
                <w:lang w:eastAsia="zh-CN"/>
              </w:rPr>
              <w:t>本次</w:t>
            </w:r>
            <w:r>
              <w:rPr>
                <w:color w:val="auto"/>
                <w:sz w:val="24"/>
                <w:highlight w:val="none"/>
              </w:rPr>
              <w:t>提出以下监测计划：</w:t>
            </w:r>
          </w:p>
          <w:p w14:paraId="26BCF900">
            <w:pPr>
              <w:adjustRightInd w:val="0"/>
              <w:snapToGrid w:val="0"/>
              <w:jc w:val="center"/>
              <w:rPr>
                <w:b/>
                <w:bCs/>
                <w:color w:val="auto"/>
                <w:spacing w:val="-10"/>
                <w:szCs w:val="21"/>
                <w:highlight w:val="none"/>
              </w:rPr>
            </w:pPr>
            <w:r>
              <w:rPr>
                <w:b/>
                <w:color w:val="auto"/>
                <w:szCs w:val="21"/>
                <w:highlight w:val="none"/>
              </w:rPr>
              <w:t>表4-</w:t>
            </w:r>
            <w:r>
              <w:rPr>
                <w:rFonts w:hint="eastAsia"/>
                <w:b/>
                <w:color w:val="auto"/>
                <w:szCs w:val="21"/>
                <w:highlight w:val="none"/>
                <w:lang w:val="en-US" w:eastAsia="zh-CN"/>
              </w:rPr>
              <w:t>3</w:t>
            </w:r>
            <w:r>
              <w:rPr>
                <w:b/>
                <w:color w:val="auto"/>
                <w:szCs w:val="21"/>
                <w:highlight w:val="none"/>
              </w:rPr>
              <w:t xml:space="preserve">  废气监测计划</w:t>
            </w:r>
          </w:p>
          <w:tbl>
            <w:tblPr>
              <w:tblStyle w:val="28"/>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757"/>
              <w:gridCol w:w="1143"/>
              <w:gridCol w:w="1283"/>
              <w:gridCol w:w="1134"/>
              <w:gridCol w:w="916"/>
              <w:gridCol w:w="2172"/>
            </w:tblGrid>
            <w:tr w14:paraId="45A4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57" w:type="dxa"/>
                  <w:noWrap w:val="0"/>
                  <w:vAlign w:val="center"/>
                </w:tcPr>
                <w:p w14:paraId="25758EB0">
                  <w:pPr>
                    <w:jc w:val="center"/>
                    <w:rPr>
                      <w:color w:val="auto"/>
                      <w:szCs w:val="21"/>
                      <w:highlight w:val="none"/>
                    </w:rPr>
                  </w:pPr>
                  <w:r>
                    <w:rPr>
                      <w:color w:val="auto"/>
                      <w:szCs w:val="21"/>
                      <w:highlight w:val="none"/>
                    </w:rPr>
                    <w:t>项目</w:t>
                  </w:r>
                </w:p>
              </w:tc>
              <w:tc>
                <w:tcPr>
                  <w:tcW w:w="1900" w:type="dxa"/>
                  <w:gridSpan w:val="2"/>
                  <w:noWrap w:val="0"/>
                  <w:vAlign w:val="center"/>
                </w:tcPr>
                <w:p w14:paraId="182C7711">
                  <w:pPr>
                    <w:jc w:val="center"/>
                    <w:rPr>
                      <w:color w:val="auto"/>
                      <w:szCs w:val="21"/>
                      <w:highlight w:val="none"/>
                    </w:rPr>
                  </w:pPr>
                  <w:r>
                    <w:rPr>
                      <w:color w:val="auto"/>
                      <w:szCs w:val="21"/>
                      <w:highlight w:val="none"/>
                    </w:rPr>
                    <w:t>监测项目</w:t>
                  </w:r>
                </w:p>
              </w:tc>
              <w:tc>
                <w:tcPr>
                  <w:tcW w:w="1283" w:type="dxa"/>
                  <w:noWrap w:val="0"/>
                  <w:vAlign w:val="center"/>
                </w:tcPr>
                <w:p w14:paraId="6790EF52">
                  <w:pPr>
                    <w:jc w:val="center"/>
                    <w:rPr>
                      <w:rFonts w:hint="eastAsia"/>
                      <w:color w:val="auto"/>
                      <w:szCs w:val="21"/>
                      <w:highlight w:val="none"/>
                    </w:rPr>
                  </w:pPr>
                  <w:r>
                    <w:rPr>
                      <w:color w:val="auto"/>
                      <w:szCs w:val="21"/>
                      <w:highlight w:val="none"/>
                    </w:rPr>
                    <w:t>监测</w:t>
                  </w:r>
                </w:p>
                <w:p w14:paraId="7826BAB5">
                  <w:pPr>
                    <w:jc w:val="center"/>
                    <w:rPr>
                      <w:color w:val="auto"/>
                      <w:szCs w:val="21"/>
                      <w:highlight w:val="none"/>
                    </w:rPr>
                  </w:pPr>
                  <w:r>
                    <w:rPr>
                      <w:color w:val="auto"/>
                      <w:szCs w:val="21"/>
                      <w:highlight w:val="none"/>
                    </w:rPr>
                    <w:t>点位</w:t>
                  </w:r>
                </w:p>
              </w:tc>
              <w:tc>
                <w:tcPr>
                  <w:tcW w:w="1134" w:type="dxa"/>
                  <w:noWrap w:val="0"/>
                  <w:vAlign w:val="center"/>
                </w:tcPr>
                <w:p w14:paraId="6AE7B8F6">
                  <w:pPr>
                    <w:jc w:val="center"/>
                    <w:rPr>
                      <w:rFonts w:hint="eastAsia"/>
                      <w:color w:val="auto"/>
                      <w:szCs w:val="21"/>
                      <w:highlight w:val="none"/>
                    </w:rPr>
                  </w:pPr>
                  <w:r>
                    <w:rPr>
                      <w:color w:val="auto"/>
                      <w:szCs w:val="21"/>
                      <w:highlight w:val="none"/>
                    </w:rPr>
                    <w:t>监测</w:t>
                  </w:r>
                </w:p>
                <w:p w14:paraId="6EE93156">
                  <w:pPr>
                    <w:jc w:val="center"/>
                    <w:rPr>
                      <w:color w:val="auto"/>
                      <w:szCs w:val="21"/>
                      <w:highlight w:val="none"/>
                    </w:rPr>
                  </w:pPr>
                  <w:r>
                    <w:rPr>
                      <w:color w:val="auto"/>
                      <w:szCs w:val="21"/>
                      <w:highlight w:val="none"/>
                    </w:rPr>
                    <w:t>点数</w:t>
                  </w:r>
                </w:p>
              </w:tc>
              <w:tc>
                <w:tcPr>
                  <w:tcW w:w="916" w:type="dxa"/>
                  <w:noWrap w:val="0"/>
                  <w:vAlign w:val="center"/>
                </w:tcPr>
                <w:p w14:paraId="0B0298F7">
                  <w:pPr>
                    <w:jc w:val="center"/>
                    <w:rPr>
                      <w:rFonts w:hint="eastAsia"/>
                      <w:color w:val="auto"/>
                      <w:szCs w:val="21"/>
                      <w:highlight w:val="none"/>
                    </w:rPr>
                  </w:pPr>
                  <w:r>
                    <w:rPr>
                      <w:color w:val="auto"/>
                      <w:szCs w:val="21"/>
                      <w:highlight w:val="none"/>
                    </w:rPr>
                    <w:t>监测</w:t>
                  </w:r>
                </w:p>
                <w:p w14:paraId="699D2399">
                  <w:pPr>
                    <w:jc w:val="center"/>
                    <w:rPr>
                      <w:color w:val="auto"/>
                      <w:szCs w:val="21"/>
                      <w:highlight w:val="none"/>
                    </w:rPr>
                  </w:pPr>
                  <w:r>
                    <w:rPr>
                      <w:color w:val="auto"/>
                      <w:szCs w:val="21"/>
                      <w:highlight w:val="none"/>
                    </w:rPr>
                    <w:t>频率</w:t>
                  </w:r>
                </w:p>
              </w:tc>
              <w:tc>
                <w:tcPr>
                  <w:tcW w:w="2172" w:type="dxa"/>
                  <w:noWrap w:val="0"/>
                  <w:vAlign w:val="center"/>
                </w:tcPr>
                <w:p w14:paraId="0BA7E9C1">
                  <w:pPr>
                    <w:jc w:val="center"/>
                    <w:rPr>
                      <w:color w:val="auto"/>
                      <w:szCs w:val="21"/>
                      <w:highlight w:val="none"/>
                    </w:rPr>
                  </w:pPr>
                  <w:r>
                    <w:rPr>
                      <w:color w:val="auto"/>
                      <w:szCs w:val="21"/>
                      <w:highlight w:val="none"/>
                    </w:rPr>
                    <w:t>控制标准</w:t>
                  </w:r>
                </w:p>
              </w:tc>
            </w:tr>
            <w:tr w14:paraId="3524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57" w:type="dxa"/>
                  <w:vMerge w:val="restart"/>
                  <w:noWrap w:val="0"/>
                  <w:vAlign w:val="center"/>
                </w:tcPr>
                <w:p w14:paraId="5F5275E4">
                  <w:pPr>
                    <w:jc w:val="center"/>
                    <w:rPr>
                      <w:color w:val="auto"/>
                      <w:szCs w:val="21"/>
                      <w:highlight w:val="none"/>
                    </w:rPr>
                  </w:pPr>
                  <w:r>
                    <w:rPr>
                      <w:color w:val="auto"/>
                      <w:szCs w:val="21"/>
                      <w:highlight w:val="none"/>
                    </w:rPr>
                    <w:t>废气</w:t>
                  </w:r>
                </w:p>
              </w:tc>
              <w:tc>
                <w:tcPr>
                  <w:tcW w:w="757" w:type="dxa"/>
                  <w:vMerge w:val="restart"/>
                  <w:noWrap w:val="0"/>
                  <w:vAlign w:val="center"/>
                </w:tcPr>
                <w:p w14:paraId="0235666D">
                  <w:pPr>
                    <w:jc w:val="center"/>
                    <w:rPr>
                      <w:rFonts w:hint="eastAsia"/>
                      <w:color w:val="auto"/>
                      <w:szCs w:val="21"/>
                      <w:highlight w:val="none"/>
                    </w:rPr>
                  </w:pPr>
                  <w:r>
                    <w:rPr>
                      <w:rFonts w:hint="eastAsia"/>
                      <w:color w:val="auto"/>
                      <w:szCs w:val="21"/>
                      <w:highlight w:val="none"/>
                    </w:rPr>
                    <w:t>无组织</w:t>
                  </w:r>
                </w:p>
              </w:tc>
              <w:tc>
                <w:tcPr>
                  <w:tcW w:w="1143" w:type="dxa"/>
                  <w:noWrap w:val="0"/>
                  <w:vAlign w:val="center"/>
                </w:tcPr>
                <w:p w14:paraId="4BC272B5">
                  <w:pPr>
                    <w:jc w:val="center"/>
                    <w:rPr>
                      <w:rFonts w:hint="eastAsia"/>
                      <w:color w:val="auto"/>
                      <w:szCs w:val="21"/>
                      <w:highlight w:val="none"/>
                      <w:lang w:eastAsia="zh-CN"/>
                    </w:rPr>
                  </w:pPr>
                  <w:r>
                    <w:rPr>
                      <w:rFonts w:hint="eastAsia"/>
                      <w:color w:val="auto"/>
                      <w:szCs w:val="21"/>
                      <w:highlight w:val="none"/>
                      <w:lang w:eastAsia="zh-CN"/>
                    </w:rPr>
                    <w:t>油烟废气</w:t>
                  </w:r>
                </w:p>
              </w:tc>
              <w:tc>
                <w:tcPr>
                  <w:tcW w:w="1283" w:type="dxa"/>
                  <w:noWrap w:val="0"/>
                  <w:vAlign w:val="center"/>
                </w:tcPr>
                <w:p w14:paraId="341B66D0">
                  <w:pPr>
                    <w:jc w:val="center"/>
                    <w:rPr>
                      <w:rFonts w:hint="eastAsia"/>
                      <w:color w:val="auto"/>
                      <w:szCs w:val="21"/>
                      <w:highlight w:val="none"/>
                      <w:lang w:eastAsia="zh-CN"/>
                    </w:rPr>
                  </w:pPr>
                  <w:r>
                    <w:rPr>
                      <w:rFonts w:hint="eastAsia"/>
                      <w:color w:val="auto"/>
                      <w:szCs w:val="21"/>
                      <w:highlight w:val="none"/>
                      <w:lang w:eastAsia="zh-CN"/>
                    </w:rPr>
                    <w:t>食堂烟囱</w:t>
                  </w:r>
                </w:p>
              </w:tc>
              <w:tc>
                <w:tcPr>
                  <w:tcW w:w="1134" w:type="dxa"/>
                  <w:noWrap w:val="0"/>
                  <w:vAlign w:val="center"/>
                </w:tcPr>
                <w:p w14:paraId="77FF4407">
                  <w:pPr>
                    <w:jc w:val="center"/>
                    <w:rPr>
                      <w:rFonts w:hint="eastAsia" w:eastAsia="宋体"/>
                      <w:color w:val="auto"/>
                      <w:szCs w:val="21"/>
                      <w:highlight w:val="none"/>
                      <w:lang w:val="en-US" w:eastAsia="zh-CN"/>
                    </w:rPr>
                  </w:pPr>
                  <w:r>
                    <w:rPr>
                      <w:rFonts w:hint="eastAsia"/>
                      <w:color w:val="auto"/>
                      <w:szCs w:val="21"/>
                      <w:highlight w:val="none"/>
                      <w:lang w:val="en-US" w:eastAsia="zh-CN"/>
                    </w:rPr>
                    <w:t>1个</w:t>
                  </w:r>
                </w:p>
              </w:tc>
              <w:tc>
                <w:tcPr>
                  <w:tcW w:w="916" w:type="dxa"/>
                  <w:noWrap w:val="0"/>
                  <w:vAlign w:val="center"/>
                </w:tcPr>
                <w:p w14:paraId="2ABFD4CD">
                  <w:pPr>
                    <w:jc w:val="center"/>
                    <w:rPr>
                      <w:rFonts w:hint="eastAsia"/>
                      <w:color w:val="auto"/>
                      <w:szCs w:val="21"/>
                      <w:highlight w:val="none"/>
                      <w:lang w:val="en-US" w:eastAsia="zh-CN"/>
                    </w:rPr>
                  </w:pPr>
                  <w:r>
                    <w:rPr>
                      <w:rFonts w:hint="eastAsia"/>
                      <w:color w:val="auto"/>
                      <w:szCs w:val="21"/>
                      <w:highlight w:val="none"/>
                      <w:lang w:val="en-US" w:eastAsia="zh-CN"/>
                    </w:rPr>
                    <w:t>1次/半年</w:t>
                  </w:r>
                </w:p>
              </w:tc>
              <w:tc>
                <w:tcPr>
                  <w:tcW w:w="2172" w:type="dxa"/>
                  <w:noWrap w:val="0"/>
                  <w:vAlign w:val="center"/>
                </w:tcPr>
                <w:p w14:paraId="2457D2B4">
                  <w:pPr>
                    <w:jc w:val="center"/>
                    <w:rPr>
                      <w:rFonts w:hint="eastAsia"/>
                      <w:color w:val="auto"/>
                      <w:szCs w:val="21"/>
                      <w:highlight w:val="none"/>
                    </w:rPr>
                  </w:pPr>
                  <w:r>
                    <w:rPr>
                      <w:rFonts w:hint="eastAsia"/>
                      <w:color w:val="auto"/>
                      <w:szCs w:val="21"/>
                      <w:highlight w:val="none"/>
                    </w:rPr>
                    <w:t>《饮食业油烟排放标准（试行）》(GB18483-2001)</w:t>
                  </w:r>
                </w:p>
              </w:tc>
            </w:tr>
            <w:tr w14:paraId="5864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57" w:type="dxa"/>
                  <w:vMerge w:val="continue"/>
                  <w:noWrap w:val="0"/>
                  <w:vAlign w:val="center"/>
                </w:tcPr>
                <w:p w14:paraId="3890489F">
                  <w:pPr>
                    <w:jc w:val="center"/>
                    <w:rPr>
                      <w:color w:val="auto"/>
                      <w:szCs w:val="21"/>
                      <w:highlight w:val="none"/>
                    </w:rPr>
                  </w:pPr>
                </w:p>
              </w:tc>
              <w:tc>
                <w:tcPr>
                  <w:tcW w:w="757" w:type="dxa"/>
                  <w:vMerge w:val="continue"/>
                  <w:noWrap w:val="0"/>
                  <w:vAlign w:val="center"/>
                </w:tcPr>
                <w:p w14:paraId="57E17F4B">
                  <w:pPr>
                    <w:jc w:val="center"/>
                    <w:rPr>
                      <w:rFonts w:hint="eastAsia"/>
                      <w:color w:val="auto"/>
                      <w:szCs w:val="21"/>
                      <w:highlight w:val="none"/>
                    </w:rPr>
                  </w:pPr>
                </w:p>
              </w:tc>
              <w:tc>
                <w:tcPr>
                  <w:tcW w:w="1143" w:type="dxa"/>
                  <w:noWrap w:val="0"/>
                  <w:vAlign w:val="center"/>
                </w:tcPr>
                <w:p w14:paraId="06E5D9DC">
                  <w:pPr>
                    <w:jc w:val="center"/>
                    <w:rPr>
                      <w:rFonts w:hint="eastAsia" w:eastAsia="宋体"/>
                      <w:color w:val="auto"/>
                      <w:szCs w:val="21"/>
                      <w:highlight w:val="none"/>
                      <w:lang w:eastAsia="zh-CN"/>
                    </w:rPr>
                  </w:pPr>
                  <w:r>
                    <w:rPr>
                      <w:rFonts w:hint="eastAsia"/>
                      <w:color w:val="auto"/>
                      <w:szCs w:val="21"/>
                      <w:highlight w:val="none"/>
                      <w:lang w:eastAsia="zh-CN"/>
                    </w:rPr>
                    <w:t>非甲烷总烃</w:t>
                  </w:r>
                </w:p>
              </w:tc>
              <w:tc>
                <w:tcPr>
                  <w:tcW w:w="1283" w:type="dxa"/>
                  <w:noWrap w:val="0"/>
                  <w:vAlign w:val="center"/>
                </w:tcPr>
                <w:p w14:paraId="70FC9360">
                  <w:pPr>
                    <w:jc w:val="center"/>
                    <w:rPr>
                      <w:rFonts w:hint="eastAsia" w:eastAsia="宋体"/>
                      <w:color w:val="auto"/>
                      <w:szCs w:val="21"/>
                      <w:highlight w:val="none"/>
                      <w:lang w:eastAsia="zh-CN"/>
                    </w:rPr>
                  </w:pPr>
                  <w:r>
                    <w:rPr>
                      <w:rFonts w:hint="eastAsia"/>
                      <w:color w:val="auto"/>
                      <w:szCs w:val="21"/>
                      <w:highlight w:val="none"/>
                      <w:lang w:eastAsia="zh-CN"/>
                    </w:rPr>
                    <w:t>项目厂界</w:t>
                  </w:r>
                </w:p>
              </w:tc>
              <w:tc>
                <w:tcPr>
                  <w:tcW w:w="1134" w:type="dxa"/>
                  <w:noWrap w:val="0"/>
                  <w:vAlign w:val="center"/>
                </w:tcPr>
                <w:p w14:paraId="731440C2">
                  <w:pPr>
                    <w:jc w:val="center"/>
                    <w:rPr>
                      <w:color w:val="auto"/>
                      <w:szCs w:val="21"/>
                      <w:highlight w:val="none"/>
                    </w:rPr>
                  </w:pPr>
                  <w:r>
                    <w:rPr>
                      <w:rFonts w:hint="eastAsia"/>
                      <w:color w:val="auto"/>
                      <w:szCs w:val="21"/>
                      <w:highlight w:val="none"/>
                    </w:rPr>
                    <w:t>上风向1个，下风向3个</w:t>
                  </w:r>
                </w:p>
              </w:tc>
              <w:tc>
                <w:tcPr>
                  <w:tcW w:w="916" w:type="dxa"/>
                  <w:noWrap w:val="0"/>
                  <w:vAlign w:val="center"/>
                </w:tcPr>
                <w:p w14:paraId="49C82271">
                  <w:pPr>
                    <w:jc w:val="center"/>
                    <w:rPr>
                      <w:rFonts w:hint="default" w:eastAsia="宋体"/>
                      <w:color w:val="auto"/>
                      <w:szCs w:val="21"/>
                      <w:highlight w:val="none"/>
                      <w:lang w:val="en-US" w:eastAsia="zh-CN"/>
                    </w:rPr>
                  </w:pPr>
                  <w:r>
                    <w:rPr>
                      <w:rFonts w:hint="eastAsia"/>
                      <w:color w:val="auto"/>
                      <w:szCs w:val="21"/>
                      <w:highlight w:val="none"/>
                      <w:lang w:val="en-US" w:eastAsia="zh-CN"/>
                    </w:rPr>
                    <w:t>1次/年</w:t>
                  </w:r>
                </w:p>
              </w:tc>
              <w:tc>
                <w:tcPr>
                  <w:tcW w:w="2172" w:type="dxa"/>
                  <w:noWrap w:val="0"/>
                  <w:vAlign w:val="center"/>
                </w:tcPr>
                <w:p w14:paraId="18A1507F">
                  <w:pPr>
                    <w:jc w:val="center"/>
                    <w:rPr>
                      <w:color w:val="auto"/>
                      <w:szCs w:val="21"/>
                      <w:highlight w:val="none"/>
                    </w:rPr>
                  </w:pPr>
                  <w:r>
                    <w:rPr>
                      <w:rFonts w:hint="eastAsia"/>
                      <w:color w:val="auto"/>
                      <w:szCs w:val="21"/>
                      <w:highlight w:val="none"/>
                    </w:rPr>
                    <w:t>《挥发性有机物无组织排放控制标准》（GB 37822-2019）</w:t>
                  </w:r>
                </w:p>
              </w:tc>
            </w:tr>
          </w:tbl>
          <w:p w14:paraId="69271FEB">
            <w:pPr>
              <w:adjustRightInd w:val="0"/>
              <w:snapToGrid w:val="0"/>
              <w:spacing w:line="360" w:lineRule="auto"/>
              <w:ind w:firstLine="442" w:firstLineChars="200"/>
              <w:rPr>
                <w:b/>
                <w:color w:val="auto"/>
                <w:spacing w:val="-10"/>
                <w:sz w:val="24"/>
                <w:highlight w:val="none"/>
              </w:rPr>
            </w:pPr>
            <w:r>
              <w:rPr>
                <w:rFonts w:hint="eastAsia"/>
                <w:b/>
                <w:color w:val="auto"/>
                <w:spacing w:val="-10"/>
                <w:sz w:val="24"/>
                <w:highlight w:val="none"/>
              </w:rPr>
              <w:t>二</w:t>
            </w:r>
            <w:r>
              <w:rPr>
                <w:b/>
                <w:color w:val="auto"/>
                <w:spacing w:val="-10"/>
                <w:sz w:val="24"/>
                <w:highlight w:val="none"/>
              </w:rPr>
              <w:t>、废水</w:t>
            </w:r>
          </w:p>
          <w:p w14:paraId="74471F0C">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本项目运营期废水主要为生产废水及员工生活污水。</w:t>
            </w:r>
          </w:p>
          <w:p w14:paraId="1AD488A7">
            <w:pPr>
              <w:adjustRightInd w:val="0"/>
              <w:snapToGrid w:val="0"/>
              <w:spacing w:line="360" w:lineRule="auto"/>
              <w:ind w:firstLine="480" w:firstLineChars="200"/>
              <w:rPr>
                <w:color w:val="auto"/>
                <w:sz w:val="24"/>
                <w:highlight w:val="none"/>
              </w:rPr>
            </w:pPr>
            <w:r>
              <w:rPr>
                <w:color w:val="auto"/>
                <w:sz w:val="24"/>
                <w:highlight w:val="none"/>
              </w:rPr>
              <w:t>1、废水产生情况</w:t>
            </w:r>
          </w:p>
          <w:p w14:paraId="3AD1DCF2">
            <w:pPr>
              <w:pStyle w:val="3"/>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z w:val="24"/>
                <w:highlight w:val="none"/>
                <w:lang w:eastAsia="zh-CN"/>
              </w:rPr>
              <w:t>根据前文计算结果可知，项目生产废水</w:t>
            </w:r>
            <w:r>
              <w:rPr>
                <w:rFonts w:hint="eastAsia" w:ascii="Times New Roman" w:hAnsi="Times New Roman" w:eastAsia="宋体" w:cs="Times New Roman"/>
                <w:bCs/>
                <w:color w:val="auto"/>
                <w:sz w:val="24"/>
                <w:highlight w:val="none"/>
                <w:lang w:eastAsia="zh-CN"/>
              </w:rPr>
              <w:t>（不含检验废水）</w:t>
            </w:r>
            <w:r>
              <w:rPr>
                <w:rFonts w:hint="default" w:ascii="Times New Roman" w:hAnsi="Times New Roman" w:eastAsia="宋体" w:cs="Times New Roman"/>
                <w:bCs/>
                <w:color w:val="auto"/>
                <w:sz w:val="24"/>
                <w:highlight w:val="none"/>
                <w:lang w:eastAsia="zh-CN"/>
              </w:rPr>
              <w:t>产生</w:t>
            </w:r>
            <w:r>
              <w:rPr>
                <w:rFonts w:hint="eastAsia" w:ascii="Times New Roman" w:hAnsi="Times New Roman" w:eastAsia="宋体" w:cs="Times New Roman"/>
                <w:bCs/>
                <w:color w:val="auto"/>
                <w:sz w:val="24"/>
                <w:highlight w:val="none"/>
                <w:lang w:eastAsia="zh-CN"/>
              </w:rPr>
              <w:t>总</w:t>
            </w:r>
            <w:r>
              <w:rPr>
                <w:rFonts w:hint="default" w:ascii="Times New Roman" w:hAnsi="Times New Roman" w:eastAsia="宋体" w:cs="Times New Roman"/>
                <w:bCs/>
                <w:color w:val="auto"/>
                <w:sz w:val="24"/>
                <w:highlight w:val="none"/>
                <w:lang w:eastAsia="zh-CN"/>
              </w:rPr>
              <w:t>量为</w:t>
            </w:r>
            <w:r>
              <w:rPr>
                <w:rFonts w:hint="eastAsia" w:ascii="Times New Roman" w:hAnsi="Times New Roman" w:eastAsia="宋体" w:cs="Times New Roman"/>
                <w:color w:val="auto"/>
                <w:sz w:val="24"/>
                <w:highlight w:val="none"/>
                <w:lang w:val="en-US" w:eastAsia="zh-CN"/>
              </w:rPr>
              <w:t>475.55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其中纯水设备浓水、反冲洗水及锅炉废水直接经污水管网排入洋县污水处理厂处置，废水量为</w:t>
            </w:r>
            <w:r>
              <w:rPr>
                <w:rFonts w:hint="eastAsia" w:ascii="Times New Roman" w:hAnsi="Times New Roman" w:eastAsia="宋体" w:cs="Times New Roman"/>
                <w:color w:val="auto"/>
                <w:sz w:val="24"/>
                <w:highlight w:val="none"/>
                <w:lang w:val="en-US" w:eastAsia="zh-CN"/>
              </w:rPr>
              <w:t>16.55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eastAsia="zh-CN"/>
              </w:rPr>
              <w:t>，设备清洗废水及鲜果清洗废水经收集沉淀池收集后经陕西朱鹮酒业有限公司污水处理站处理，废水量为</w:t>
            </w:r>
            <w:r>
              <w:rPr>
                <w:rFonts w:hint="eastAsia" w:ascii="Times New Roman" w:hAnsi="Times New Roman" w:eastAsia="宋体" w:cs="Times New Roman"/>
                <w:color w:val="auto"/>
                <w:sz w:val="24"/>
                <w:highlight w:val="none"/>
                <w:lang w:val="en-US" w:eastAsia="zh-CN"/>
              </w:rPr>
              <w:t>459</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生活污水产生量为</w:t>
            </w:r>
            <w:r>
              <w:rPr>
                <w:rFonts w:hint="eastAsia" w:ascii="Times New Roman" w:hAnsi="Times New Roman" w:eastAsia="宋体" w:cs="Times New Roman"/>
                <w:color w:val="auto"/>
                <w:sz w:val="24"/>
                <w:highlight w:val="none"/>
                <w:lang w:val="en-US" w:eastAsia="zh-CN"/>
              </w:rPr>
              <w:t>156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p>
          <w:p w14:paraId="04796A6D">
            <w:pPr>
              <w:adjustRightInd w:val="0"/>
              <w:snapToGrid w:val="0"/>
              <w:spacing w:line="360" w:lineRule="auto"/>
              <w:ind w:firstLine="480" w:firstLineChars="200"/>
              <w:rPr>
                <w:bCs/>
                <w:color w:val="auto"/>
                <w:sz w:val="24"/>
                <w:highlight w:val="none"/>
              </w:rPr>
            </w:pPr>
            <w:r>
              <w:rPr>
                <w:rFonts w:hint="eastAsia"/>
                <w:color w:val="auto"/>
                <w:sz w:val="24"/>
                <w:highlight w:val="none"/>
                <w:lang w:bidi="ar"/>
              </w:rPr>
              <w:t>2、</w:t>
            </w:r>
            <w:r>
              <w:rPr>
                <w:rFonts w:hint="eastAsia"/>
                <w:bCs/>
                <w:color w:val="auto"/>
                <w:sz w:val="24"/>
                <w:highlight w:val="none"/>
              </w:rPr>
              <w:t>水环境影响分析</w:t>
            </w:r>
          </w:p>
          <w:p w14:paraId="47611A20">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（1）废水水质情况</w:t>
            </w:r>
          </w:p>
          <w:p w14:paraId="6171D6E1">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根据收集的同类企业</w:t>
            </w:r>
            <w:r>
              <w:rPr>
                <w:rFonts w:hint="eastAsia"/>
                <w:bCs/>
                <w:color w:val="auto"/>
                <w:sz w:val="24"/>
                <w:highlight w:val="none"/>
                <w:lang w:eastAsia="zh-CN"/>
              </w:rPr>
              <w:t>类似</w:t>
            </w:r>
            <w:r>
              <w:rPr>
                <w:rFonts w:hint="eastAsia"/>
                <w:bCs/>
                <w:color w:val="auto"/>
                <w:sz w:val="24"/>
                <w:highlight w:val="none"/>
              </w:rPr>
              <w:t>生产工艺的废水资料，</w:t>
            </w:r>
            <w:r>
              <w:rPr>
                <w:rFonts w:hint="eastAsia"/>
                <w:bCs/>
                <w:color w:val="auto"/>
                <w:sz w:val="24"/>
                <w:highlight w:val="none"/>
                <w:lang w:eastAsia="zh-CN"/>
              </w:rPr>
              <w:t>同时结合《饮料制造废水治理工程技术规范》（HJ 2048-2015）中饮料制造中废水水质情况，确定</w:t>
            </w:r>
            <w:r>
              <w:rPr>
                <w:rFonts w:hint="eastAsia"/>
                <w:bCs/>
                <w:color w:val="auto"/>
                <w:sz w:val="24"/>
                <w:highlight w:val="none"/>
              </w:rPr>
              <w:t>项目废水水质情况见下表：</w:t>
            </w:r>
          </w:p>
          <w:p w14:paraId="1C4F19AA">
            <w:pPr>
              <w:adjustRightInd w:val="0"/>
              <w:snapToGrid w:val="0"/>
              <w:ind w:firstLine="422" w:firstLineChars="200"/>
              <w:jc w:val="center"/>
              <w:rPr>
                <w:rFonts w:hint="default" w:eastAsia="宋体"/>
                <w:b/>
                <w:color w:val="auto"/>
                <w:szCs w:val="21"/>
                <w:highlight w:val="none"/>
                <w:lang w:val="en-US" w:eastAsia="zh-CN"/>
              </w:rPr>
            </w:pPr>
            <w:r>
              <w:rPr>
                <w:rFonts w:hint="eastAsia"/>
                <w:b/>
                <w:color w:val="auto"/>
                <w:szCs w:val="21"/>
                <w:highlight w:val="none"/>
              </w:rPr>
              <w:t>表4-</w:t>
            </w:r>
            <w:r>
              <w:rPr>
                <w:rFonts w:hint="eastAsia"/>
                <w:b/>
                <w:color w:val="auto"/>
                <w:szCs w:val="21"/>
                <w:highlight w:val="none"/>
                <w:lang w:val="en-US" w:eastAsia="zh-CN"/>
              </w:rPr>
              <w:t>4</w:t>
            </w:r>
            <w:r>
              <w:rPr>
                <w:rFonts w:hint="eastAsia"/>
                <w:b/>
                <w:color w:val="auto"/>
                <w:szCs w:val="21"/>
                <w:highlight w:val="none"/>
              </w:rPr>
              <w:t xml:space="preserve">  本项目废水水质情况一览表  单位：</w:t>
            </w:r>
            <w:r>
              <w:rPr>
                <w:rFonts w:hint="eastAsia"/>
                <w:b/>
                <w:color w:val="auto"/>
                <w:szCs w:val="21"/>
                <w:highlight w:val="none"/>
                <w:lang w:val="en-US" w:eastAsia="zh-CN"/>
              </w:rPr>
              <w:t>mg/L</w:t>
            </w:r>
          </w:p>
          <w:tbl>
            <w:tblPr>
              <w:tblStyle w:val="28"/>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886"/>
              <w:gridCol w:w="886"/>
              <w:gridCol w:w="886"/>
              <w:gridCol w:w="886"/>
              <w:gridCol w:w="886"/>
              <w:gridCol w:w="890"/>
              <w:gridCol w:w="1068"/>
            </w:tblGrid>
            <w:tr w14:paraId="0A7E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8" w:type="dxa"/>
                  <w:noWrap w:val="0"/>
                  <w:vAlign w:val="center"/>
                </w:tcPr>
                <w:p w14:paraId="74EBC3DE">
                  <w:pPr>
                    <w:keepNext w:val="0"/>
                    <w:keepLines w:val="0"/>
                    <w:pageBreakBefore w:val="0"/>
                    <w:widowControl w:val="0"/>
                    <w:kinsoku/>
                    <w:wordWrap/>
                    <w:overflowPunct/>
                    <w:topLinePunct w:val="0"/>
                    <w:autoSpaceDE/>
                    <w:autoSpaceDN/>
                    <w:bidi w:val="0"/>
                    <w:adjustRightInd w:val="0"/>
                    <w:snapToGrid w:val="0"/>
                    <w:spacing w:before="32" w:beforeLines="10" w:after="32" w:afterLines="10"/>
                    <w:ind w:firstLine="630" w:firstLineChars="300"/>
                    <w:jc w:val="left"/>
                    <w:textAlignment w:val="auto"/>
                    <w:rPr>
                      <w:rFonts w:hint="eastAsia"/>
                      <w:bCs/>
                      <w:color w:val="auto"/>
                      <w:szCs w:val="21"/>
                      <w:highlight w:val="none"/>
                    </w:rPr>
                  </w:pPr>
                  <w:r>
                    <w:rPr>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-64135</wp:posOffset>
                            </wp:positionH>
                            <wp:positionV relativeFrom="paragraph">
                              <wp:posOffset>65405</wp:posOffset>
                            </wp:positionV>
                            <wp:extent cx="972820" cy="274955"/>
                            <wp:effectExtent l="1270" t="4445" r="16510" b="6350"/>
                            <wp:wrapNone/>
                            <wp:docPr id="2" name="直线 154"/>
                            <wp:cNvGraphicFramePr/>
                            <a:graphic xmlns:a="http://schemas.openxmlformats.org/drawingml/2006/main">
                              <a:graphicData uri="http://schemas.microsoft.com/office/word/2010/wordprocessingShape">
                                <wps:wsp>
                                  <wps:cNvCnPr/>
                                  <wps:spPr>
                                    <a:xfrm>
                                      <a:off x="0" y="0"/>
                                      <a:ext cx="972820" cy="2749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4" o:spid="_x0000_s1026" o:spt="20" style="position:absolute;left:0pt;margin-left:-5.05pt;margin-top:5.15pt;height:21.65pt;width:76.6pt;z-index:251661312;mso-width-relative:page;mso-height-relative:page;" filled="f" stroked="t" coordsize="21600,21600" o:gfxdata="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Ix&#10;T4XWAAAACQEAAA8AAAAAAAAAAQAgAAAAIgAAAGRycy9kb3ducmV2LnhtbFBLAQIUABQAAAAIAIdO&#10;4kDv9ZzQ7AEAAOEDAAAOAAAAAAAAAAEAIAAAACUBAABkcnMvZTJvRG9jLnhtbFBLBQYAAAAABgAG&#10;AFkBAACDBQAAAAA=&#10;">
                            <v:fill on="f" focussize="0,0"/>
                            <v:stroke color="#000000" joinstyle="round"/>
                            <v:imagedata o:title=""/>
                            <o:lock v:ext="edit" aspectratio="f"/>
                          </v:line>
                        </w:pict>
                      </mc:Fallback>
                    </mc:AlternateContent>
                  </w:r>
                  <w:r>
                    <w:rPr>
                      <w:rFonts w:hint="eastAsia"/>
                      <w:bCs/>
                      <w:color w:val="auto"/>
                      <w:szCs w:val="21"/>
                      <w:highlight w:val="none"/>
                    </w:rPr>
                    <w:t>污染物</w:t>
                  </w:r>
                </w:p>
                <w:p w14:paraId="0FB3679D">
                  <w:pPr>
                    <w:keepNext w:val="0"/>
                    <w:keepLines w:val="0"/>
                    <w:pageBreakBefore w:val="0"/>
                    <w:widowControl w:val="0"/>
                    <w:kinsoku/>
                    <w:wordWrap/>
                    <w:overflowPunct/>
                    <w:topLinePunct w:val="0"/>
                    <w:autoSpaceDE/>
                    <w:autoSpaceDN/>
                    <w:bidi w:val="0"/>
                    <w:adjustRightInd w:val="0"/>
                    <w:snapToGrid w:val="0"/>
                    <w:spacing w:before="32" w:beforeLines="10" w:after="32" w:afterLines="10"/>
                    <w:jc w:val="left"/>
                    <w:textAlignment w:val="auto"/>
                    <w:rPr>
                      <w:rFonts w:hint="eastAsia"/>
                      <w:bCs/>
                      <w:color w:val="auto"/>
                      <w:szCs w:val="21"/>
                      <w:highlight w:val="none"/>
                    </w:rPr>
                  </w:pPr>
                  <w:r>
                    <w:rPr>
                      <w:rFonts w:hint="eastAsia"/>
                      <w:bCs/>
                      <w:color w:val="auto"/>
                      <w:szCs w:val="21"/>
                      <w:highlight w:val="none"/>
                    </w:rPr>
                    <w:t>废水种类</w:t>
                  </w:r>
                </w:p>
              </w:tc>
              <w:tc>
                <w:tcPr>
                  <w:tcW w:w="886" w:type="dxa"/>
                  <w:noWrap w:val="0"/>
                  <w:vAlign w:val="center"/>
                </w:tcPr>
                <w:p w14:paraId="07E15E7E">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rPr>
                    <w:t>pH</w:t>
                  </w:r>
                </w:p>
              </w:tc>
              <w:tc>
                <w:tcPr>
                  <w:tcW w:w="886" w:type="dxa"/>
                  <w:noWrap w:val="0"/>
                  <w:vAlign w:val="center"/>
                </w:tcPr>
                <w:p w14:paraId="19B0E7D8">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rPr>
                    <w:t>COD</w:t>
                  </w:r>
                </w:p>
              </w:tc>
              <w:tc>
                <w:tcPr>
                  <w:tcW w:w="886" w:type="dxa"/>
                  <w:noWrap w:val="0"/>
                  <w:vAlign w:val="center"/>
                </w:tcPr>
                <w:p w14:paraId="6C95A1AB">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rPr>
                  </w:pPr>
                  <w:r>
                    <w:rPr>
                      <w:bCs/>
                      <w:color w:val="auto"/>
                      <w:szCs w:val="21"/>
                      <w:highlight w:val="none"/>
                    </w:rPr>
                    <w:t>BOD</w:t>
                  </w:r>
                  <w:r>
                    <w:rPr>
                      <w:bCs/>
                      <w:color w:val="auto"/>
                      <w:szCs w:val="21"/>
                      <w:highlight w:val="none"/>
                      <w:vertAlign w:val="subscript"/>
                    </w:rPr>
                    <w:t>5</w:t>
                  </w:r>
                </w:p>
              </w:tc>
              <w:tc>
                <w:tcPr>
                  <w:tcW w:w="886" w:type="dxa"/>
                  <w:noWrap w:val="0"/>
                  <w:vAlign w:val="center"/>
                </w:tcPr>
                <w:p w14:paraId="3DD45545">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rPr>
                  </w:pPr>
                  <w:r>
                    <w:rPr>
                      <w:bCs/>
                      <w:color w:val="auto"/>
                      <w:szCs w:val="21"/>
                      <w:highlight w:val="none"/>
                    </w:rPr>
                    <w:t>SS</w:t>
                  </w:r>
                </w:p>
              </w:tc>
              <w:tc>
                <w:tcPr>
                  <w:tcW w:w="886" w:type="dxa"/>
                  <w:noWrap w:val="0"/>
                  <w:vAlign w:val="center"/>
                </w:tcPr>
                <w:p w14:paraId="722E267E">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rPr>
                  </w:pPr>
                  <w:r>
                    <w:rPr>
                      <w:bCs/>
                      <w:color w:val="auto"/>
                      <w:szCs w:val="21"/>
                      <w:highlight w:val="none"/>
                    </w:rPr>
                    <w:t>NH</w:t>
                  </w:r>
                  <w:r>
                    <w:rPr>
                      <w:bCs/>
                      <w:color w:val="auto"/>
                      <w:szCs w:val="21"/>
                      <w:highlight w:val="none"/>
                      <w:vertAlign w:val="subscript"/>
                    </w:rPr>
                    <w:t>3</w:t>
                  </w:r>
                  <w:r>
                    <w:rPr>
                      <w:bCs/>
                      <w:color w:val="auto"/>
                      <w:szCs w:val="21"/>
                      <w:highlight w:val="none"/>
                    </w:rPr>
                    <w:t>-N</w:t>
                  </w:r>
                </w:p>
              </w:tc>
              <w:tc>
                <w:tcPr>
                  <w:tcW w:w="890" w:type="dxa"/>
                  <w:noWrap w:val="0"/>
                  <w:vAlign w:val="center"/>
                </w:tcPr>
                <w:p w14:paraId="6F952ED3">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eastAsia="zh-CN"/>
                    </w:rPr>
                  </w:pPr>
                  <w:r>
                    <w:rPr>
                      <w:rFonts w:hint="eastAsia"/>
                      <w:bCs/>
                      <w:color w:val="auto"/>
                      <w:szCs w:val="21"/>
                      <w:highlight w:val="none"/>
                      <w:lang w:eastAsia="zh-CN"/>
                    </w:rPr>
                    <w:t>含盐量</w:t>
                  </w:r>
                </w:p>
              </w:tc>
              <w:tc>
                <w:tcPr>
                  <w:tcW w:w="1068" w:type="dxa"/>
                  <w:noWrap w:val="0"/>
                  <w:vAlign w:val="center"/>
                </w:tcPr>
                <w:p w14:paraId="4AFFAA13">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eastAsia="zh-CN"/>
                    </w:rPr>
                  </w:pPr>
                  <w:r>
                    <w:rPr>
                      <w:rFonts w:hint="eastAsia"/>
                      <w:bCs/>
                      <w:color w:val="auto"/>
                      <w:szCs w:val="21"/>
                      <w:highlight w:val="none"/>
                      <w:lang w:eastAsia="zh-CN"/>
                    </w:rPr>
                    <w:t>废水量（</w:t>
                  </w:r>
                  <w:r>
                    <w:rPr>
                      <w:rFonts w:hint="eastAsia"/>
                      <w:bCs/>
                      <w:color w:val="auto"/>
                      <w:szCs w:val="21"/>
                      <w:highlight w:val="none"/>
                      <w:lang w:val="en-US" w:eastAsia="zh-CN"/>
                    </w:rPr>
                    <w:t>m</w:t>
                  </w:r>
                  <w:r>
                    <w:rPr>
                      <w:rFonts w:hint="eastAsia"/>
                      <w:bCs/>
                      <w:color w:val="auto"/>
                      <w:szCs w:val="21"/>
                      <w:highlight w:val="none"/>
                      <w:vertAlign w:val="superscript"/>
                      <w:lang w:val="en-US" w:eastAsia="zh-CN"/>
                    </w:rPr>
                    <w:t>3</w:t>
                  </w:r>
                  <w:r>
                    <w:rPr>
                      <w:rFonts w:hint="eastAsia"/>
                      <w:bCs/>
                      <w:color w:val="auto"/>
                      <w:szCs w:val="21"/>
                      <w:highlight w:val="none"/>
                      <w:lang w:val="en-US" w:eastAsia="zh-CN"/>
                    </w:rPr>
                    <w:t>/a</w:t>
                  </w:r>
                  <w:r>
                    <w:rPr>
                      <w:rFonts w:hint="eastAsia"/>
                      <w:bCs/>
                      <w:color w:val="auto"/>
                      <w:szCs w:val="21"/>
                      <w:highlight w:val="none"/>
                      <w:lang w:eastAsia="zh-CN"/>
                    </w:rPr>
                    <w:t>）</w:t>
                  </w:r>
                </w:p>
              </w:tc>
            </w:tr>
            <w:tr w14:paraId="2E74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1493F1C9">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eastAsia="zh-CN"/>
                    </w:rPr>
                  </w:pPr>
                  <w:r>
                    <w:rPr>
                      <w:rFonts w:hint="eastAsia"/>
                      <w:bCs/>
                      <w:color w:val="auto"/>
                      <w:szCs w:val="21"/>
                      <w:highlight w:val="none"/>
                      <w:lang w:eastAsia="zh-CN"/>
                    </w:rPr>
                    <w:t>纯水设备反冲洗废水</w:t>
                  </w:r>
                </w:p>
              </w:tc>
              <w:tc>
                <w:tcPr>
                  <w:tcW w:w="886" w:type="dxa"/>
                  <w:noWrap w:val="0"/>
                  <w:vAlign w:val="center"/>
                </w:tcPr>
                <w:p w14:paraId="55CE67CC">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rPr>
                  </w:pPr>
                  <w:r>
                    <w:rPr>
                      <w:rFonts w:hint="eastAsia"/>
                      <w:bCs/>
                      <w:color w:val="auto"/>
                      <w:szCs w:val="21"/>
                      <w:highlight w:val="none"/>
                      <w:lang w:val="en-US" w:eastAsia="zh-CN"/>
                    </w:rPr>
                    <w:t>6</w:t>
                  </w:r>
                  <w:r>
                    <w:rPr>
                      <w:rFonts w:hint="eastAsia"/>
                      <w:bCs/>
                      <w:color w:val="auto"/>
                      <w:szCs w:val="21"/>
                      <w:highlight w:val="none"/>
                    </w:rPr>
                    <w:t>-</w:t>
                  </w:r>
                  <w:r>
                    <w:rPr>
                      <w:rFonts w:hint="eastAsia"/>
                      <w:bCs/>
                      <w:color w:val="auto"/>
                      <w:szCs w:val="21"/>
                      <w:highlight w:val="none"/>
                      <w:lang w:val="en-US" w:eastAsia="zh-CN"/>
                    </w:rPr>
                    <w:t>7</w:t>
                  </w:r>
                </w:p>
              </w:tc>
              <w:tc>
                <w:tcPr>
                  <w:tcW w:w="886" w:type="dxa"/>
                  <w:noWrap w:val="0"/>
                  <w:vAlign w:val="center"/>
                </w:tcPr>
                <w:p w14:paraId="22F62418">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200</w:t>
                  </w:r>
                </w:p>
              </w:tc>
              <w:tc>
                <w:tcPr>
                  <w:tcW w:w="886" w:type="dxa"/>
                  <w:noWrap w:val="0"/>
                  <w:vAlign w:val="center"/>
                </w:tcPr>
                <w:p w14:paraId="61EB4787">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886" w:type="dxa"/>
                  <w:noWrap w:val="0"/>
                  <w:vAlign w:val="center"/>
                </w:tcPr>
                <w:p w14:paraId="5F71728D">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150</w:t>
                  </w:r>
                </w:p>
              </w:tc>
              <w:tc>
                <w:tcPr>
                  <w:tcW w:w="886" w:type="dxa"/>
                  <w:noWrap w:val="0"/>
                  <w:vAlign w:val="center"/>
                </w:tcPr>
                <w:p w14:paraId="3AC6133D">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890" w:type="dxa"/>
                  <w:noWrap w:val="0"/>
                  <w:vAlign w:val="center"/>
                </w:tcPr>
                <w:p w14:paraId="33ACC5BB">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1000</w:t>
                  </w:r>
                </w:p>
              </w:tc>
              <w:tc>
                <w:tcPr>
                  <w:tcW w:w="1068" w:type="dxa"/>
                  <w:noWrap w:val="0"/>
                  <w:vAlign w:val="center"/>
                </w:tcPr>
                <w:p w14:paraId="1F3F5204">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7.5</w:t>
                  </w:r>
                </w:p>
              </w:tc>
            </w:tr>
            <w:tr w14:paraId="15E0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095D3A31">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eastAsia="zh-CN"/>
                    </w:rPr>
                  </w:pPr>
                  <w:r>
                    <w:rPr>
                      <w:rFonts w:hint="eastAsia"/>
                      <w:bCs/>
                      <w:color w:val="auto"/>
                      <w:szCs w:val="21"/>
                      <w:highlight w:val="none"/>
                      <w:lang w:eastAsia="zh-CN"/>
                    </w:rPr>
                    <w:t>鲜果清洗废水</w:t>
                  </w:r>
                </w:p>
              </w:tc>
              <w:tc>
                <w:tcPr>
                  <w:tcW w:w="886" w:type="dxa"/>
                  <w:noWrap w:val="0"/>
                  <w:vAlign w:val="center"/>
                </w:tcPr>
                <w:p w14:paraId="35B3DF50">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eastAsia="zh-CN"/>
                    </w:rPr>
                  </w:pPr>
                  <w:r>
                    <w:rPr>
                      <w:rFonts w:hint="eastAsia"/>
                      <w:bCs/>
                      <w:color w:val="auto"/>
                      <w:szCs w:val="21"/>
                      <w:highlight w:val="none"/>
                      <w:lang w:val="en-US" w:eastAsia="zh-CN"/>
                    </w:rPr>
                    <w:t>6</w:t>
                  </w:r>
                  <w:r>
                    <w:rPr>
                      <w:rFonts w:hint="eastAsia"/>
                      <w:bCs/>
                      <w:color w:val="auto"/>
                      <w:szCs w:val="21"/>
                      <w:highlight w:val="none"/>
                    </w:rPr>
                    <w:t>-</w:t>
                  </w:r>
                  <w:r>
                    <w:rPr>
                      <w:rFonts w:hint="eastAsia"/>
                      <w:bCs/>
                      <w:color w:val="auto"/>
                      <w:szCs w:val="21"/>
                      <w:highlight w:val="none"/>
                      <w:lang w:val="en-US" w:eastAsia="zh-CN"/>
                    </w:rPr>
                    <w:t>7</w:t>
                  </w:r>
                </w:p>
              </w:tc>
              <w:tc>
                <w:tcPr>
                  <w:tcW w:w="886" w:type="dxa"/>
                  <w:noWrap w:val="0"/>
                  <w:vAlign w:val="center"/>
                </w:tcPr>
                <w:p w14:paraId="78F19AB6">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rPr>
                  </w:pPr>
                  <w:r>
                    <w:rPr>
                      <w:rFonts w:hint="eastAsia"/>
                      <w:bCs/>
                      <w:color w:val="auto"/>
                      <w:szCs w:val="21"/>
                      <w:highlight w:val="none"/>
                      <w:lang w:val="en-US" w:eastAsia="zh-CN"/>
                    </w:rPr>
                    <w:t>100</w:t>
                  </w:r>
                </w:p>
              </w:tc>
              <w:tc>
                <w:tcPr>
                  <w:tcW w:w="886" w:type="dxa"/>
                  <w:noWrap w:val="0"/>
                  <w:vAlign w:val="center"/>
                </w:tcPr>
                <w:p w14:paraId="15096B88">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lang w:val="en-US" w:eastAsia="zh-CN"/>
                    </w:rPr>
                    <w:t>15</w:t>
                  </w:r>
                  <w:r>
                    <w:rPr>
                      <w:rFonts w:hint="eastAsia"/>
                      <w:bCs/>
                      <w:color w:val="auto"/>
                      <w:szCs w:val="21"/>
                      <w:highlight w:val="none"/>
                    </w:rPr>
                    <w:t>0</w:t>
                  </w:r>
                </w:p>
              </w:tc>
              <w:tc>
                <w:tcPr>
                  <w:tcW w:w="886" w:type="dxa"/>
                  <w:noWrap w:val="0"/>
                  <w:vAlign w:val="center"/>
                </w:tcPr>
                <w:p w14:paraId="1B56782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lang w:val="en-US" w:eastAsia="zh-CN"/>
                    </w:rPr>
                    <w:t>17</w:t>
                  </w:r>
                  <w:r>
                    <w:rPr>
                      <w:rFonts w:hint="eastAsia"/>
                      <w:bCs/>
                      <w:color w:val="auto"/>
                      <w:szCs w:val="21"/>
                      <w:highlight w:val="none"/>
                    </w:rPr>
                    <w:t>0</w:t>
                  </w:r>
                </w:p>
              </w:tc>
              <w:tc>
                <w:tcPr>
                  <w:tcW w:w="886" w:type="dxa"/>
                  <w:noWrap w:val="0"/>
                  <w:vAlign w:val="center"/>
                </w:tcPr>
                <w:p w14:paraId="1DF7E05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25</w:t>
                  </w:r>
                </w:p>
              </w:tc>
              <w:tc>
                <w:tcPr>
                  <w:tcW w:w="890" w:type="dxa"/>
                  <w:noWrap w:val="0"/>
                  <w:vAlign w:val="center"/>
                </w:tcPr>
                <w:p w14:paraId="1E4698F5">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1068" w:type="dxa"/>
                  <w:noWrap w:val="0"/>
                  <w:vAlign w:val="center"/>
                </w:tcPr>
                <w:p w14:paraId="66CF65E7">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450</w:t>
                  </w:r>
                </w:p>
              </w:tc>
            </w:tr>
            <w:tr w14:paraId="23BD2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4878BFAE">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eastAsia="zh-CN"/>
                    </w:rPr>
                  </w:pPr>
                  <w:r>
                    <w:rPr>
                      <w:rFonts w:hint="eastAsia"/>
                      <w:bCs/>
                      <w:color w:val="auto"/>
                      <w:szCs w:val="21"/>
                      <w:highlight w:val="none"/>
                      <w:lang w:eastAsia="zh-CN"/>
                    </w:rPr>
                    <w:t>设备清洗废水</w:t>
                  </w:r>
                </w:p>
              </w:tc>
              <w:tc>
                <w:tcPr>
                  <w:tcW w:w="886" w:type="dxa"/>
                  <w:noWrap w:val="0"/>
                  <w:vAlign w:val="center"/>
                </w:tcPr>
                <w:p w14:paraId="5EA036B2">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6-7</w:t>
                  </w:r>
                </w:p>
              </w:tc>
              <w:tc>
                <w:tcPr>
                  <w:tcW w:w="886" w:type="dxa"/>
                  <w:noWrap w:val="0"/>
                  <w:vAlign w:val="center"/>
                </w:tcPr>
                <w:p w14:paraId="7F251731">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1000</w:t>
                  </w:r>
                </w:p>
              </w:tc>
              <w:tc>
                <w:tcPr>
                  <w:tcW w:w="886" w:type="dxa"/>
                  <w:noWrap w:val="0"/>
                  <w:vAlign w:val="center"/>
                </w:tcPr>
                <w:p w14:paraId="0FBF7C90">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600</w:t>
                  </w:r>
                </w:p>
              </w:tc>
              <w:tc>
                <w:tcPr>
                  <w:tcW w:w="886" w:type="dxa"/>
                  <w:noWrap w:val="0"/>
                  <w:vAlign w:val="center"/>
                </w:tcPr>
                <w:p w14:paraId="0FD327CD">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500</w:t>
                  </w:r>
                </w:p>
              </w:tc>
              <w:tc>
                <w:tcPr>
                  <w:tcW w:w="886" w:type="dxa"/>
                  <w:noWrap w:val="0"/>
                  <w:vAlign w:val="center"/>
                </w:tcPr>
                <w:p w14:paraId="6A002C08">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40</w:t>
                  </w:r>
                </w:p>
              </w:tc>
              <w:tc>
                <w:tcPr>
                  <w:tcW w:w="890" w:type="dxa"/>
                  <w:noWrap w:val="0"/>
                  <w:vAlign w:val="center"/>
                </w:tcPr>
                <w:p w14:paraId="18C5A533">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1068" w:type="dxa"/>
                  <w:noWrap w:val="0"/>
                  <w:vAlign w:val="center"/>
                </w:tcPr>
                <w:p w14:paraId="0268FAF5">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9</w:t>
                  </w:r>
                </w:p>
              </w:tc>
            </w:tr>
            <w:tr w14:paraId="566D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3158F582">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eastAsia="zh-CN"/>
                    </w:rPr>
                  </w:pPr>
                  <w:r>
                    <w:rPr>
                      <w:rFonts w:hint="eastAsia"/>
                      <w:bCs/>
                      <w:color w:val="auto"/>
                      <w:szCs w:val="21"/>
                      <w:highlight w:val="none"/>
                      <w:lang w:eastAsia="zh-CN"/>
                    </w:rPr>
                    <w:t>纯水设备浓水</w:t>
                  </w:r>
                </w:p>
              </w:tc>
              <w:tc>
                <w:tcPr>
                  <w:tcW w:w="886" w:type="dxa"/>
                  <w:noWrap w:val="0"/>
                  <w:vAlign w:val="center"/>
                </w:tcPr>
                <w:p w14:paraId="76861A6D">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val="en-US" w:eastAsia="zh-CN"/>
                    </w:rPr>
                  </w:pPr>
                  <w:r>
                    <w:rPr>
                      <w:rFonts w:hint="eastAsia"/>
                      <w:bCs/>
                      <w:color w:val="auto"/>
                      <w:szCs w:val="21"/>
                      <w:highlight w:val="none"/>
                      <w:lang w:val="en-US" w:eastAsia="zh-CN"/>
                    </w:rPr>
                    <w:t>6-7</w:t>
                  </w:r>
                </w:p>
              </w:tc>
              <w:tc>
                <w:tcPr>
                  <w:tcW w:w="886" w:type="dxa"/>
                  <w:noWrap w:val="0"/>
                  <w:vAlign w:val="center"/>
                </w:tcPr>
                <w:p w14:paraId="7AC3E0BE">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100</w:t>
                  </w:r>
                </w:p>
              </w:tc>
              <w:tc>
                <w:tcPr>
                  <w:tcW w:w="886" w:type="dxa"/>
                  <w:noWrap w:val="0"/>
                  <w:vAlign w:val="center"/>
                </w:tcPr>
                <w:p w14:paraId="2510789E">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886" w:type="dxa"/>
                  <w:noWrap w:val="0"/>
                  <w:vAlign w:val="center"/>
                </w:tcPr>
                <w:p w14:paraId="6566BB72">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50</w:t>
                  </w:r>
                </w:p>
              </w:tc>
              <w:tc>
                <w:tcPr>
                  <w:tcW w:w="886" w:type="dxa"/>
                  <w:noWrap w:val="0"/>
                  <w:vAlign w:val="center"/>
                </w:tcPr>
                <w:p w14:paraId="2DE3022E">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890" w:type="dxa"/>
                  <w:noWrap w:val="0"/>
                  <w:vAlign w:val="center"/>
                </w:tcPr>
                <w:p w14:paraId="4D010D67">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1200</w:t>
                  </w:r>
                </w:p>
              </w:tc>
              <w:tc>
                <w:tcPr>
                  <w:tcW w:w="1068" w:type="dxa"/>
                  <w:noWrap w:val="0"/>
                  <w:vAlign w:val="center"/>
                </w:tcPr>
                <w:p w14:paraId="47E3B9B9">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8.6</w:t>
                  </w:r>
                </w:p>
              </w:tc>
            </w:tr>
            <w:tr w14:paraId="6B8F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2BCF1F7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eastAsia="zh-CN"/>
                    </w:rPr>
                  </w:pPr>
                  <w:r>
                    <w:rPr>
                      <w:rFonts w:hint="eastAsia"/>
                      <w:bCs/>
                      <w:color w:val="auto"/>
                      <w:szCs w:val="21"/>
                      <w:highlight w:val="none"/>
                      <w:lang w:eastAsia="zh-CN"/>
                    </w:rPr>
                    <w:t>锅炉废水</w:t>
                  </w:r>
                </w:p>
              </w:tc>
              <w:tc>
                <w:tcPr>
                  <w:tcW w:w="886" w:type="dxa"/>
                  <w:noWrap w:val="0"/>
                  <w:vAlign w:val="center"/>
                </w:tcPr>
                <w:p w14:paraId="6ED9B6EB">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6-7</w:t>
                  </w:r>
                </w:p>
              </w:tc>
              <w:tc>
                <w:tcPr>
                  <w:tcW w:w="886" w:type="dxa"/>
                  <w:noWrap w:val="0"/>
                  <w:vAlign w:val="center"/>
                </w:tcPr>
                <w:p w14:paraId="7E7381BE">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80</w:t>
                  </w:r>
                </w:p>
              </w:tc>
              <w:tc>
                <w:tcPr>
                  <w:tcW w:w="886" w:type="dxa"/>
                  <w:noWrap w:val="0"/>
                  <w:vAlign w:val="center"/>
                </w:tcPr>
                <w:p w14:paraId="0756F7F5">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886" w:type="dxa"/>
                  <w:noWrap w:val="0"/>
                  <w:vAlign w:val="center"/>
                </w:tcPr>
                <w:p w14:paraId="7D6C7DE6">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100</w:t>
                  </w:r>
                </w:p>
              </w:tc>
              <w:tc>
                <w:tcPr>
                  <w:tcW w:w="886" w:type="dxa"/>
                  <w:noWrap w:val="0"/>
                  <w:vAlign w:val="center"/>
                </w:tcPr>
                <w:p w14:paraId="1EE8A1C7">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890" w:type="dxa"/>
                  <w:noWrap w:val="0"/>
                  <w:vAlign w:val="center"/>
                </w:tcPr>
                <w:p w14:paraId="420BDC13">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1500</w:t>
                  </w:r>
                </w:p>
              </w:tc>
              <w:tc>
                <w:tcPr>
                  <w:tcW w:w="1068" w:type="dxa"/>
                  <w:noWrap w:val="0"/>
                  <w:vAlign w:val="center"/>
                </w:tcPr>
                <w:p w14:paraId="729201B9">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0.45</w:t>
                  </w:r>
                </w:p>
              </w:tc>
            </w:tr>
            <w:tr w14:paraId="0FCF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4088D209">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eastAsia="zh-CN"/>
                    </w:rPr>
                  </w:pPr>
                  <w:r>
                    <w:rPr>
                      <w:rFonts w:hint="eastAsia"/>
                      <w:bCs/>
                      <w:color w:val="auto"/>
                      <w:szCs w:val="21"/>
                      <w:highlight w:val="none"/>
                      <w:lang w:eastAsia="zh-CN"/>
                    </w:rPr>
                    <w:t>排入沉淀池废水</w:t>
                  </w:r>
                </w:p>
              </w:tc>
              <w:tc>
                <w:tcPr>
                  <w:tcW w:w="886" w:type="dxa"/>
                  <w:noWrap w:val="0"/>
                  <w:vAlign w:val="center"/>
                </w:tcPr>
                <w:p w14:paraId="3E36F970">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rPr>
                  </w:pPr>
                  <w:r>
                    <w:rPr>
                      <w:rFonts w:hint="eastAsia"/>
                      <w:bCs/>
                      <w:color w:val="auto"/>
                      <w:szCs w:val="21"/>
                      <w:highlight w:val="none"/>
                      <w:lang w:val="en-US" w:eastAsia="zh-CN"/>
                    </w:rPr>
                    <w:t>6-7</w:t>
                  </w:r>
                </w:p>
              </w:tc>
              <w:tc>
                <w:tcPr>
                  <w:tcW w:w="886" w:type="dxa"/>
                  <w:noWrap w:val="0"/>
                  <w:vAlign w:val="center"/>
                </w:tcPr>
                <w:p w14:paraId="44E7F48B">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118</w:t>
                  </w:r>
                </w:p>
              </w:tc>
              <w:tc>
                <w:tcPr>
                  <w:tcW w:w="886" w:type="dxa"/>
                  <w:noWrap w:val="0"/>
                  <w:vAlign w:val="center"/>
                </w:tcPr>
                <w:p w14:paraId="43C8E8F4">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159</w:t>
                  </w:r>
                </w:p>
              </w:tc>
              <w:tc>
                <w:tcPr>
                  <w:tcW w:w="886" w:type="dxa"/>
                  <w:noWrap w:val="0"/>
                  <w:vAlign w:val="center"/>
                </w:tcPr>
                <w:p w14:paraId="2B133B20">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172</w:t>
                  </w:r>
                </w:p>
              </w:tc>
              <w:tc>
                <w:tcPr>
                  <w:tcW w:w="886" w:type="dxa"/>
                  <w:noWrap w:val="0"/>
                  <w:vAlign w:val="center"/>
                </w:tcPr>
                <w:p w14:paraId="598EFCB1">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25</w:t>
                  </w:r>
                </w:p>
              </w:tc>
              <w:tc>
                <w:tcPr>
                  <w:tcW w:w="890" w:type="dxa"/>
                  <w:noWrap w:val="0"/>
                  <w:vAlign w:val="center"/>
                </w:tcPr>
                <w:p w14:paraId="5DC22B1F">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1068" w:type="dxa"/>
                  <w:noWrap w:val="0"/>
                  <w:vAlign w:val="center"/>
                </w:tcPr>
                <w:p w14:paraId="52F52616">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459</w:t>
                  </w:r>
                </w:p>
              </w:tc>
            </w:tr>
            <w:tr w14:paraId="4E7A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44E9449B">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rPr>
                  </w:pPr>
                  <w:r>
                    <w:rPr>
                      <w:rFonts w:hint="eastAsia"/>
                      <w:bCs/>
                      <w:color w:val="auto"/>
                      <w:szCs w:val="21"/>
                      <w:highlight w:val="none"/>
                    </w:rPr>
                    <w:t>生活污水</w:t>
                  </w:r>
                </w:p>
              </w:tc>
              <w:tc>
                <w:tcPr>
                  <w:tcW w:w="886" w:type="dxa"/>
                  <w:noWrap w:val="0"/>
                  <w:vAlign w:val="center"/>
                </w:tcPr>
                <w:p w14:paraId="1CDCC97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rPr>
                    <w:t>6-7</w:t>
                  </w:r>
                </w:p>
              </w:tc>
              <w:tc>
                <w:tcPr>
                  <w:tcW w:w="886" w:type="dxa"/>
                  <w:noWrap w:val="0"/>
                  <w:vAlign w:val="center"/>
                </w:tcPr>
                <w:p w14:paraId="0733E7A7">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rPr>
                    <w:t>300</w:t>
                  </w:r>
                </w:p>
              </w:tc>
              <w:tc>
                <w:tcPr>
                  <w:tcW w:w="886" w:type="dxa"/>
                  <w:noWrap w:val="0"/>
                  <w:vAlign w:val="center"/>
                </w:tcPr>
                <w:p w14:paraId="2400A995">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rPr>
                    <w:t>150</w:t>
                  </w:r>
                </w:p>
              </w:tc>
              <w:tc>
                <w:tcPr>
                  <w:tcW w:w="886" w:type="dxa"/>
                  <w:noWrap w:val="0"/>
                  <w:vAlign w:val="center"/>
                </w:tcPr>
                <w:p w14:paraId="473D8B8F">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rPr>
                    <w:t>200</w:t>
                  </w:r>
                </w:p>
              </w:tc>
              <w:tc>
                <w:tcPr>
                  <w:tcW w:w="886" w:type="dxa"/>
                  <w:noWrap w:val="0"/>
                  <w:vAlign w:val="center"/>
                </w:tcPr>
                <w:p w14:paraId="288A081D">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bCs/>
                      <w:color w:val="auto"/>
                      <w:szCs w:val="21"/>
                      <w:highlight w:val="none"/>
                    </w:rPr>
                  </w:pPr>
                  <w:r>
                    <w:rPr>
                      <w:rFonts w:hint="eastAsia"/>
                      <w:bCs/>
                      <w:color w:val="auto"/>
                      <w:szCs w:val="21"/>
                      <w:highlight w:val="none"/>
                    </w:rPr>
                    <w:t>25</w:t>
                  </w:r>
                </w:p>
              </w:tc>
              <w:tc>
                <w:tcPr>
                  <w:tcW w:w="890" w:type="dxa"/>
                  <w:noWrap w:val="0"/>
                  <w:vAlign w:val="center"/>
                </w:tcPr>
                <w:p w14:paraId="79FC34E4">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1068" w:type="dxa"/>
                  <w:vMerge w:val="restart"/>
                  <w:noWrap w:val="0"/>
                  <w:vAlign w:val="center"/>
                </w:tcPr>
                <w:p w14:paraId="4F4F2957">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156</w:t>
                  </w:r>
                </w:p>
              </w:tc>
            </w:tr>
            <w:tr w14:paraId="79C7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0121D009">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eastAsia="zh-CN"/>
                    </w:rPr>
                  </w:pPr>
                  <w:r>
                    <w:rPr>
                      <w:rFonts w:hint="eastAsia"/>
                      <w:bCs/>
                      <w:color w:val="auto"/>
                      <w:szCs w:val="21"/>
                      <w:highlight w:val="none"/>
                      <w:lang w:eastAsia="zh-CN"/>
                    </w:rPr>
                    <w:t>化粪池处理效率</w:t>
                  </w:r>
                </w:p>
              </w:tc>
              <w:tc>
                <w:tcPr>
                  <w:tcW w:w="886" w:type="dxa"/>
                  <w:noWrap w:val="0"/>
                  <w:vAlign w:val="center"/>
                </w:tcPr>
                <w:p w14:paraId="506BD066">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val="en-US" w:eastAsia="zh-CN"/>
                    </w:rPr>
                  </w:pPr>
                  <w:r>
                    <w:rPr>
                      <w:rFonts w:hint="eastAsia"/>
                      <w:bCs/>
                      <w:color w:val="auto"/>
                      <w:szCs w:val="21"/>
                      <w:highlight w:val="none"/>
                      <w:lang w:val="en-US" w:eastAsia="zh-CN"/>
                    </w:rPr>
                    <w:t>/</w:t>
                  </w:r>
                </w:p>
              </w:tc>
              <w:tc>
                <w:tcPr>
                  <w:tcW w:w="886" w:type="dxa"/>
                  <w:noWrap w:val="0"/>
                  <w:vAlign w:val="center"/>
                </w:tcPr>
                <w:p w14:paraId="0371631B">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15%</w:t>
                  </w:r>
                </w:p>
              </w:tc>
              <w:tc>
                <w:tcPr>
                  <w:tcW w:w="886" w:type="dxa"/>
                  <w:noWrap w:val="0"/>
                  <w:vAlign w:val="center"/>
                </w:tcPr>
                <w:p w14:paraId="793C9935">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50%</w:t>
                  </w:r>
                </w:p>
              </w:tc>
              <w:tc>
                <w:tcPr>
                  <w:tcW w:w="886" w:type="dxa"/>
                  <w:noWrap w:val="0"/>
                  <w:vAlign w:val="center"/>
                </w:tcPr>
                <w:p w14:paraId="5EC414C7">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30%</w:t>
                  </w:r>
                </w:p>
              </w:tc>
              <w:tc>
                <w:tcPr>
                  <w:tcW w:w="886" w:type="dxa"/>
                  <w:noWrap w:val="0"/>
                  <w:vAlign w:val="center"/>
                </w:tcPr>
                <w:p w14:paraId="0F711123">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3%</w:t>
                  </w:r>
                </w:p>
              </w:tc>
              <w:tc>
                <w:tcPr>
                  <w:tcW w:w="890" w:type="dxa"/>
                  <w:noWrap w:val="0"/>
                  <w:vAlign w:val="center"/>
                </w:tcPr>
                <w:p w14:paraId="58C60A74">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1068" w:type="dxa"/>
                  <w:vMerge w:val="continue"/>
                  <w:noWrap w:val="0"/>
                  <w:vAlign w:val="center"/>
                </w:tcPr>
                <w:p w14:paraId="7871EF1F">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val="en-US" w:eastAsia="zh-CN"/>
                    </w:rPr>
                  </w:pPr>
                </w:p>
              </w:tc>
            </w:tr>
            <w:tr w14:paraId="31D3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noWrap w:val="0"/>
                  <w:vAlign w:val="center"/>
                </w:tcPr>
                <w:p w14:paraId="623AE74C">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eastAsia="宋体"/>
                      <w:bCs/>
                      <w:color w:val="auto"/>
                      <w:szCs w:val="21"/>
                      <w:highlight w:val="none"/>
                      <w:lang w:eastAsia="zh-CN"/>
                    </w:rPr>
                  </w:pPr>
                  <w:r>
                    <w:rPr>
                      <w:rFonts w:hint="eastAsia"/>
                      <w:bCs/>
                      <w:color w:val="auto"/>
                      <w:szCs w:val="21"/>
                      <w:highlight w:val="none"/>
                      <w:lang w:eastAsia="zh-CN"/>
                    </w:rPr>
                    <w:t>化粪池出水</w:t>
                  </w:r>
                </w:p>
              </w:tc>
              <w:tc>
                <w:tcPr>
                  <w:tcW w:w="886" w:type="dxa"/>
                  <w:noWrap w:val="0"/>
                  <w:vAlign w:val="center"/>
                </w:tcPr>
                <w:p w14:paraId="270A2023">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6-7</w:t>
                  </w:r>
                </w:p>
              </w:tc>
              <w:tc>
                <w:tcPr>
                  <w:tcW w:w="886" w:type="dxa"/>
                  <w:noWrap w:val="0"/>
                  <w:vAlign w:val="center"/>
                </w:tcPr>
                <w:p w14:paraId="014BA41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255</w:t>
                  </w:r>
                </w:p>
              </w:tc>
              <w:tc>
                <w:tcPr>
                  <w:tcW w:w="886" w:type="dxa"/>
                  <w:noWrap w:val="0"/>
                  <w:vAlign w:val="center"/>
                </w:tcPr>
                <w:p w14:paraId="0F3C311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75</w:t>
                  </w:r>
                </w:p>
              </w:tc>
              <w:tc>
                <w:tcPr>
                  <w:tcW w:w="886" w:type="dxa"/>
                  <w:noWrap w:val="0"/>
                  <w:vAlign w:val="center"/>
                </w:tcPr>
                <w:p w14:paraId="2456A708">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140</w:t>
                  </w:r>
                </w:p>
              </w:tc>
              <w:tc>
                <w:tcPr>
                  <w:tcW w:w="886" w:type="dxa"/>
                  <w:noWrap w:val="0"/>
                  <w:vAlign w:val="center"/>
                </w:tcPr>
                <w:p w14:paraId="7BB61A6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eastAsia="宋体"/>
                      <w:bCs/>
                      <w:color w:val="auto"/>
                      <w:szCs w:val="21"/>
                      <w:highlight w:val="none"/>
                      <w:lang w:val="en-US" w:eastAsia="zh-CN"/>
                    </w:rPr>
                  </w:pPr>
                  <w:r>
                    <w:rPr>
                      <w:rFonts w:hint="eastAsia"/>
                      <w:bCs/>
                      <w:color w:val="auto"/>
                      <w:szCs w:val="21"/>
                      <w:highlight w:val="none"/>
                      <w:lang w:val="en-US" w:eastAsia="zh-CN"/>
                    </w:rPr>
                    <w:t>24.25</w:t>
                  </w:r>
                </w:p>
              </w:tc>
              <w:tc>
                <w:tcPr>
                  <w:tcW w:w="890" w:type="dxa"/>
                  <w:noWrap w:val="0"/>
                  <w:vAlign w:val="center"/>
                </w:tcPr>
                <w:p w14:paraId="2A41636A">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default"/>
                      <w:bCs/>
                      <w:color w:val="auto"/>
                      <w:szCs w:val="21"/>
                      <w:highlight w:val="none"/>
                      <w:lang w:val="en-US" w:eastAsia="zh-CN"/>
                    </w:rPr>
                  </w:pPr>
                  <w:r>
                    <w:rPr>
                      <w:rFonts w:hint="eastAsia"/>
                      <w:bCs/>
                      <w:color w:val="auto"/>
                      <w:szCs w:val="21"/>
                      <w:highlight w:val="none"/>
                      <w:lang w:val="en-US" w:eastAsia="zh-CN"/>
                    </w:rPr>
                    <w:t>/</w:t>
                  </w:r>
                </w:p>
              </w:tc>
              <w:tc>
                <w:tcPr>
                  <w:tcW w:w="1068" w:type="dxa"/>
                  <w:vMerge w:val="continue"/>
                  <w:noWrap w:val="0"/>
                  <w:vAlign w:val="center"/>
                </w:tcPr>
                <w:p w14:paraId="6496077D">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val="en-US" w:eastAsia="zh-CN"/>
                    </w:rPr>
                  </w:pPr>
                </w:p>
              </w:tc>
            </w:tr>
            <w:tr w14:paraId="0832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46" w:type="dxa"/>
                  <w:gridSpan w:val="8"/>
                  <w:noWrap w:val="0"/>
                  <w:vAlign w:val="center"/>
                </w:tcPr>
                <w:p w14:paraId="1E0CF3A6">
                  <w:pPr>
                    <w:keepNext w:val="0"/>
                    <w:keepLines w:val="0"/>
                    <w:pageBreakBefore w:val="0"/>
                    <w:widowControl w:val="0"/>
                    <w:kinsoku/>
                    <w:wordWrap/>
                    <w:overflowPunct/>
                    <w:topLinePunct w:val="0"/>
                    <w:autoSpaceDE/>
                    <w:autoSpaceDN/>
                    <w:bidi w:val="0"/>
                    <w:adjustRightInd w:val="0"/>
                    <w:snapToGrid w:val="0"/>
                    <w:spacing w:before="32" w:beforeLines="10" w:after="32" w:afterLines="10"/>
                    <w:jc w:val="center"/>
                    <w:textAlignment w:val="auto"/>
                    <w:rPr>
                      <w:rFonts w:hint="eastAsia"/>
                      <w:bCs/>
                      <w:color w:val="auto"/>
                      <w:szCs w:val="21"/>
                      <w:highlight w:val="none"/>
                      <w:lang w:val="en-US" w:eastAsia="zh-CN"/>
                    </w:rPr>
                  </w:pPr>
                  <w:r>
                    <w:rPr>
                      <w:rFonts w:hint="eastAsia"/>
                      <w:bCs/>
                      <w:color w:val="auto"/>
                      <w:szCs w:val="21"/>
                      <w:highlight w:val="none"/>
                      <w:lang w:val="en-US" w:eastAsia="zh-CN"/>
                    </w:rPr>
                    <w:t>备注：检验废液作为危废处置，不在上表统计</w:t>
                  </w:r>
                </w:p>
              </w:tc>
            </w:tr>
          </w:tbl>
          <w:p w14:paraId="627823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highlight w:val="none"/>
              </w:rPr>
            </w:pPr>
            <w:r>
              <w:rPr>
                <w:rFonts w:hint="eastAsia"/>
                <w:bCs/>
                <w:color w:val="auto"/>
                <w:sz w:val="24"/>
                <w:highlight w:val="none"/>
              </w:rPr>
              <w:t>（2）生活污水处置措施可行性分析</w:t>
            </w:r>
          </w:p>
          <w:p w14:paraId="641AFE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highlight w:val="none"/>
              </w:rPr>
            </w:pPr>
            <w:r>
              <w:rPr>
                <w:rFonts w:hint="eastAsia"/>
                <w:bCs/>
                <w:color w:val="auto"/>
                <w:sz w:val="24"/>
                <w:highlight w:val="none"/>
              </w:rPr>
              <w:t>根据上述计算结果，本</w:t>
            </w:r>
            <w:r>
              <w:rPr>
                <w:rFonts w:hint="eastAsia"/>
                <w:bCs/>
                <w:color w:val="auto"/>
                <w:sz w:val="24"/>
                <w:highlight w:val="none"/>
                <w:lang w:eastAsia="zh-CN"/>
              </w:rPr>
              <w:t>项目</w:t>
            </w:r>
            <w:r>
              <w:rPr>
                <w:rFonts w:hint="eastAsia"/>
                <w:bCs/>
                <w:color w:val="auto"/>
                <w:sz w:val="24"/>
                <w:highlight w:val="none"/>
              </w:rPr>
              <w:t>生活污水</w:t>
            </w:r>
            <w:r>
              <w:rPr>
                <w:rFonts w:hint="eastAsia"/>
                <w:bCs/>
                <w:color w:val="auto"/>
                <w:sz w:val="24"/>
                <w:highlight w:val="none"/>
                <w:lang w:eastAsia="zh-CN"/>
              </w:rPr>
              <w:t>产生</w:t>
            </w:r>
            <w:r>
              <w:rPr>
                <w:rFonts w:hint="eastAsia"/>
                <w:bCs/>
                <w:color w:val="auto"/>
                <w:sz w:val="24"/>
                <w:highlight w:val="none"/>
              </w:rPr>
              <w:t>量为</w:t>
            </w:r>
            <w:r>
              <w:rPr>
                <w:rFonts w:hint="eastAsia"/>
                <w:color w:val="auto"/>
                <w:sz w:val="24"/>
                <w:highlight w:val="none"/>
                <w:lang w:val="en-US" w:eastAsia="zh-CN"/>
              </w:rPr>
              <w:t>1.04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/d，厂内化粪池容量为</w:t>
            </w:r>
            <w:r>
              <w:rPr>
                <w:rFonts w:hint="eastAsia"/>
                <w:color w:val="auto"/>
                <w:sz w:val="24"/>
                <w:highlight w:val="none"/>
                <w:lang w:val="en-US" w:eastAsia="zh-CN"/>
              </w:rPr>
              <w:t>1</w:t>
            </w:r>
            <w:r>
              <w:rPr>
                <w:rFonts w:hint="eastAsia"/>
                <w:color w:val="auto"/>
                <w:sz w:val="24"/>
                <w:highlight w:val="none"/>
              </w:rPr>
              <w:t>0m</w:t>
            </w:r>
            <w:r>
              <w:rPr>
                <w:rFonts w:hint="eastAsia"/>
                <w:color w:val="auto"/>
                <w:sz w:val="24"/>
                <w:highlight w:val="none"/>
                <w:vertAlign w:val="superscript"/>
              </w:rPr>
              <w:t>3</w:t>
            </w:r>
            <w:r>
              <w:rPr>
                <w:rFonts w:hint="eastAsia"/>
                <w:color w:val="auto"/>
                <w:sz w:val="24"/>
                <w:highlight w:val="none"/>
              </w:rPr>
              <w:t>，因此现有化粪池能够满足生活污水量需求，</w:t>
            </w:r>
            <w:r>
              <w:rPr>
                <w:bCs/>
                <w:color w:val="auto"/>
                <w:sz w:val="24"/>
                <w:highlight w:val="none"/>
              </w:rPr>
              <w:t>化粪池是一种利用沉淀和厌氧发酵的原理，去除生活污水中悬浮性有机物的处理设施，属于初级的过渡性生活处理构筑物。</w:t>
            </w:r>
            <w:r>
              <w:rPr>
                <w:rFonts w:hint="eastAsia"/>
                <w:bCs/>
                <w:color w:val="auto"/>
                <w:sz w:val="24"/>
                <w:highlight w:val="none"/>
              </w:rPr>
              <w:t>生活污水经化粪池处理后</w:t>
            </w:r>
            <w:r>
              <w:rPr>
                <w:rFonts w:hint="eastAsia"/>
                <w:bCs/>
                <w:color w:val="auto"/>
                <w:sz w:val="24"/>
                <w:highlight w:val="none"/>
                <w:lang w:eastAsia="zh-CN"/>
              </w:rPr>
              <w:t>经园区管网</w:t>
            </w:r>
            <w:r>
              <w:rPr>
                <w:rFonts w:hint="eastAsia"/>
                <w:color w:val="auto"/>
                <w:sz w:val="24"/>
                <w:highlight w:val="none"/>
                <w:lang w:bidi="ar"/>
              </w:rPr>
              <w:t>排入</w:t>
            </w:r>
            <w:r>
              <w:rPr>
                <w:rFonts w:hint="eastAsia"/>
                <w:bCs/>
                <w:color w:val="auto"/>
                <w:sz w:val="24"/>
                <w:highlight w:val="none"/>
                <w:lang w:eastAsia="zh-CN"/>
              </w:rPr>
              <w:t>洋县污</w:t>
            </w:r>
            <w:r>
              <w:rPr>
                <w:rFonts w:hint="eastAsia"/>
                <w:bCs/>
                <w:color w:val="auto"/>
                <w:sz w:val="24"/>
                <w:highlight w:val="none"/>
              </w:rPr>
              <w:t>水处理厂处置。</w:t>
            </w:r>
          </w:p>
          <w:p w14:paraId="766B56A3">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auto"/>
              <w:ind w:firstLine="480" w:firstLineChars="200"/>
              <w:textAlignment w:val="auto"/>
              <w:rPr>
                <w:bCs/>
                <w:color w:val="auto"/>
                <w:sz w:val="24"/>
                <w:highlight w:val="none"/>
              </w:rPr>
            </w:pPr>
            <w:r>
              <w:rPr>
                <w:rFonts w:hint="eastAsia"/>
                <w:bCs/>
                <w:color w:val="auto"/>
                <w:sz w:val="24"/>
                <w:highlight w:val="none"/>
                <w:lang w:eastAsia="zh-CN"/>
              </w:rPr>
              <w:t>生产</w:t>
            </w:r>
            <w:r>
              <w:rPr>
                <w:bCs/>
                <w:color w:val="auto"/>
                <w:sz w:val="24"/>
                <w:highlight w:val="none"/>
              </w:rPr>
              <w:t>废水处置</w:t>
            </w:r>
            <w:r>
              <w:rPr>
                <w:rFonts w:hint="eastAsia"/>
                <w:bCs/>
                <w:color w:val="auto"/>
                <w:sz w:val="24"/>
                <w:highlight w:val="none"/>
              </w:rPr>
              <w:t>措施及</w:t>
            </w:r>
            <w:r>
              <w:rPr>
                <w:bCs/>
                <w:color w:val="auto"/>
                <w:sz w:val="24"/>
                <w:highlight w:val="none"/>
              </w:rPr>
              <w:t>可行性分析</w:t>
            </w:r>
          </w:p>
          <w:p w14:paraId="23026AB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highlight w:val="none"/>
                <w:lang w:eastAsia="zh-CN"/>
              </w:rPr>
            </w:pPr>
            <w:r>
              <w:rPr>
                <w:rFonts w:hint="eastAsia"/>
                <w:b/>
                <w:bCs/>
                <w:color w:val="auto"/>
                <w:sz w:val="24"/>
                <w:highlight w:val="none"/>
                <w:lang w:bidi="ar"/>
              </w:rPr>
              <w:t>处置措施：</w:t>
            </w:r>
            <w:r>
              <w:rPr>
                <w:rFonts w:hint="eastAsia"/>
                <w:color w:val="auto"/>
                <w:sz w:val="24"/>
                <w:highlight w:val="none"/>
                <w:lang w:bidi="ar"/>
              </w:rPr>
              <w:t>由前文分析可知，</w:t>
            </w:r>
            <w:r>
              <w:rPr>
                <w:color w:val="auto"/>
                <w:sz w:val="24"/>
                <w:highlight w:val="none"/>
                <w:lang w:bidi="ar"/>
              </w:rPr>
              <w:t>项目</w:t>
            </w:r>
            <w:r>
              <w:rPr>
                <w:rFonts w:hint="eastAsia"/>
                <w:color w:val="auto"/>
                <w:sz w:val="24"/>
                <w:highlight w:val="none"/>
                <w:lang w:bidi="ar"/>
              </w:rPr>
              <w:t>生产废水包括工艺废水及清洗废水，</w:t>
            </w:r>
            <w:r>
              <w:rPr>
                <w:rFonts w:hint="eastAsia"/>
                <w:color w:val="auto"/>
                <w:sz w:val="24"/>
                <w:highlight w:val="none"/>
              </w:rPr>
              <w:t>项目生产废水产生</w:t>
            </w:r>
            <w:r>
              <w:rPr>
                <w:rFonts w:hint="eastAsia"/>
                <w:color w:val="auto"/>
                <w:sz w:val="24"/>
                <w:highlight w:val="none"/>
                <w:lang w:eastAsia="zh-CN"/>
              </w:rPr>
              <w:t>总</w:t>
            </w:r>
            <w:r>
              <w:rPr>
                <w:rFonts w:hint="eastAsia"/>
                <w:color w:val="auto"/>
                <w:sz w:val="24"/>
                <w:highlight w:val="none"/>
              </w:rPr>
              <w:t>量为</w:t>
            </w:r>
            <w:r>
              <w:rPr>
                <w:rFonts w:hint="eastAsia" w:ascii="Times New Roman" w:hAnsi="Times New Roman" w:eastAsia="宋体" w:cs="Times New Roman"/>
                <w:color w:val="auto"/>
                <w:sz w:val="24"/>
                <w:highlight w:val="none"/>
                <w:lang w:val="en-US" w:eastAsia="zh-CN"/>
              </w:rPr>
              <w:t>475.55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其中直接排入污水管网的为</w:t>
            </w:r>
            <w:r>
              <w:rPr>
                <w:rFonts w:hint="eastAsia" w:ascii="Times New Roman" w:hAnsi="Times New Roman" w:eastAsia="宋体" w:cs="Times New Roman"/>
                <w:color w:val="auto"/>
                <w:sz w:val="24"/>
                <w:highlight w:val="none"/>
                <w:lang w:val="en-US" w:eastAsia="zh-CN"/>
              </w:rPr>
              <w:t>16.55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eastAsia="zh-CN"/>
              </w:rPr>
              <w:t>，排入沉淀池收集预处理后经陕西朱鹮酒业有限公司污水处理站处理的废水量为</w:t>
            </w:r>
            <w:r>
              <w:rPr>
                <w:rFonts w:hint="eastAsia" w:ascii="Times New Roman" w:hAnsi="Times New Roman" w:eastAsia="宋体" w:cs="Times New Roman"/>
                <w:color w:val="auto"/>
                <w:sz w:val="24"/>
                <w:highlight w:val="none"/>
                <w:lang w:val="en-US" w:eastAsia="zh-CN"/>
              </w:rPr>
              <w:t>459</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2EFDF3A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eastAsia="宋体"/>
                <w:color w:val="auto"/>
                <w:sz w:val="24"/>
                <w:highlight w:val="none"/>
                <w:lang w:eastAsia="zh-CN"/>
              </w:rPr>
            </w:pPr>
            <w:r>
              <w:rPr>
                <w:rFonts w:hint="eastAsia"/>
                <w:b/>
                <w:bCs/>
                <w:color w:val="auto"/>
                <w:sz w:val="24"/>
                <w:highlight w:val="none"/>
                <w:lang w:bidi="ar"/>
              </w:rPr>
              <w:t>项目拟建</w:t>
            </w:r>
            <w:r>
              <w:rPr>
                <w:rFonts w:hint="eastAsia"/>
                <w:b/>
                <w:bCs/>
                <w:color w:val="auto"/>
                <w:sz w:val="24"/>
                <w:highlight w:val="none"/>
                <w:lang w:eastAsia="zh-CN" w:bidi="ar"/>
              </w:rPr>
              <w:t>沉淀池</w:t>
            </w:r>
            <w:r>
              <w:rPr>
                <w:rFonts w:hint="eastAsia"/>
                <w:b/>
                <w:bCs/>
                <w:color w:val="auto"/>
                <w:sz w:val="24"/>
                <w:highlight w:val="none"/>
                <w:lang w:bidi="ar"/>
              </w:rPr>
              <w:t>概况：</w:t>
            </w:r>
            <w:r>
              <w:rPr>
                <w:rFonts w:hint="eastAsia"/>
                <w:color w:val="auto"/>
                <w:sz w:val="24"/>
                <w:highlight w:val="none"/>
                <w:lang w:bidi="ar"/>
              </w:rPr>
              <w:t>根据建设单位提供资料，项目厂内已建废水</w:t>
            </w:r>
            <w:r>
              <w:rPr>
                <w:rFonts w:hint="eastAsia"/>
                <w:color w:val="auto"/>
                <w:sz w:val="24"/>
                <w:highlight w:val="none"/>
                <w:lang w:eastAsia="zh-CN" w:bidi="ar"/>
              </w:rPr>
              <w:t>收集沉淀池</w:t>
            </w:r>
            <w:r>
              <w:rPr>
                <w:rFonts w:hint="eastAsia"/>
                <w:color w:val="auto"/>
                <w:sz w:val="24"/>
                <w:highlight w:val="none"/>
                <w:lang w:bidi="ar"/>
              </w:rPr>
              <w:t>一座，设计</w:t>
            </w:r>
            <w:r>
              <w:rPr>
                <w:rFonts w:hint="eastAsia"/>
                <w:color w:val="auto"/>
                <w:sz w:val="24"/>
                <w:highlight w:val="none"/>
                <w:lang w:eastAsia="zh-CN" w:bidi="ar"/>
              </w:rPr>
              <w:t>容量</w:t>
            </w:r>
            <w:r>
              <w:rPr>
                <w:rFonts w:hint="eastAsia"/>
                <w:color w:val="auto"/>
                <w:sz w:val="24"/>
                <w:highlight w:val="none"/>
                <w:lang w:bidi="ar"/>
              </w:rPr>
              <w:t>为</w:t>
            </w:r>
            <w:r>
              <w:rPr>
                <w:rFonts w:hint="eastAsia"/>
                <w:color w:val="auto"/>
                <w:sz w:val="24"/>
                <w:highlight w:val="none"/>
                <w:lang w:val="en-US" w:eastAsia="zh-CN" w:bidi="ar"/>
              </w:rPr>
              <w:t>75</w:t>
            </w:r>
            <w:r>
              <w:rPr>
                <w:rFonts w:hint="eastAsia"/>
                <w:color w:val="auto"/>
                <w:sz w:val="24"/>
                <w:highlight w:val="none"/>
                <w:lang w:bidi="ar"/>
              </w:rPr>
              <w:t>m</w:t>
            </w:r>
            <w:r>
              <w:rPr>
                <w:rFonts w:hint="eastAsia"/>
                <w:color w:val="auto"/>
                <w:sz w:val="24"/>
                <w:highlight w:val="none"/>
                <w:vertAlign w:val="superscript"/>
                <w:lang w:bidi="ar"/>
              </w:rPr>
              <w:t>3</w:t>
            </w:r>
            <w:r>
              <w:rPr>
                <w:rFonts w:hint="eastAsia"/>
                <w:color w:val="auto"/>
                <w:sz w:val="24"/>
                <w:highlight w:val="none"/>
                <w:lang w:eastAsia="zh-CN" w:bidi="ar"/>
              </w:rPr>
              <w:t>。部分生产废水拟排入沉淀池混合沉淀预处理。</w:t>
            </w:r>
          </w:p>
          <w:p w14:paraId="747DC15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color w:val="auto"/>
                <w:sz w:val="24"/>
                <w:highlight w:val="none"/>
                <w:lang w:eastAsia="zh-CN" w:bidi="ar"/>
              </w:rPr>
            </w:pPr>
            <w:r>
              <w:rPr>
                <w:rFonts w:hint="eastAsia"/>
                <w:color w:val="auto"/>
                <w:sz w:val="24"/>
                <w:highlight w:val="none"/>
                <w:lang w:bidi="ar"/>
              </w:rPr>
              <w:t>本项目需</w:t>
            </w:r>
            <w:r>
              <w:rPr>
                <w:rFonts w:hint="eastAsia"/>
                <w:color w:val="auto"/>
                <w:sz w:val="24"/>
                <w:highlight w:val="none"/>
                <w:lang w:eastAsia="zh-CN" w:bidi="ar"/>
              </w:rPr>
              <w:t>收集沉淀</w:t>
            </w:r>
            <w:r>
              <w:rPr>
                <w:rFonts w:hint="eastAsia"/>
                <w:color w:val="auto"/>
                <w:sz w:val="24"/>
                <w:highlight w:val="none"/>
                <w:lang w:bidi="ar"/>
              </w:rPr>
              <w:t>处理</w:t>
            </w:r>
            <w:r>
              <w:rPr>
                <w:rFonts w:hint="eastAsia"/>
                <w:color w:val="auto"/>
                <w:sz w:val="24"/>
                <w:highlight w:val="none"/>
                <w:lang w:eastAsia="zh-CN" w:bidi="ar"/>
              </w:rPr>
              <w:t>的生产</w:t>
            </w:r>
            <w:r>
              <w:rPr>
                <w:rFonts w:hint="eastAsia"/>
                <w:color w:val="auto"/>
                <w:sz w:val="24"/>
                <w:highlight w:val="none"/>
                <w:lang w:bidi="ar"/>
              </w:rPr>
              <w:t>废水量为</w:t>
            </w:r>
            <w:r>
              <w:rPr>
                <w:rFonts w:hint="eastAsia" w:ascii="Times New Roman" w:hAnsi="Times New Roman" w:eastAsia="宋体" w:cs="Times New Roman"/>
                <w:color w:val="auto"/>
                <w:sz w:val="24"/>
                <w:highlight w:val="none"/>
                <w:lang w:val="en-US" w:eastAsia="zh-CN"/>
              </w:rPr>
              <w:t>459</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r>
              <w:rPr>
                <w:rFonts w:hint="eastAsia"/>
                <w:color w:val="auto"/>
                <w:sz w:val="24"/>
                <w:highlight w:val="none"/>
                <w:lang w:val="en-US" w:eastAsia="zh-CN" w:bidi="ar"/>
              </w:rPr>
              <w:t>3.06</w:t>
            </w:r>
            <w:r>
              <w:rPr>
                <w:rFonts w:hint="eastAsia"/>
                <w:color w:val="auto"/>
                <w:sz w:val="24"/>
                <w:highlight w:val="none"/>
                <w:lang w:bidi="ar"/>
              </w:rPr>
              <w:t>m</w:t>
            </w:r>
            <w:r>
              <w:rPr>
                <w:rFonts w:hint="eastAsia"/>
                <w:color w:val="auto"/>
                <w:sz w:val="24"/>
                <w:highlight w:val="none"/>
                <w:vertAlign w:val="superscript"/>
                <w:lang w:bidi="ar"/>
              </w:rPr>
              <w:t>3</w:t>
            </w:r>
            <w:r>
              <w:rPr>
                <w:rFonts w:hint="eastAsia"/>
                <w:color w:val="auto"/>
                <w:sz w:val="24"/>
                <w:highlight w:val="none"/>
                <w:lang w:bidi="ar"/>
              </w:rPr>
              <w:t>/d，本次</w:t>
            </w:r>
            <w:r>
              <w:rPr>
                <w:rFonts w:hint="eastAsia"/>
                <w:color w:val="auto"/>
                <w:sz w:val="24"/>
                <w:highlight w:val="none"/>
                <w:lang w:eastAsia="zh-CN" w:bidi="ar"/>
              </w:rPr>
              <w:t>拟建沉淀池容量</w:t>
            </w:r>
            <w:r>
              <w:rPr>
                <w:rFonts w:hint="eastAsia"/>
                <w:color w:val="auto"/>
                <w:sz w:val="24"/>
                <w:highlight w:val="none"/>
                <w:lang w:bidi="ar"/>
              </w:rPr>
              <w:t>为</w:t>
            </w:r>
            <w:r>
              <w:rPr>
                <w:rFonts w:hint="eastAsia"/>
                <w:color w:val="auto"/>
                <w:sz w:val="24"/>
                <w:highlight w:val="none"/>
                <w:lang w:val="en-US" w:eastAsia="zh-CN" w:bidi="ar"/>
              </w:rPr>
              <w:t>75</w:t>
            </w:r>
            <w:r>
              <w:rPr>
                <w:rFonts w:hint="eastAsia"/>
                <w:color w:val="auto"/>
                <w:sz w:val="24"/>
                <w:highlight w:val="none"/>
                <w:lang w:bidi="ar"/>
              </w:rPr>
              <w:t>m</w:t>
            </w:r>
            <w:r>
              <w:rPr>
                <w:rFonts w:hint="eastAsia"/>
                <w:color w:val="auto"/>
                <w:sz w:val="24"/>
                <w:highlight w:val="none"/>
                <w:vertAlign w:val="superscript"/>
                <w:lang w:bidi="ar"/>
              </w:rPr>
              <w:t>3</w:t>
            </w:r>
            <w:r>
              <w:rPr>
                <w:rFonts w:hint="eastAsia"/>
                <w:color w:val="auto"/>
                <w:sz w:val="24"/>
                <w:highlight w:val="none"/>
                <w:lang w:bidi="ar"/>
              </w:rPr>
              <w:t>，因此企业自建污水</w:t>
            </w:r>
            <w:r>
              <w:rPr>
                <w:rFonts w:hint="eastAsia"/>
                <w:color w:val="auto"/>
                <w:sz w:val="24"/>
                <w:highlight w:val="none"/>
                <w:lang w:eastAsia="zh-CN" w:bidi="ar"/>
              </w:rPr>
              <w:t>预</w:t>
            </w:r>
            <w:r>
              <w:rPr>
                <w:rFonts w:hint="eastAsia"/>
                <w:color w:val="auto"/>
                <w:sz w:val="24"/>
                <w:highlight w:val="none"/>
                <w:lang w:bidi="ar"/>
              </w:rPr>
              <w:t>处理设施能满足项目废水处理量需求</w:t>
            </w:r>
            <w:r>
              <w:rPr>
                <w:rFonts w:hint="eastAsia"/>
                <w:color w:val="auto"/>
                <w:sz w:val="24"/>
                <w:highlight w:val="none"/>
                <w:lang w:eastAsia="zh-CN" w:bidi="ar"/>
              </w:rPr>
              <w:t>，</w:t>
            </w:r>
            <w:r>
              <w:rPr>
                <w:rFonts w:hint="eastAsia"/>
                <w:color w:val="auto"/>
                <w:sz w:val="24"/>
                <w:highlight w:val="none"/>
                <w:lang w:bidi="ar"/>
              </w:rPr>
              <w:t>本项目废水</w:t>
            </w:r>
            <w:r>
              <w:rPr>
                <w:rFonts w:hint="eastAsia"/>
                <w:color w:val="auto"/>
                <w:sz w:val="24"/>
                <w:highlight w:val="none"/>
                <w:lang w:eastAsia="zh-CN" w:bidi="ar"/>
              </w:rPr>
              <w:t>收集</w:t>
            </w:r>
            <w:r>
              <w:rPr>
                <w:rFonts w:hint="eastAsia"/>
                <w:color w:val="auto"/>
                <w:sz w:val="24"/>
                <w:highlight w:val="none"/>
                <w:lang w:bidi="ar"/>
              </w:rPr>
              <w:t>后拟</w:t>
            </w:r>
            <w:r>
              <w:rPr>
                <w:rFonts w:hint="eastAsia"/>
                <w:color w:val="auto"/>
                <w:sz w:val="24"/>
                <w:highlight w:val="none"/>
                <w:lang w:eastAsia="zh-CN" w:bidi="ar"/>
              </w:rPr>
              <w:t>经罐车运输至陕西朱鹮酒业有限公司污水处理站处理后经污水管网排入洋县</w:t>
            </w:r>
            <w:r>
              <w:rPr>
                <w:rFonts w:hint="eastAsia"/>
                <w:color w:val="auto"/>
                <w:sz w:val="24"/>
                <w:highlight w:val="none"/>
                <w:lang w:bidi="ar"/>
              </w:rPr>
              <w:t>污水处理厂进一步处置。</w:t>
            </w:r>
            <w:r>
              <w:rPr>
                <w:rFonts w:hint="eastAsia"/>
                <w:color w:val="auto"/>
                <w:sz w:val="24"/>
                <w:highlight w:val="none"/>
                <w:lang w:eastAsia="zh-CN" w:bidi="ar"/>
              </w:rPr>
              <w:t>目前建设单位已与陕西朱鹮酒业有限公司签订了污水委托处理协议（详见附件）。</w:t>
            </w:r>
          </w:p>
          <w:p w14:paraId="6B91AFF8">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eastAsia="宋体"/>
                <w:b/>
                <w:bCs/>
                <w:color w:val="auto"/>
                <w:sz w:val="24"/>
                <w:highlight w:val="none"/>
                <w:lang w:val="en-US" w:eastAsia="zh-CN"/>
              </w:rPr>
            </w:pPr>
            <w:r>
              <w:rPr>
                <w:rFonts w:hint="eastAsia"/>
                <w:b/>
                <w:bCs/>
                <w:color w:val="auto"/>
                <w:sz w:val="24"/>
                <w:highlight w:val="none"/>
                <w:lang w:val="en-US" w:eastAsia="zh-CN"/>
              </w:rPr>
              <w:t>拟依托陕西朱鹮酒业有限公司污水处理站可行性分析：</w:t>
            </w:r>
          </w:p>
          <w:p w14:paraId="740F40A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b w:val="0"/>
                <w:bCs w:val="0"/>
                <w:color w:val="auto"/>
                <w:sz w:val="24"/>
                <w:highlight w:val="none"/>
                <w:lang w:val="en-US" w:eastAsia="zh-CN"/>
              </w:rPr>
            </w:pPr>
            <w:r>
              <w:rPr>
                <w:rFonts w:hint="eastAsia"/>
                <w:b w:val="0"/>
                <w:bCs w:val="0"/>
                <w:color w:val="auto"/>
                <w:sz w:val="24"/>
                <w:highlight w:val="none"/>
              </w:rPr>
              <w:t>陕西朱鹮酒业有限公司</w:t>
            </w:r>
            <w:r>
              <w:rPr>
                <w:rFonts w:ascii="Times New Roman" w:hAnsi="Times New Roman"/>
                <w:color w:val="auto"/>
                <w:kern w:val="0"/>
                <w:sz w:val="24"/>
                <w:szCs w:val="24"/>
                <w:highlight w:val="none"/>
              </w:rPr>
              <w:t>经营范围包括黑米酒、饮料制造及销售</w:t>
            </w:r>
            <w:r>
              <w:rPr>
                <w:rFonts w:hint="eastAsia" w:ascii="Times New Roman" w:hAnsi="Times New Roman"/>
                <w:color w:val="auto"/>
                <w:kern w:val="0"/>
                <w:sz w:val="24"/>
                <w:szCs w:val="24"/>
                <w:highlight w:val="none"/>
                <w:lang w:eastAsia="zh-CN"/>
              </w:rPr>
              <w:t>，目前厂区已建</w:t>
            </w:r>
            <w:r>
              <w:rPr>
                <w:rFonts w:hint="eastAsia" w:ascii="Times New Roman" w:hAnsi="Times New Roman"/>
                <w:color w:val="auto"/>
                <w:sz w:val="24"/>
                <w:szCs w:val="24"/>
                <w:highlight w:val="none"/>
                <w:lang w:val="en-US" w:eastAsia="zh-CN"/>
              </w:rPr>
              <w:t>年产3000吨</w:t>
            </w:r>
            <w:r>
              <w:rPr>
                <w:rFonts w:ascii="Times New Roman" w:hAnsi="Times New Roman"/>
                <w:color w:val="auto"/>
                <w:sz w:val="24"/>
                <w:szCs w:val="24"/>
                <w:highlight w:val="none"/>
              </w:rPr>
              <w:t>有机黑谷酒生产线</w:t>
            </w:r>
            <w:r>
              <w:rPr>
                <w:rFonts w:hint="eastAsia" w:ascii="Times New Roman" w:hAnsi="Times New Roman"/>
                <w:color w:val="auto"/>
                <w:sz w:val="24"/>
                <w:szCs w:val="24"/>
                <w:highlight w:val="none"/>
                <w:lang w:eastAsia="zh-CN"/>
              </w:rPr>
              <w:t>项目，该项目已于</w:t>
            </w:r>
            <w:r>
              <w:rPr>
                <w:rFonts w:hint="eastAsia" w:ascii="Times New Roman" w:hAnsi="Times New Roman"/>
                <w:color w:val="auto"/>
                <w:sz w:val="24"/>
                <w:szCs w:val="24"/>
                <w:highlight w:val="none"/>
                <w:lang w:val="en-US" w:eastAsia="zh-CN"/>
              </w:rPr>
              <w:t>2024年2月取得了汉中市生态环境局《关于陕西朱鹮酒业有限公司有机黑米高端饮品深加工项目（一期）环境影响报告书的批复》（汉环批复（2024）3号），2025年3月开展了环保竣工验收工作；该公司</w:t>
            </w:r>
            <w:r>
              <w:rPr>
                <w:rFonts w:hint="eastAsia"/>
                <w:b w:val="0"/>
                <w:bCs w:val="0"/>
                <w:color w:val="auto"/>
                <w:sz w:val="24"/>
                <w:highlight w:val="none"/>
                <w:lang w:eastAsia="zh-CN"/>
              </w:rPr>
              <w:t>厂区已建</w:t>
            </w:r>
            <w:r>
              <w:rPr>
                <w:rFonts w:ascii="Times New Roman" w:hAnsi="Times New Roman"/>
                <w:color w:val="auto"/>
                <w:kern w:val="0"/>
                <w:sz w:val="24"/>
                <w:szCs w:val="24"/>
                <w:highlight w:val="none"/>
              </w:rPr>
              <w:t>1座污水处理站，设计废水处理能力为50m</w:t>
            </w:r>
            <w:r>
              <w:rPr>
                <w:rFonts w:ascii="Times New Roman" w:hAnsi="Times New Roman"/>
                <w:color w:val="auto"/>
                <w:kern w:val="0"/>
                <w:sz w:val="24"/>
                <w:szCs w:val="24"/>
                <w:highlight w:val="none"/>
                <w:vertAlign w:val="superscript"/>
              </w:rPr>
              <w:t>3</w:t>
            </w:r>
            <w:r>
              <w:rPr>
                <w:rFonts w:ascii="Times New Roman" w:hAnsi="Times New Roman"/>
                <w:color w:val="auto"/>
                <w:kern w:val="0"/>
                <w:sz w:val="24"/>
                <w:szCs w:val="24"/>
                <w:highlight w:val="none"/>
              </w:rPr>
              <w:t>/d，</w:t>
            </w:r>
            <w:r>
              <w:rPr>
                <w:rFonts w:ascii="Times New Roman" w:hAnsi="Times New Roman"/>
                <w:color w:val="auto"/>
                <w:sz w:val="24"/>
                <w:szCs w:val="24"/>
                <w:highlight w:val="none"/>
              </w:rPr>
              <w:t>采用“调节池→气浮机→厌氧发酵池→水解酸化池→接触氧化池→沉淀池→消毒池”的处理工艺，</w:t>
            </w:r>
            <w:r>
              <w:rPr>
                <w:rFonts w:hint="eastAsia"/>
                <w:color w:val="auto"/>
                <w:sz w:val="24"/>
                <w:highlight w:val="none"/>
                <w:lang w:bidi="ar"/>
              </w:rPr>
              <w:t>设计进水水质为COD</w:t>
            </w:r>
            <w:r>
              <w:rPr>
                <w:rFonts w:hint="eastAsia"/>
                <w:color w:val="auto"/>
                <w:sz w:val="24"/>
                <w:highlight w:val="none"/>
                <w:lang w:val="en-US" w:eastAsia="zh-CN" w:bidi="ar"/>
              </w:rPr>
              <w:t>8000</w:t>
            </w:r>
            <w:r>
              <w:rPr>
                <w:rFonts w:hint="eastAsia"/>
                <w:color w:val="auto"/>
                <w:sz w:val="24"/>
                <w:highlight w:val="none"/>
                <w:lang w:bidi="ar"/>
              </w:rPr>
              <w:t>mg/L、BOD</w:t>
            </w:r>
            <w:r>
              <w:rPr>
                <w:rFonts w:hint="eastAsia"/>
                <w:color w:val="auto"/>
                <w:sz w:val="24"/>
                <w:highlight w:val="none"/>
                <w:vertAlign w:val="subscript"/>
                <w:lang w:bidi="ar"/>
              </w:rPr>
              <w:t>5</w:t>
            </w:r>
            <w:r>
              <w:rPr>
                <w:rFonts w:hint="eastAsia"/>
                <w:color w:val="auto"/>
                <w:sz w:val="24"/>
                <w:highlight w:val="none"/>
                <w:lang w:val="en-US" w:eastAsia="zh-CN" w:bidi="ar"/>
              </w:rPr>
              <w:t>1700</w:t>
            </w:r>
            <w:r>
              <w:rPr>
                <w:rFonts w:hint="eastAsia"/>
                <w:color w:val="auto"/>
                <w:sz w:val="24"/>
                <w:highlight w:val="none"/>
                <w:lang w:bidi="ar"/>
              </w:rPr>
              <w:t>mg/L、NH</w:t>
            </w:r>
            <w:r>
              <w:rPr>
                <w:rFonts w:hint="eastAsia"/>
                <w:color w:val="auto"/>
                <w:sz w:val="24"/>
                <w:highlight w:val="none"/>
                <w:vertAlign w:val="subscript"/>
                <w:lang w:bidi="ar"/>
              </w:rPr>
              <w:t>3</w:t>
            </w:r>
            <w:r>
              <w:rPr>
                <w:rFonts w:hint="eastAsia"/>
                <w:color w:val="auto"/>
                <w:sz w:val="24"/>
                <w:highlight w:val="none"/>
                <w:lang w:bidi="ar"/>
              </w:rPr>
              <w:t>-N</w:t>
            </w:r>
            <w:r>
              <w:rPr>
                <w:rFonts w:hint="eastAsia"/>
                <w:color w:val="auto"/>
                <w:sz w:val="24"/>
                <w:highlight w:val="none"/>
                <w:lang w:val="en-US" w:eastAsia="zh-CN" w:bidi="ar"/>
              </w:rPr>
              <w:t>550</w:t>
            </w:r>
            <w:r>
              <w:rPr>
                <w:rFonts w:hint="eastAsia"/>
                <w:color w:val="auto"/>
                <w:sz w:val="24"/>
                <w:highlight w:val="none"/>
                <w:lang w:bidi="ar"/>
              </w:rPr>
              <w:t>mg/L、总氮</w:t>
            </w:r>
            <w:r>
              <w:rPr>
                <w:rFonts w:hint="eastAsia"/>
                <w:color w:val="auto"/>
                <w:sz w:val="24"/>
                <w:highlight w:val="none"/>
                <w:lang w:val="en-US" w:eastAsia="zh-CN" w:bidi="ar"/>
              </w:rPr>
              <w:t>685</w:t>
            </w:r>
            <w:r>
              <w:rPr>
                <w:rFonts w:hint="eastAsia"/>
                <w:color w:val="auto"/>
                <w:sz w:val="24"/>
                <w:highlight w:val="none"/>
                <w:lang w:bidi="ar"/>
              </w:rPr>
              <w:t>mg/L、总磷</w:t>
            </w:r>
            <w:r>
              <w:rPr>
                <w:rFonts w:hint="eastAsia"/>
                <w:color w:val="auto"/>
                <w:sz w:val="24"/>
                <w:highlight w:val="none"/>
                <w:lang w:val="en-US" w:eastAsia="zh-CN" w:bidi="ar"/>
              </w:rPr>
              <w:t>102</w:t>
            </w:r>
            <w:r>
              <w:rPr>
                <w:rFonts w:hint="eastAsia"/>
                <w:color w:val="auto"/>
                <w:sz w:val="24"/>
                <w:highlight w:val="none"/>
                <w:lang w:bidi="ar"/>
              </w:rPr>
              <w:t>mg/L，</w:t>
            </w:r>
            <w:r>
              <w:rPr>
                <w:rFonts w:hint="eastAsia"/>
                <w:color w:val="auto"/>
                <w:sz w:val="24"/>
                <w:highlight w:val="none"/>
                <w:lang w:eastAsia="zh-CN" w:bidi="ar"/>
              </w:rPr>
              <w:t>出水</w:t>
            </w:r>
            <w:r>
              <w:rPr>
                <w:rFonts w:hint="eastAsia"/>
                <w:color w:val="auto"/>
                <w:sz w:val="24"/>
                <w:highlight w:val="none"/>
                <w:lang w:bidi="ar"/>
              </w:rPr>
              <w:t>水质为COD≤</w:t>
            </w:r>
            <w:r>
              <w:rPr>
                <w:rFonts w:hint="eastAsia"/>
                <w:color w:val="auto"/>
                <w:sz w:val="24"/>
                <w:highlight w:val="none"/>
                <w:lang w:val="en-US" w:eastAsia="zh-CN" w:bidi="ar"/>
              </w:rPr>
              <w:t>320</w:t>
            </w:r>
            <w:r>
              <w:rPr>
                <w:rFonts w:hint="eastAsia"/>
                <w:color w:val="auto"/>
                <w:sz w:val="24"/>
                <w:highlight w:val="none"/>
                <w:lang w:bidi="ar"/>
              </w:rPr>
              <w:t>mg/L、BOD</w:t>
            </w:r>
            <w:r>
              <w:rPr>
                <w:rFonts w:hint="eastAsia"/>
                <w:color w:val="auto"/>
                <w:sz w:val="24"/>
                <w:highlight w:val="none"/>
                <w:vertAlign w:val="subscript"/>
                <w:lang w:bidi="ar"/>
              </w:rPr>
              <w:t>5</w:t>
            </w:r>
            <w:r>
              <w:rPr>
                <w:rFonts w:hint="eastAsia"/>
                <w:color w:val="auto"/>
                <w:sz w:val="24"/>
                <w:highlight w:val="none"/>
                <w:lang w:bidi="ar"/>
              </w:rPr>
              <w:t>≤</w:t>
            </w:r>
            <w:r>
              <w:rPr>
                <w:rFonts w:hint="eastAsia"/>
                <w:color w:val="auto"/>
                <w:sz w:val="24"/>
                <w:highlight w:val="none"/>
                <w:lang w:val="en-US" w:eastAsia="zh-CN" w:bidi="ar"/>
              </w:rPr>
              <w:t>140</w:t>
            </w:r>
            <w:r>
              <w:rPr>
                <w:rFonts w:hint="eastAsia"/>
                <w:color w:val="auto"/>
                <w:sz w:val="24"/>
                <w:highlight w:val="none"/>
                <w:lang w:bidi="ar"/>
              </w:rPr>
              <w:t>mg/L、NH</w:t>
            </w:r>
            <w:r>
              <w:rPr>
                <w:rFonts w:hint="eastAsia"/>
                <w:color w:val="auto"/>
                <w:sz w:val="24"/>
                <w:highlight w:val="none"/>
                <w:vertAlign w:val="subscript"/>
                <w:lang w:bidi="ar"/>
              </w:rPr>
              <w:t>3</w:t>
            </w:r>
            <w:r>
              <w:rPr>
                <w:rFonts w:hint="eastAsia"/>
                <w:color w:val="auto"/>
                <w:sz w:val="24"/>
                <w:highlight w:val="none"/>
                <w:lang w:bidi="ar"/>
              </w:rPr>
              <w:t>-N≤</w:t>
            </w:r>
            <w:r>
              <w:rPr>
                <w:rFonts w:hint="eastAsia"/>
                <w:color w:val="auto"/>
                <w:sz w:val="24"/>
                <w:highlight w:val="none"/>
                <w:lang w:val="en-US" w:eastAsia="zh-CN" w:bidi="ar"/>
              </w:rPr>
              <w:t>22</w:t>
            </w:r>
            <w:r>
              <w:rPr>
                <w:rFonts w:hint="eastAsia"/>
                <w:color w:val="auto"/>
                <w:sz w:val="24"/>
                <w:highlight w:val="none"/>
                <w:lang w:bidi="ar"/>
              </w:rPr>
              <w:t>mg/L、总氮≤</w:t>
            </w:r>
            <w:r>
              <w:rPr>
                <w:rFonts w:hint="eastAsia"/>
                <w:color w:val="auto"/>
                <w:sz w:val="24"/>
                <w:highlight w:val="none"/>
                <w:lang w:val="en-US" w:eastAsia="zh-CN" w:bidi="ar"/>
              </w:rPr>
              <w:t>30</w:t>
            </w:r>
            <w:r>
              <w:rPr>
                <w:rFonts w:hint="eastAsia"/>
                <w:color w:val="auto"/>
                <w:sz w:val="24"/>
                <w:highlight w:val="none"/>
                <w:lang w:bidi="ar"/>
              </w:rPr>
              <w:t>mg/L、总磷≤</w:t>
            </w:r>
            <w:r>
              <w:rPr>
                <w:rFonts w:hint="eastAsia"/>
                <w:color w:val="auto"/>
                <w:sz w:val="24"/>
                <w:highlight w:val="none"/>
                <w:lang w:val="en-US" w:eastAsia="zh-CN" w:bidi="ar"/>
              </w:rPr>
              <w:t>5</w:t>
            </w:r>
            <w:r>
              <w:rPr>
                <w:rFonts w:hint="eastAsia"/>
                <w:color w:val="auto"/>
                <w:sz w:val="24"/>
                <w:highlight w:val="none"/>
                <w:lang w:bidi="ar"/>
              </w:rPr>
              <w:t>mg/L，</w:t>
            </w:r>
            <w:r>
              <w:rPr>
                <w:rFonts w:hint="eastAsia"/>
                <w:color w:val="auto"/>
                <w:sz w:val="24"/>
                <w:highlight w:val="none"/>
                <w:lang w:eastAsia="zh-CN" w:bidi="ar"/>
              </w:rPr>
              <w:t>该污水处理站处理厂区自有污水处理量约为</w:t>
            </w:r>
            <w:r>
              <w:rPr>
                <w:rFonts w:hint="eastAsia"/>
                <w:color w:val="auto"/>
                <w:sz w:val="24"/>
                <w:highlight w:val="none"/>
                <w:lang w:val="en-US" w:eastAsia="zh-CN" w:bidi="ar"/>
              </w:rPr>
              <w:t>30</w:t>
            </w:r>
            <w:r>
              <w:rPr>
                <w:rFonts w:hint="eastAsia"/>
                <w:color w:val="auto"/>
                <w:sz w:val="24"/>
                <w:highlight w:val="none"/>
                <w:lang w:bidi="ar"/>
              </w:rPr>
              <w:t>m</w:t>
            </w:r>
            <w:r>
              <w:rPr>
                <w:rFonts w:hint="eastAsia"/>
                <w:color w:val="auto"/>
                <w:sz w:val="24"/>
                <w:highlight w:val="none"/>
                <w:vertAlign w:val="superscript"/>
                <w:lang w:bidi="ar"/>
              </w:rPr>
              <w:t>3</w:t>
            </w:r>
            <w:r>
              <w:rPr>
                <w:rFonts w:hint="eastAsia"/>
                <w:color w:val="auto"/>
                <w:sz w:val="24"/>
                <w:highlight w:val="none"/>
                <w:lang w:bidi="ar"/>
              </w:rPr>
              <w:t>/d，</w:t>
            </w:r>
            <w:r>
              <w:rPr>
                <w:rFonts w:hint="eastAsia"/>
                <w:color w:val="auto"/>
                <w:sz w:val="24"/>
                <w:highlight w:val="none"/>
                <w:lang w:eastAsia="zh-CN" w:bidi="ar"/>
              </w:rPr>
              <w:t>项目委托处理污水量仅占其剩余处理能力（</w:t>
            </w:r>
            <w:r>
              <w:rPr>
                <w:rFonts w:hint="eastAsia"/>
                <w:color w:val="auto"/>
                <w:sz w:val="24"/>
                <w:highlight w:val="none"/>
                <w:lang w:val="en-US" w:eastAsia="zh-CN" w:bidi="ar"/>
              </w:rPr>
              <w:t>20m</w:t>
            </w:r>
            <w:r>
              <w:rPr>
                <w:rFonts w:hint="eastAsia"/>
                <w:color w:val="auto"/>
                <w:sz w:val="24"/>
                <w:highlight w:val="none"/>
                <w:vertAlign w:val="superscript"/>
                <w:lang w:val="en-US" w:eastAsia="zh-CN" w:bidi="ar"/>
              </w:rPr>
              <w:t>3</w:t>
            </w:r>
            <w:r>
              <w:rPr>
                <w:rFonts w:hint="eastAsia"/>
                <w:color w:val="auto"/>
                <w:sz w:val="24"/>
                <w:highlight w:val="none"/>
                <w:lang w:eastAsia="zh-CN" w:bidi="ar"/>
              </w:rPr>
              <w:t>）的</w:t>
            </w:r>
            <w:r>
              <w:rPr>
                <w:rFonts w:hint="eastAsia"/>
                <w:color w:val="auto"/>
                <w:sz w:val="24"/>
                <w:highlight w:val="none"/>
                <w:lang w:val="en-US" w:eastAsia="zh-CN" w:bidi="ar"/>
              </w:rPr>
              <w:t>15.3%，</w:t>
            </w:r>
            <w:r>
              <w:rPr>
                <w:rFonts w:hint="eastAsia"/>
                <w:color w:val="auto"/>
                <w:sz w:val="24"/>
                <w:highlight w:val="none"/>
                <w:lang w:eastAsia="zh-CN" w:bidi="ar"/>
              </w:rPr>
              <w:t>因此该污水处理站剩余处理能力能够满足本项目污水处理量需求，且本项目已与</w:t>
            </w:r>
            <w:r>
              <w:rPr>
                <w:rFonts w:hint="eastAsia"/>
                <w:b w:val="0"/>
                <w:bCs w:val="0"/>
                <w:color w:val="auto"/>
                <w:sz w:val="24"/>
                <w:highlight w:val="none"/>
              </w:rPr>
              <w:t>陕西朱鹮酒业有限公司</w:t>
            </w:r>
            <w:r>
              <w:rPr>
                <w:rFonts w:hint="eastAsia"/>
                <w:b w:val="0"/>
                <w:bCs w:val="0"/>
                <w:color w:val="auto"/>
                <w:sz w:val="24"/>
                <w:highlight w:val="none"/>
                <w:lang w:eastAsia="zh-CN"/>
              </w:rPr>
              <w:t>签订了废水处理协议，该公司同意接纳代为处理本项目污水。</w:t>
            </w:r>
            <w:r>
              <w:rPr>
                <w:rFonts w:hint="eastAsia"/>
                <w:color w:val="auto"/>
                <w:sz w:val="24"/>
                <w:highlight w:val="none"/>
                <w:lang w:eastAsia="zh-CN" w:bidi="ar"/>
              </w:rPr>
              <w:t>同时根据前文废水沉淀池水质可知，项目生产废水水质满足该污水处理站进水水质要求；</w:t>
            </w:r>
            <w:r>
              <w:rPr>
                <w:rFonts w:hint="eastAsia"/>
                <w:b w:val="0"/>
                <w:bCs w:val="0"/>
                <w:color w:val="auto"/>
                <w:sz w:val="24"/>
                <w:highlight w:val="none"/>
              </w:rPr>
              <w:t>陕西朱鹮酒业有限公司</w:t>
            </w:r>
            <w:r>
              <w:rPr>
                <w:rFonts w:hint="eastAsia"/>
                <w:b w:val="0"/>
                <w:bCs w:val="0"/>
                <w:color w:val="auto"/>
                <w:sz w:val="24"/>
                <w:highlight w:val="none"/>
                <w:lang w:eastAsia="zh-CN"/>
              </w:rPr>
              <w:t>位于项目厂区北侧</w:t>
            </w:r>
            <w:r>
              <w:rPr>
                <w:rFonts w:hint="eastAsia"/>
                <w:b w:val="0"/>
                <w:bCs w:val="0"/>
                <w:color w:val="auto"/>
                <w:sz w:val="24"/>
                <w:highlight w:val="none"/>
                <w:lang w:val="en-US" w:eastAsia="zh-CN"/>
              </w:rPr>
              <w:t>300m处，运距较短且有园区道路接通，因此后期运输便利。</w:t>
            </w:r>
          </w:p>
          <w:p w14:paraId="678507E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bidi="ar"/>
              </w:rPr>
            </w:pPr>
            <w:r>
              <w:rPr>
                <w:rFonts w:hint="eastAsia" w:ascii="Times New Roman" w:hAnsi="Times New Roman" w:eastAsia="宋体" w:cs="Times New Roman"/>
                <w:color w:val="auto"/>
                <w:sz w:val="24"/>
                <w:highlight w:val="none"/>
                <w:lang w:val="en-US" w:eastAsia="zh-CN" w:bidi="ar"/>
              </w:rPr>
              <w:t>因此，项目部分生产废水</w:t>
            </w:r>
            <w:r>
              <w:rPr>
                <w:rFonts w:hint="eastAsia" w:ascii="Times New Roman" w:hAnsi="Times New Roman" w:eastAsia="宋体" w:cs="Times New Roman"/>
                <w:color w:val="auto"/>
                <w:sz w:val="24"/>
                <w:highlight w:val="none"/>
                <w:lang w:eastAsia="zh-CN" w:bidi="ar"/>
              </w:rPr>
              <w:t>依托陕西朱鹮酒业有限公司厂区污水</w:t>
            </w:r>
            <w:r>
              <w:rPr>
                <w:rFonts w:hint="eastAsia" w:ascii="Times New Roman" w:hAnsi="Times New Roman" w:eastAsia="宋体" w:cs="Times New Roman"/>
                <w:color w:val="auto"/>
                <w:sz w:val="24"/>
                <w:highlight w:val="none"/>
                <w:lang w:bidi="ar"/>
              </w:rPr>
              <w:t>处理</w:t>
            </w:r>
            <w:r>
              <w:rPr>
                <w:rFonts w:hint="eastAsia" w:ascii="Times New Roman" w:hAnsi="Times New Roman" w:eastAsia="宋体" w:cs="Times New Roman"/>
                <w:color w:val="auto"/>
                <w:sz w:val="24"/>
                <w:highlight w:val="none"/>
                <w:lang w:eastAsia="zh-CN" w:bidi="ar"/>
              </w:rPr>
              <w:t>站</w:t>
            </w:r>
            <w:r>
              <w:rPr>
                <w:rFonts w:hint="eastAsia" w:ascii="Times New Roman" w:hAnsi="Times New Roman" w:eastAsia="宋体" w:cs="Times New Roman"/>
                <w:color w:val="auto"/>
                <w:sz w:val="24"/>
                <w:highlight w:val="none"/>
                <w:lang w:bidi="ar"/>
              </w:rPr>
              <w:t>处理</w:t>
            </w:r>
            <w:r>
              <w:rPr>
                <w:rFonts w:hint="eastAsia" w:ascii="Times New Roman" w:hAnsi="Times New Roman" w:eastAsia="宋体" w:cs="Times New Roman"/>
                <w:color w:val="auto"/>
                <w:sz w:val="24"/>
                <w:highlight w:val="none"/>
                <w:lang w:eastAsia="zh-CN" w:bidi="ar"/>
              </w:rPr>
              <w:t>可行。</w:t>
            </w:r>
          </w:p>
          <w:p w14:paraId="5F6F360A">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b/>
                <w:bCs/>
                <w:color w:val="auto"/>
                <w:sz w:val="24"/>
                <w:highlight w:val="none"/>
              </w:rPr>
            </w:pPr>
            <w:r>
              <w:rPr>
                <w:rFonts w:hint="eastAsia"/>
                <w:b/>
                <w:bCs/>
                <w:color w:val="auto"/>
                <w:sz w:val="24"/>
                <w:highlight w:val="none"/>
              </w:rPr>
              <w:t>项目废水依托</w:t>
            </w:r>
            <w:r>
              <w:rPr>
                <w:rFonts w:hint="eastAsia"/>
                <w:b/>
                <w:bCs/>
                <w:color w:val="auto"/>
                <w:sz w:val="24"/>
                <w:highlight w:val="none"/>
                <w:lang w:eastAsia="zh-CN"/>
              </w:rPr>
              <w:t>洋县</w:t>
            </w:r>
            <w:r>
              <w:rPr>
                <w:rFonts w:hint="eastAsia"/>
                <w:b/>
                <w:bCs/>
                <w:color w:val="auto"/>
                <w:sz w:val="24"/>
                <w:highlight w:val="none"/>
              </w:rPr>
              <w:t>污水处理厂处置可行性分析：</w:t>
            </w:r>
          </w:p>
          <w:p w14:paraId="176AE77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bidi="ar"/>
              </w:rPr>
            </w:pPr>
            <w:r>
              <w:rPr>
                <w:rFonts w:hint="default" w:ascii="Times New Roman" w:hAnsi="Times New Roman" w:cs="Times New Roman"/>
                <w:color w:val="auto"/>
                <w:sz w:val="24"/>
                <w:highlight w:val="none"/>
                <w:lang w:bidi="ar"/>
              </w:rPr>
              <w:t>根据调查，洋县污水处理厂（又名桑德汉中洋县水务有限公司）位于县城以东天宁寺河西岸，洋州街道办东联村，占地约64.11亩，污水处理厂建设规模为：一期2.0万m</w:t>
            </w:r>
            <w:r>
              <w:rPr>
                <w:rFonts w:hint="default" w:ascii="Times New Roman" w:hAnsi="Times New Roman" w:cs="Times New Roman"/>
                <w:color w:val="auto"/>
                <w:sz w:val="24"/>
                <w:highlight w:val="none"/>
                <w:vertAlign w:val="superscript"/>
                <w:lang w:bidi="ar"/>
              </w:rPr>
              <w:t>3</w:t>
            </w:r>
            <w:r>
              <w:rPr>
                <w:rFonts w:hint="default" w:ascii="Times New Roman" w:hAnsi="Times New Roman" w:cs="Times New Roman"/>
                <w:color w:val="auto"/>
                <w:sz w:val="24"/>
                <w:highlight w:val="none"/>
                <w:lang w:bidi="ar"/>
              </w:rPr>
              <w:t>/d，二期总规模4.0万m</w:t>
            </w:r>
            <w:r>
              <w:rPr>
                <w:rFonts w:hint="default" w:ascii="Times New Roman" w:hAnsi="Times New Roman" w:cs="Times New Roman"/>
                <w:color w:val="auto"/>
                <w:sz w:val="24"/>
                <w:highlight w:val="none"/>
                <w:vertAlign w:val="superscript"/>
                <w:lang w:bidi="ar"/>
              </w:rPr>
              <w:t>3</w:t>
            </w:r>
            <w:r>
              <w:rPr>
                <w:rFonts w:hint="default" w:ascii="Times New Roman" w:hAnsi="Times New Roman" w:cs="Times New Roman"/>
                <w:color w:val="auto"/>
                <w:sz w:val="24"/>
                <w:highlight w:val="none"/>
                <w:lang w:bidi="ar"/>
              </w:rPr>
              <w:t>/d。</w:t>
            </w:r>
            <w:r>
              <w:rPr>
                <w:rFonts w:hint="default" w:ascii="Times New Roman" w:hAnsi="Times New Roman" w:cs="Times New Roman"/>
                <w:color w:val="auto"/>
                <w:sz w:val="24"/>
                <w:highlight w:val="none"/>
                <w:lang w:eastAsia="zh-CN" w:bidi="ar"/>
              </w:rPr>
              <w:t>洋县污水处理厂</w:t>
            </w:r>
            <w:r>
              <w:rPr>
                <w:rFonts w:hint="default" w:ascii="Times New Roman" w:hAnsi="Times New Roman" w:eastAsia="宋体" w:cs="Times New Roman"/>
                <w:b w:val="0"/>
                <w:bCs w:val="0"/>
                <w:color w:val="auto"/>
                <w:sz w:val="24"/>
                <w:szCs w:val="24"/>
                <w:highlight w:val="none"/>
              </w:rPr>
              <w:t>服务范围为党河以东、汉江以北、天宁河以西的主城区，党河以西的戚氏镇。工程污水工艺流程如下：进水→粗格栅及提升泵站→细格栅及沉砂池→A</w:t>
            </w:r>
            <w:r>
              <w:rPr>
                <w:rFonts w:hint="default" w:ascii="Times New Roman" w:hAnsi="Times New Roman" w:eastAsia="宋体" w:cs="Times New Roman"/>
                <w:b w:val="0"/>
                <w:bCs w:val="0"/>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rPr>
              <w:t>O→二沉池→中间水池提升泵房→高效澄清池→纤维转盘滤池→接触消毒池→巴氏计量槽→天宁寺河排放</w:t>
            </w:r>
            <w:r>
              <w:rPr>
                <w:rFonts w:hint="default" w:ascii="Times New Roman" w:hAnsi="Times New Roman" w:eastAsia="宋体" w:cs="Times New Roman"/>
                <w:b w:val="0"/>
                <w:bCs w:val="0"/>
                <w:color w:val="auto"/>
                <w:sz w:val="24"/>
                <w:szCs w:val="24"/>
                <w:highlight w:val="none"/>
                <w:lang w:eastAsia="zh-CN"/>
              </w:rPr>
              <w:t>，出水执行《城镇污水处理厂污染物排放标准》（GB18918-2002）一级A标准</w:t>
            </w:r>
            <w:r>
              <w:rPr>
                <w:rFonts w:hint="eastAsia" w:ascii="Times New Roman" w:hAnsi="Times New Roman" w:eastAsia="宋体" w:cs="Times New Roman"/>
                <w:b w:val="0"/>
                <w:bCs w:val="0"/>
                <w:color w:val="auto"/>
                <w:sz w:val="24"/>
                <w:szCs w:val="24"/>
                <w:highlight w:val="none"/>
                <w:lang w:eastAsia="zh-CN"/>
              </w:rPr>
              <w:t>。</w:t>
            </w:r>
          </w:p>
          <w:p w14:paraId="576EE2F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sz w:val="24"/>
                <w:highlight w:val="none"/>
                <w:lang w:bidi="ar"/>
              </w:rPr>
            </w:pPr>
            <w:r>
              <w:rPr>
                <w:rFonts w:hint="eastAsia"/>
                <w:color w:val="auto"/>
                <w:sz w:val="24"/>
                <w:highlight w:val="none"/>
                <w:lang w:eastAsia="zh-CN" w:bidi="ar"/>
              </w:rPr>
              <w:t>目前，</w:t>
            </w:r>
            <w:r>
              <w:rPr>
                <w:rFonts w:hint="eastAsia" w:ascii="宋体" w:hAnsi="宋体" w:eastAsia="宋体" w:cs="宋体"/>
                <w:b w:val="0"/>
                <w:bCs w:val="0"/>
                <w:color w:val="auto"/>
                <w:sz w:val="24"/>
                <w:szCs w:val="24"/>
                <w:highlight w:val="none"/>
              </w:rPr>
              <w:t>洋县污水处理厂二期工程已建成投入运行，</w:t>
            </w:r>
            <w:r>
              <w:rPr>
                <w:rFonts w:hint="eastAsia" w:ascii="宋体" w:hAnsi="宋体" w:eastAsia="宋体" w:cs="宋体"/>
                <w:b w:val="0"/>
                <w:bCs w:val="0"/>
                <w:color w:val="auto"/>
                <w:sz w:val="24"/>
                <w:szCs w:val="24"/>
                <w:highlight w:val="none"/>
                <w:lang w:eastAsia="zh-CN"/>
              </w:rPr>
              <w:t>已开展</w:t>
            </w:r>
            <w:r>
              <w:rPr>
                <w:rFonts w:hint="eastAsia" w:ascii="宋体" w:hAnsi="宋体" w:eastAsia="宋体" w:cs="宋体"/>
                <w:b w:val="0"/>
                <w:bCs w:val="0"/>
                <w:color w:val="auto"/>
                <w:sz w:val="24"/>
                <w:szCs w:val="24"/>
                <w:highlight w:val="none"/>
              </w:rPr>
              <w:t>了自主竣工环保验收</w:t>
            </w:r>
            <w:r>
              <w:rPr>
                <w:rFonts w:hint="eastAsia" w:ascii="宋体" w:hAnsi="宋体" w:eastAsia="宋体" w:cs="宋体"/>
                <w:b w:val="0"/>
                <w:bCs w:val="0"/>
                <w:color w:val="auto"/>
                <w:sz w:val="24"/>
                <w:szCs w:val="24"/>
                <w:highlight w:val="none"/>
                <w:lang w:eastAsia="zh-CN"/>
              </w:rPr>
              <w:t>。</w:t>
            </w:r>
            <w:r>
              <w:rPr>
                <w:rFonts w:hint="eastAsia"/>
                <w:color w:val="auto"/>
                <w:sz w:val="24"/>
                <w:highlight w:val="none"/>
                <w:lang w:bidi="ar"/>
              </w:rPr>
              <w:t>设计进水水质为COD≤</w:t>
            </w:r>
            <w:r>
              <w:rPr>
                <w:rFonts w:hint="eastAsia"/>
                <w:color w:val="auto"/>
                <w:sz w:val="24"/>
                <w:highlight w:val="none"/>
                <w:lang w:val="en-US" w:eastAsia="zh-CN" w:bidi="ar"/>
              </w:rPr>
              <w:t>320</w:t>
            </w:r>
            <w:r>
              <w:rPr>
                <w:rFonts w:hint="eastAsia"/>
                <w:color w:val="auto"/>
                <w:sz w:val="24"/>
                <w:highlight w:val="none"/>
                <w:lang w:bidi="ar"/>
              </w:rPr>
              <w:t>mg/L、BOD</w:t>
            </w:r>
            <w:r>
              <w:rPr>
                <w:rFonts w:hint="eastAsia"/>
                <w:color w:val="auto"/>
                <w:sz w:val="24"/>
                <w:highlight w:val="none"/>
                <w:vertAlign w:val="subscript"/>
                <w:lang w:bidi="ar"/>
              </w:rPr>
              <w:t>5</w:t>
            </w:r>
            <w:r>
              <w:rPr>
                <w:rFonts w:hint="eastAsia"/>
                <w:color w:val="auto"/>
                <w:sz w:val="24"/>
                <w:highlight w:val="none"/>
                <w:lang w:bidi="ar"/>
              </w:rPr>
              <w:t>≤</w:t>
            </w:r>
            <w:r>
              <w:rPr>
                <w:rFonts w:hint="eastAsia"/>
                <w:color w:val="auto"/>
                <w:sz w:val="24"/>
                <w:highlight w:val="none"/>
                <w:lang w:val="en-US" w:eastAsia="zh-CN" w:bidi="ar"/>
              </w:rPr>
              <w:t>160</w:t>
            </w:r>
            <w:r>
              <w:rPr>
                <w:rFonts w:hint="eastAsia"/>
                <w:color w:val="auto"/>
                <w:sz w:val="24"/>
                <w:highlight w:val="none"/>
                <w:lang w:bidi="ar"/>
              </w:rPr>
              <w:t>mg/L、SS≤</w:t>
            </w:r>
            <w:r>
              <w:rPr>
                <w:rFonts w:hint="eastAsia"/>
                <w:color w:val="auto"/>
                <w:sz w:val="24"/>
                <w:highlight w:val="none"/>
                <w:lang w:val="en-US" w:eastAsia="zh-CN" w:bidi="ar"/>
              </w:rPr>
              <w:t>1</w:t>
            </w:r>
            <w:r>
              <w:rPr>
                <w:rFonts w:hint="eastAsia"/>
                <w:color w:val="auto"/>
                <w:sz w:val="24"/>
                <w:highlight w:val="none"/>
                <w:lang w:bidi="ar"/>
              </w:rPr>
              <w:t>70mg/L、NH</w:t>
            </w:r>
            <w:r>
              <w:rPr>
                <w:rFonts w:hint="eastAsia"/>
                <w:color w:val="auto"/>
                <w:sz w:val="24"/>
                <w:highlight w:val="none"/>
                <w:vertAlign w:val="subscript"/>
                <w:lang w:bidi="ar"/>
              </w:rPr>
              <w:t>3</w:t>
            </w:r>
            <w:r>
              <w:rPr>
                <w:rFonts w:hint="eastAsia"/>
                <w:color w:val="auto"/>
                <w:sz w:val="24"/>
                <w:highlight w:val="none"/>
                <w:lang w:bidi="ar"/>
              </w:rPr>
              <w:t>-N≤</w:t>
            </w:r>
            <w:r>
              <w:rPr>
                <w:rFonts w:hint="eastAsia"/>
                <w:color w:val="auto"/>
                <w:sz w:val="24"/>
                <w:highlight w:val="none"/>
                <w:lang w:val="en-US" w:eastAsia="zh-CN" w:bidi="ar"/>
              </w:rPr>
              <w:t>30</w:t>
            </w:r>
            <w:r>
              <w:rPr>
                <w:rFonts w:hint="eastAsia"/>
                <w:color w:val="auto"/>
                <w:sz w:val="24"/>
                <w:highlight w:val="none"/>
                <w:lang w:bidi="ar"/>
              </w:rPr>
              <w:t>mg/L、总氮≤</w:t>
            </w:r>
            <w:r>
              <w:rPr>
                <w:rFonts w:hint="eastAsia"/>
                <w:color w:val="auto"/>
                <w:sz w:val="24"/>
                <w:highlight w:val="none"/>
                <w:lang w:val="en-US" w:eastAsia="zh-CN" w:bidi="ar"/>
              </w:rPr>
              <w:t>40</w:t>
            </w:r>
            <w:r>
              <w:rPr>
                <w:rFonts w:hint="eastAsia"/>
                <w:color w:val="auto"/>
                <w:sz w:val="24"/>
                <w:highlight w:val="none"/>
                <w:lang w:bidi="ar"/>
              </w:rPr>
              <w:t>mg/L、总磷≤</w:t>
            </w:r>
            <w:r>
              <w:rPr>
                <w:rFonts w:hint="eastAsia"/>
                <w:color w:val="auto"/>
                <w:sz w:val="24"/>
                <w:highlight w:val="none"/>
                <w:lang w:val="en-US" w:eastAsia="zh-CN" w:bidi="ar"/>
              </w:rPr>
              <w:t>5</w:t>
            </w:r>
            <w:r>
              <w:rPr>
                <w:rFonts w:hint="eastAsia"/>
                <w:color w:val="auto"/>
                <w:sz w:val="24"/>
                <w:highlight w:val="none"/>
                <w:lang w:bidi="ar"/>
              </w:rPr>
              <w:t>mg/L，</w:t>
            </w:r>
            <w:r>
              <w:rPr>
                <w:rFonts w:hint="eastAsia"/>
                <w:color w:val="auto"/>
                <w:sz w:val="24"/>
                <w:highlight w:val="none"/>
                <w:lang w:eastAsia="zh-CN" w:bidi="ar"/>
              </w:rPr>
              <w:t>处理后</w:t>
            </w:r>
            <w:r>
              <w:rPr>
                <w:rFonts w:hint="eastAsia" w:ascii="Times New Roman" w:hAnsi="Times New Roman" w:eastAsia="宋体" w:cs="Times New Roman"/>
                <w:b w:val="0"/>
                <w:bCs w:val="0"/>
                <w:color w:val="auto"/>
                <w:sz w:val="24"/>
                <w:szCs w:val="24"/>
                <w:highlight w:val="none"/>
                <w:lang w:eastAsia="zh-CN"/>
              </w:rPr>
              <w:t>出水排放方式为连续排放，入河方式为尾水（县污水处理厂处理达标后）经管道（DN100mm）排入明渠，经明渠和涵闸排入天宁寺河，沿天宁寺河河道向下游汇入汉江</w:t>
            </w:r>
            <w:r>
              <w:rPr>
                <w:rFonts w:hint="eastAsia"/>
                <w:color w:val="auto"/>
                <w:sz w:val="24"/>
                <w:highlight w:val="none"/>
                <w:lang w:bidi="ar"/>
              </w:rPr>
              <w:t>。</w:t>
            </w:r>
          </w:p>
          <w:p w14:paraId="04B96D3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经对照</w:t>
            </w:r>
            <w:r>
              <w:rPr>
                <w:rFonts w:hint="eastAsia"/>
                <w:color w:val="auto"/>
                <w:sz w:val="24"/>
                <w:highlight w:val="none"/>
                <w:lang w:eastAsia="zh-CN"/>
              </w:rPr>
              <w:t>洋县</w:t>
            </w:r>
            <w:r>
              <w:rPr>
                <w:rFonts w:hint="eastAsia"/>
                <w:color w:val="auto"/>
                <w:sz w:val="24"/>
                <w:highlight w:val="none"/>
              </w:rPr>
              <w:t>污水处理厂纳污范围可知，本项目位于该</w:t>
            </w:r>
            <w:r>
              <w:rPr>
                <w:rFonts w:hint="eastAsia"/>
                <w:color w:val="auto"/>
                <w:sz w:val="24"/>
                <w:highlight w:val="none"/>
                <w:lang w:eastAsia="zh-CN"/>
              </w:rPr>
              <w:t>污水处理厂</w:t>
            </w:r>
            <w:r>
              <w:rPr>
                <w:rFonts w:hint="eastAsia"/>
                <w:color w:val="auto"/>
                <w:sz w:val="24"/>
                <w:highlight w:val="none"/>
              </w:rPr>
              <w:t>纳污范围，</w:t>
            </w:r>
            <w:r>
              <w:rPr>
                <w:rFonts w:hint="eastAsia"/>
                <w:color w:val="auto"/>
                <w:sz w:val="24"/>
                <w:highlight w:val="none"/>
                <w:lang w:eastAsia="zh-CN"/>
              </w:rPr>
              <w:t>且项目区域已接通该污水处理厂管网，</w:t>
            </w:r>
            <w:r>
              <w:rPr>
                <w:rFonts w:hint="eastAsia"/>
                <w:color w:val="auto"/>
                <w:sz w:val="24"/>
                <w:highlight w:val="none"/>
              </w:rPr>
              <w:t>本项目</w:t>
            </w:r>
            <w:r>
              <w:rPr>
                <w:rFonts w:hint="eastAsia"/>
                <w:color w:val="auto"/>
                <w:sz w:val="24"/>
                <w:highlight w:val="none"/>
                <w:lang w:eastAsia="zh-CN"/>
              </w:rPr>
              <w:t>建成</w:t>
            </w:r>
            <w:r>
              <w:rPr>
                <w:rFonts w:hint="eastAsia"/>
                <w:color w:val="auto"/>
                <w:sz w:val="24"/>
                <w:highlight w:val="none"/>
              </w:rPr>
              <w:t>后废水</w:t>
            </w:r>
            <w:r>
              <w:rPr>
                <w:rFonts w:hint="eastAsia"/>
                <w:color w:val="auto"/>
                <w:sz w:val="24"/>
                <w:highlight w:val="none"/>
                <w:lang w:eastAsia="zh-CN"/>
              </w:rPr>
              <w:t>排放总</w:t>
            </w:r>
            <w:r>
              <w:rPr>
                <w:rFonts w:hint="eastAsia"/>
                <w:color w:val="auto"/>
                <w:sz w:val="24"/>
                <w:highlight w:val="none"/>
              </w:rPr>
              <w:t>量为</w:t>
            </w:r>
            <w:r>
              <w:rPr>
                <w:rFonts w:hint="eastAsia" w:ascii="Times New Roman" w:hAnsi="Times New Roman" w:eastAsia="宋体" w:cs="Times New Roman"/>
                <w:color w:val="auto"/>
                <w:sz w:val="24"/>
                <w:highlight w:val="none"/>
                <w:lang w:val="en-US" w:eastAsia="zh-CN"/>
              </w:rPr>
              <w:t>761.7</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eastAsia"/>
                <w:color w:val="auto"/>
                <w:sz w:val="24"/>
                <w:highlight w:val="none"/>
                <w:lang w:val="en-US" w:eastAsia="zh-CN" w:bidi="ar"/>
              </w:rPr>
              <w:t>5.078</w:t>
            </w:r>
            <w:r>
              <w:rPr>
                <w:rFonts w:hint="eastAsia"/>
                <w:color w:val="auto"/>
                <w:sz w:val="24"/>
                <w:highlight w:val="none"/>
                <w:lang w:bidi="ar"/>
              </w:rPr>
              <w:t>m</w:t>
            </w:r>
            <w:r>
              <w:rPr>
                <w:rFonts w:hint="eastAsia"/>
                <w:color w:val="auto"/>
                <w:sz w:val="24"/>
                <w:highlight w:val="none"/>
                <w:vertAlign w:val="superscript"/>
                <w:lang w:bidi="ar"/>
              </w:rPr>
              <w:t>3</w:t>
            </w:r>
            <w:r>
              <w:rPr>
                <w:rFonts w:hint="eastAsia"/>
                <w:color w:val="auto"/>
                <w:sz w:val="24"/>
                <w:highlight w:val="none"/>
                <w:lang w:bidi="ar"/>
              </w:rPr>
              <w:t>/d，</w:t>
            </w:r>
            <w:r>
              <w:rPr>
                <w:rFonts w:hint="eastAsia"/>
                <w:color w:val="auto"/>
                <w:sz w:val="24"/>
                <w:highlight w:val="none"/>
                <w:lang w:eastAsia="zh-CN" w:bidi="ar"/>
              </w:rPr>
              <w:t>洋县污水处理厂近期剩余处理量为21600m</w:t>
            </w:r>
            <w:r>
              <w:rPr>
                <w:rFonts w:hint="eastAsia"/>
                <w:color w:val="auto"/>
                <w:sz w:val="24"/>
                <w:highlight w:val="none"/>
                <w:vertAlign w:val="superscript"/>
                <w:lang w:eastAsia="zh-CN" w:bidi="ar"/>
              </w:rPr>
              <w:t>3</w:t>
            </w:r>
            <w:r>
              <w:rPr>
                <w:rFonts w:hint="eastAsia"/>
                <w:color w:val="auto"/>
                <w:sz w:val="24"/>
                <w:highlight w:val="none"/>
                <w:lang w:eastAsia="zh-CN" w:bidi="ar"/>
              </w:rPr>
              <w:t>/d，</w:t>
            </w:r>
            <w:r>
              <w:rPr>
                <w:rFonts w:hint="eastAsia"/>
                <w:color w:val="auto"/>
                <w:sz w:val="24"/>
                <w:highlight w:val="none"/>
              </w:rPr>
              <w:t>仅占</w:t>
            </w:r>
            <w:r>
              <w:rPr>
                <w:rFonts w:hint="eastAsia"/>
                <w:color w:val="auto"/>
                <w:sz w:val="24"/>
                <w:highlight w:val="none"/>
                <w:lang w:eastAsia="zh-CN"/>
              </w:rPr>
              <w:t>洋县</w:t>
            </w:r>
            <w:r>
              <w:rPr>
                <w:rFonts w:hint="eastAsia"/>
                <w:color w:val="auto"/>
                <w:sz w:val="24"/>
                <w:highlight w:val="none"/>
              </w:rPr>
              <w:t>污水处理厂</w:t>
            </w:r>
            <w:r>
              <w:rPr>
                <w:rFonts w:hint="eastAsia"/>
                <w:color w:val="auto"/>
                <w:sz w:val="24"/>
                <w:highlight w:val="none"/>
                <w:lang w:eastAsia="zh-CN"/>
              </w:rPr>
              <w:t>剩余</w:t>
            </w:r>
            <w:r>
              <w:rPr>
                <w:rFonts w:hint="eastAsia"/>
                <w:color w:val="auto"/>
                <w:sz w:val="24"/>
                <w:highlight w:val="none"/>
              </w:rPr>
              <w:t>处理规模的0.0</w:t>
            </w:r>
            <w:r>
              <w:rPr>
                <w:rFonts w:hint="eastAsia"/>
                <w:color w:val="auto"/>
                <w:sz w:val="24"/>
                <w:highlight w:val="none"/>
                <w:lang w:val="en-US" w:eastAsia="zh-CN"/>
              </w:rPr>
              <w:t>23%</w:t>
            </w:r>
            <w:r>
              <w:rPr>
                <w:rFonts w:hint="eastAsia"/>
                <w:color w:val="auto"/>
                <w:sz w:val="24"/>
                <w:highlight w:val="none"/>
              </w:rPr>
              <w:t>，</w:t>
            </w:r>
            <w:r>
              <w:rPr>
                <w:rFonts w:hint="eastAsia"/>
                <w:color w:val="auto"/>
                <w:sz w:val="24"/>
                <w:highlight w:val="none"/>
                <w:lang w:eastAsia="zh-CN"/>
              </w:rPr>
              <w:t>因此洋县</w:t>
            </w:r>
            <w:r>
              <w:rPr>
                <w:rFonts w:hint="eastAsia"/>
                <w:color w:val="auto"/>
                <w:sz w:val="24"/>
                <w:highlight w:val="none"/>
              </w:rPr>
              <w:t>污水处理厂</w:t>
            </w:r>
            <w:r>
              <w:rPr>
                <w:rFonts w:hint="eastAsia"/>
                <w:color w:val="auto"/>
                <w:sz w:val="24"/>
                <w:highlight w:val="none"/>
                <w:lang w:eastAsia="zh-CN"/>
              </w:rPr>
              <w:t>有足够的余量接纳本项目污水</w:t>
            </w:r>
            <w:r>
              <w:rPr>
                <w:rFonts w:hint="eastAsia"/>
                <w:color w:val="auto"/>
                <w:sz w:val="24"/>
                <w:highlight w:val="none"/>
              </w:rPr>
              <w:t>；同时根据</w:t>
            </w:r>
            <w:r>
              <w:rPr>
                <w:rFonts w:hint="eastAsia"/>
                <w:color w:val="auto"/>
                <w:sz w:val="24"/>
                <w:highlight w:val="none"/>
                <w:lang w:eastAsia="zh-CN"/>
              </w:rPr>
              <w:t>前文分析结合</w:t>
            </w:r>
            <w:r>
              <w:rPr>
                <w:rFonts w:hint="eastAsia"/>
                <w:color w:val="auto"/>
                <w:sz w:val="24"/>
                <w:highlight w:val="none"/>
              </w:rPr>
              <w:t>，</w:t>
            </w:r>
            <w:r>
              <w:rPr>
                <w:rFonts w:hint="eastAsia"/>
                <w:color w:val="auto"/>
                <w:sz w:val="24"/>
                <w:highlight w:val="none"/>
                <w:lang w:eastAsia="zh-CN"/>
              </w:rPr>
              <w:t>部分直接经污水管网排入洋县污水处理厂的废水及</w:t>
            </w:r>
            <w:r>
              <w:rPr>
                <w:rFonts w:hint="eastAsia"/>
                <w:color w:val="auto"/>
                <w:sz w:val="24"/>
                <w:highlight w:val="none"/>
              </w:rPr>
              <w:t>项目</w:t>
            </w:r>
            <w:r>
              <w:rPr>
                <w:rFonts w:hint="eastAsia"/>
                <w:color w:val="auto"/>
                <w:sz w:val="24"/>
                <w:highlight w:val="none"/>
                <w:lang w:eastAsia="zh-CN"/>
              </w:rPr>
              <w:t>另一部分</w:t>
            </w:r>
            <w:r>
              <w:rPr>
                <w:rFonts w:hint="eastAsia"/>
                <w:color w:val="auto"/>
                <w:sz w:val="24"/>
                <w:highlight w:val="none"/>
              </w:rPr>
              <w:t>生产废水</w:t>
            </w:r>
            <w:r>
              <w:rPr>
                <w:rFonts w:hint="eastAsia"/>
                <w:color w:val="auto"/>
                <w:sz w:val="24"/>
                <w:highlight w:val="none"/>
                <w:lang w:eastAsia="zh-CN"/>
              </w:rPr>
              <w:t>依托陕西朱鹮酒业有限公司厂区污水</w:t>
            </w:r>
            <w:r>
              <w:rPr>
                <w:rFonts w:hint="eastAsia"/>
                <w:color w:val="auto"/>
                <w:sz w:val="24"/>
                <w:highlight w:val="none"/>
              </w:rPr>
              <w:t>处理</w:t>
            </w:r>
            <w:r>
              <w:rPr>
                <w:rFonts w:hint="eastAsia"/>
                <w:color w:val="auto"/>
                <w:sz w:val="24"/>
                <w:highlight w:val="none"/>
                <w:lang w:eastAsia="zh-CN"/>
              </w:rPr>
              <w:t>设施</w:t>
            </w:r>
            <w:r>
              <w:rPr>
                <w:rFonts w:hint="eastAsia"/>
                <w:color w:val="auto"/>
                <w:sz w:val="24"/>
                <w:highlight w:val="none"/>
              </w:rPr>
              <w:t>处理后其出水水质能</w:t>
            </w:r>
            <w:r>
              <w:rPr>
                <w:rFonts w:hint="eastAsia"/>
                <w:color w:val="auto"/>
                <w:sz w:val="24"/>
                <w:highlight w:val="none"/>
                <w:lang w:eastAsia="zh-CN"/>
              </w:rPr>
              <w:t>满足</w:t>
            </w:r>
            <w:r>
              <w:rPr>
                <w:rFonts w:hint="default" w:ascii="Times New Roman" w:hAnsi="Times New Roman" w:eastAsia="宋体" w:cs="Times New Roman"/>
                <w:color w:val="auto"/>
                <w:kern w:val="2"/>
                <w:sz w:val="24"/>
                <w:szCs w:val="24"/>
                <w:highlight w:val="none"/>
                <w:lang w:val="en-US" w:eastAsia="zh-CN"/>
              </w:rPr>
              <w:t>《污水排入城镇下水道水质标准》（GB/T 31962-2015）</w:t>
            </w:r>
            <w:r>
              <w:rPr>
                <w:rFonts w:hint="eastAsia" w:ascii="Times New Roman" w:hAnsi="Times New Roman" w:eastAsia="宋体" w:cs="Times New Roman"/>
                <w:color w:val="auto"/>
                <w:kern w:val="2"/>
                <w:sz w:val="24"/>
                <w:szCs w:val="24"/>
                <w:highlight w:val="none"/>
                <w:lang w:val="en-US" w:eastAsia="zh-CN"/>
              </w:rPr>
              <w:t>B</w:t>
            </w:r>
            <w:r>
              <w:rPr>
                <w:rFonts w:hint="default" w:ascii="Times New Roman" w:hAnsi="Times New Roman" w:eastAsia="宋体" w:cs="Times New Roman"/>
                <w:color w:val="auto"/>
                <w:kern w:val="2"/>
                <w:sz w:val="24"/>
                <w:szCs w:val="24"/>
                <w:highlight w:val="none"/>
                <w:lang w:val="en-US" w:eastAsia="zh-CN"/>
              </w:rPr>
              <w:t>级标准</w:t>
            </w:r>
            <w:r>
              <w:rPr>
                <w:rFonts w:hint="eastAsia" w:ascii="Times New Roman" w:hAnsi="Times New Roman"/>
                <w:color w:val="auto"/>
                <w:kern w:val="2"/>
                <w:sz w:val="24"/>
                <w:szCs w:val="24"/>
                <w:highlight w:val="none"/>
                <w:lang w:val="en-US" w:eastAsia="zh-CN"/>
              </w:rPr>
              <w:t>同时满足</w:t>
            </w:r>
            <w:r>
              <w:rPr>
                <w:rFonts w:hint="eastAsia"/>
                <w:color w:val="auto"/>
                <w:sz w:val="24"/>
                <w:highlight w:val="none"/>
                <w:lang w:eastAsia="zh-CN" w:bidi="ar"/>
              </w:rPr>
              <w:t>洋县</w:t>
            </w:r>
            <w:r>
              <w:rPr>
                <w:rFonts w:hint="eastAsia"/>
                <w:color w:val="auto"/>
                <w:sz w:val="24"/>
                <w:highlight w:val="none"/>
                <w:lang w:bidi="ar"/>
              </w:rPr>
              <w:t>污水处理厂进水水质要求，因此</w:t>
            </w:r>
            <w:r>
              <w:rPr>
                <w:rFonts w:hint="eastAsia"/>
                <w:color w:val="auto"/>
                <w:sz w:val="24"/>
                <w:highlight w:val="none"/>
              </w:rPr>
              <w:t>，项目生产废水经</w:t>
            </w:r>
            <w:r>
              <w:rPr>
                <w:rFonts w:hint="eastAsia"/>
                <w:color w:val="auto"/>
                <w:sz w:val="24"/>
                <w:highlight w:val="none"/>
                <w:lang w:eastAsia="zh-CN"/>
              </w:rPr>
              <w:t>陕西朱鹮酒业有限公司厂区污水</w:t>
            </w:r>
            <w:r>
              <w:rPr>
                <w:rFonts w:hint="eastAsia"/>
                <w:color w:val="auto"/>
                <w:sz w:val="24"/>
                <w:highlight w:val="none"/>
              </w:rPr>
              <w:t>处理</w:t>
            </w:r>
            <w:r>
              <w:rPr>
                <w:rFonts w:hint="eastAsia"/>
                <w:color w:val="auto"/>
                <w:sz w:val="24"/>
                <w:highlight w:val="none"/>
                <w:lang w:eastAsia="zh-CN"/>
              </w:rPr>
              <w:t>设施</w:t>
            </w:r>
            <w:r>
              <w:rPr>
                <w:rFonts w:hint="eastAsia"/>
                <w:color w:val="auto"/>
                <w:sz w:val="24"/>
                <w:highlight w:val="none"/>
              </w:rPr>
              <w:t>后排入</w:t>
            </w:r>
            <w:r>
              <w:rPr>
                <w:rFonts w:hint="eastAsia"/>
                <w:color w:val="auto"/>
                <w:sz w:val="24"/>
                <w:highlight w:val="none"/>
                <w:lang w:eastAsia="zh-CN"/>
              </w:rPr>
              <w:t>洋县</w:t>
            </w:r>
            <w:r>
              <w:rPr>
                <w:rFonts w:hint="eastAsia"/>
                <w:color w:val="auto"/>
                <w:sz w:val="24"/>
                <w:highlight w:val="none"/>
              </w:rPr>
              <w:t>污水处理厂处理可行。</w:t>
            </w:r>
          </w:p>
          <w:p w14:paraId="57528C38">
            <w:pPr>
              <w:pStyle w:val="61"/>
              <w:keepNext w:val="0"/>
              <w:keepLines w:val="0"/>
              <w:pageBreakBefore w:val="0"/>
              <w:widowControl w:val="0"/>
              <w:kinsoku/>
              <w:wordWrap/>
              <w:overflowPunct/>
              <w:topLinePunct w:val="0"/>
              <w:bidi w:val="0"/>
              <w:adjustRightInd w:val="0"/>
              <w:snapToGrid w:val="0"/>
              <w:spacing w:beforeLines="0" w:afterLines="0" w:line="360" w:lineRule="auto"/>
              <w:ind w:firstLine="480"/>
              <w:textAlignment w:val="auto"/>
              <w:rPr>
                <w:rFonts w:hint="eastAsia" w:cs="Times New Roman"/>
                <w:color w:val="auto"/>
                <w:highlight w:val="none"/>
              </w:rPr>
            </w:pPr>
            <w:r>
              <w:rPr>
                <w:rFonts w:hint="eastAsia" w:cs="Times New Roman"/>
                <w:color w:val="auto"/>
                <w:highlight w:val="none"/>
              </w:rPr>
              <w:t>3、监测计划</w:t>
            </w:r>
          </w:p>
          <w:p w14:paraId="5B574638">
            <w:pPr>
              <w:pStyle w:val="43"/>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cs="Times New Roman"/>
                <w:color w:val="auto"/>
                <w:highlight w:val="none"/>
              </w:rPr>
            </w:pPr>
            <w:r>
              <w:rPr>
                <w:rFonts w:ascii="Times New Roman" w:cs="Times New Roman"/>
                <w:color w:val="auto"/>
                <w:szCs w:val="32"/>
                <w:highlight w:val="none"/>
              </w:rPr>
              <w:t>（1）废水排放口信息</w:t>
            </w:r>
          </w:p>
          <w:p w14:paraId="329D63A9">
            <w:pPr>
              <w:pStyle w:val="7"/>
              <w:keepNext w:val="0"/>
              <w:keepLines w:val="0"/>
              <w:pageBreakBefore w:val="0"/>
              <w:widowControl w:val="0"/>
              <w:kinsoku/>
              <w:wordWrap/>
              <w:overflowPunct/>
              <w:topLinePunct w:val="0"/>
              <w:autoSpaceDE/>
              <w:autoSpaceDN/>
              <w:bidi w:val="0"/>
              <w:adjustRightInd w:val="0"/>
              <w:snapToGrid w:val="0"/>
              <w:spacing w:before="120" w:line="240" w:lineRule="auto"/>
              <w:textAlignment w:val="auto"/>
              <w:rPr>
                <w:color w:val="auto"/>
                <w:highlight w:val="none"/>
              </w:rPr>
            </w:pPr>
            <w:r>
              <w:rPr>
                <w:color w:val="auto"/>
                <w:highlight w:val="none"/>
              </w:rPr>
              <w:t>表4</w:t>
            </w:r>
            <w:r>
              <w:rPr>
                <w:rFonts w:hint="eastAsia"/>
                <w:color w:val="auto"/>
                <w:highlight w:val="none"/>
              </w:rPr>
              <w:t>-</w:t>
            </w:r>
            <w:r>
              <w:rPr>
                <w:rFonts w:hint="eastAsia"/>
                <w:color w:val="auto"/>
                <w:highlight w:val="none"/>
                <w:lang w:val="en-US" w:eastAsia="zh-CN"/>
              </w:rPr>
              <w:t>5</w:t>
            </w:r>
            <w:r>
              <w:rPr>
                <w:rFonts w:hint="eastAsia"/>
                <w:color w:val="auto"/>
                <w:highlight w:val="none"/>
              </w:rPr>
              <w:t xml:space="preserve"> </w:t>
            </w:r>
            <w:r>
              <w:rPr>
                <w:color w:val="auto"/>
                <w:highlight w:val="none"/>
              </w:rPr>
              <w:t xml:space="preserve"> 废水类别、污染物及污染治理设施信息表</w:t>
            </w:r>
          </w:p>
          <w:tbl>
            <w:tblPr>
              <w:tblStyle w:val="28"/>
              <w:tblW w:w="7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526"/>
              <w:gridCol w:w="482"/>
              <w:gridCol w:w="941"/>
              <w:gridCol w:w="847"/>
              <w:gridCol w:w="832"/>
              <w:gridCol w:w="928"/>
              <w:gridCol w:w="719"/>
              <w:gridCol w:w="644"/>
              <w:gridCol w:w="1441"/>
            </w:tblGrid>
            <w:tr w14:paraId="75FA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504" w:type="dxa"/>
                  <w:vMerge w:val="restart"/>
                  <w:tcBorders>
                    <w:tl2br w:val="nil"/>
                    <w:tr2bl w:val="nil"/>
                  </w:tcBorders>
                  <w:noWrap w:val="0"/>
                  <w:vAlign w:val="center"/>
                </w:tcPr>
                <w:p w14:paraId="0E643C10">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废水类别</w:t>
                  </w:r>
                </w:p>
              </w:tc>
              <w:tc>
                <w:tcPr>
                  <w:tcW w:w="526" w:type="dxa"/>
                  <w:vMerge w:val="restart"/>
                  <w:tcBorders>
                    <w:tl2br w:val="nil"/>
                    <w:tr2bl w:val="nil"/>
                  </w:tcBorders>
                  <w:noWrap w:val="0"/>
                  <w:vAlign w:val="center"/>
                </w:tcPr>
                <w:p w14:paraId="5D793170">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污染物种类</w:t>
                  </w:r>
                </w:p>
              </w:tc>
              <w:tc>
                <w:tcPr>
                  <w:tcW w:w="482" w:type="dxa"/>
                  <w:vMerge w:val="restart"/>
                  <w:tcBorders>
                    <w:tl2br w:val="nil"/>
                    <w:tr2bl w:val="nil"/>
                  </w:tcBorders>
                  <w:noWrap w:val="0"/>
                  <w:vAlign w:val="center"/>
                </w:tcPr>
                <w:p w14:paraId="2CD6ED10">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排放去向</w:t>
                  </w:r>
                </w:p>
              </w:tc>
              <w:tc>
                <w:tcPr>
                  <w:tcW w:w="941" w:type="dxa"/>
                  <w:vMerge w:val="restart"/>
                  <w:tcBorders>
                    <w:tl2br w:val="nil"/>
                    <w:tr2bl w:val="nil"/>
                  </w:tcBorders>
                  <w:noWrap w:val="0"/>
                  <w:vAlign w:val="center"/>
                </w:tcPr>
                <w:p w14:paraId="5FCEF465">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排放规律</w:t>
                  </w:r>
                </w:p>
              </w:tc>
              <w:tc>
                <w:tcPr>
                  <w:tcW w:w="2607" w:type="dxa"/>
                  <w:gridSpan w:val="3"/>
                  <w:tcBorders>
                    <w:tl2br w:val="nil"/>
                    <w:tr2bl w:val="nil"/>
                  </w:tcBorders>
                  <w:noWrap w:val="0"/>
                  <w:vAlign w:val="center"/>
                </w:tcPr>
                <w:p w14:paraId="76D2F71A">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污染治理设施</w:t>
                  </w:r>
                </w:p>
              </w:tc>
              <w:tc>
                <w:tcPr>
                  <w:tcW w:w="719" w:type="dxa"/>
                  <w:vMerge w:val="restart"/>
                  <w:tcBorders>
                    <w:tl2br w:val="nil"/>
                    <w:tr2bl w:val="nil"/>
                  </w:tcBorders>
                  <w:noWrap w:val="0"/>
                  <w:vAlign w:val="center"/>
                </w:tcPr>
                <w:p w14:paraId="794F08FB">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排放口编号</w:t>
                  </w:r>
                </w:p>
              </w:tc>
              <w:tc>
                <w:tcPr>
                  <w:tcW w:w="644" w:type="dxa"/>
                  <w:vMerge w:val="restart"/>
                  <w:tcBorders>
                    <w:tl2br w:val="nil"/>
                    <w:tr2bl w:val="nil"/>
                  </w:tcBorders>
                  <w:noWrap w:val="0"/>
                  <w:vAlign w:val="center"/>
                </w:tcPr>
                <w:p w14:paraId="15E7A9CE">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排放口设置是否符合要求</w:t>
                  </w:r>
                </w:p>
              </w:tc>
              <w:tc>
                <w:tcPr>
                  <w:tcW w:w="1441" w:type="dxa"/>
                  <w:vMerge w:val="restart"/>
                  <w:tcBorders>
                    <w:tl2br w:val="nil"/>
                    <w:tr2bl w:val="nil"/>
                  </w:tcBorders>
                  <w:noWrap w:val="0"/>
                  <w:vAlign w:val="center"/>
                </w:tcPr>
                <w:p w14:paraId="4D557B7D">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排放口类型</w:t>
                  </w:r>
                </w:p>
              </w:tc>
            </w:tr>
            <w:tr w14:paraId="2C73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04" w:type="dxa"/>
                  <w:vMerge w:val="continue"/>
                  <w:tcBorders>
                    <w:tl2br w:val="nil"/>
                    <w:tr2bl w:val="nil"/>
                  </w:tcBorders>
                  <w:noWrap w:val="0"/>
                  <w:vAlign w:val="center"/>
                </w:tcPr>
                <w:p w14:paraId="494C0DF9">
                  <w:pPr>
                    <w:pStyle w:val="74"/>
                    <w:spacing w:line="240" w:lineRule="auto"/>
                    <w:ind w:firstLine="0" w:firstLineChars="0"/>
                    <w:contextualSpacing/>
                    <w:jc w:val="center"/>
                    <w:rPr>
                      <w:rFonts w:eastAsia="宋体" w:cs="Times New Roman"/>
                      <w:b/>
                      <w:bCs/>
                      <w:color w:val="auto"/>
                      <w:sz w:val="21"/>
                      <w:szCs w:val="21"/>
                      <w:highlight w:val="none"/>
                      <w:lang w:val="en-US"/>
                    </w:rPr>
                  </w:pPr>
                </w:p>
              </w:tc>
              <w:tc>
                <w:tcPr>
                  <w:tcW w:w="526" w:type="dxa"/>
                  <w:vMerge w:val="continue"/>
                  <w:tcBorders>
                    <w:tl2br w:val="nil"/>
                    <w:tr2bl w:val="nil"/>
                  </w:tcBorders>
                  <w:noWrap w:val="0"/>
                  <w:vAlign w:val="center"/>
                </w:tcPr>
                <w:p w14:paraId="7D7959BD">
                  <w:pPr>
                    <w:pStyle w:val="74"/>
                    <w:spacing w:line="240" w:lineRule="auto"/>
                    <w:ind w:firstLine="0" w:firstLineChars="0"/>
                    <w:contextualSpacing/>
                    <w:jc w:val="center"/>
                    <w:rPr>
                      <w:rFonts w:eastAsia="宋体" w:cs="Times New Roman"/>
                      <w:b/>
                      <w:bCs/>
                      <w:color w:val="auto"/>
                      <w:sz w:val="21"/>
                      <w:szCs w:val="21"/>
                      <w:highlight w:val="none"/>
                      <w:lang w:val="en-US"/>
                    </w:rPr>
                  </w:pPr>
                </w:p>
              </w:tc>
              <w:tc>
                <w:tcPr>
                  <w:tcW w:w="482" w:type="dxa"/>
                  <w:vMerge w:val="continue"/>
                  <w:tcBorders>
                    <w:tl2br w:val="nil"/>
                    <w:tr2bl w:val="nil"/>
                  </w:tcBorders>
                  <w:noWrap w:val="0"/>
                  <w:vAlign w:val="center"/>
                </w:tcPr>
                <w:p w14:paraId="3EBEA1D3">
                  <w:pPr>
                    <w:pStyle w:val="74"/>
                    <w:spacing w:line="240" w:lineRule="auto"/>
                    <w:ind w:firstLine="0" w:firstLineChars="0"/>
                    <w:contextualSpacing/>
                    <w:jc w:val="center"/>
                    <w:rPr>
                      <w:rFonts w:eastAsia="宋体" w:cs="Times New Roman"/>
                      <w:b/>
                      <w:bCs/>
                      <w:color w:val="auto"/>
                      <w:sz w:val="21"/>
                      <w:szCs w:val="21"/>
                      <w:highlight w:val="none"/>
                      <w:lang w:val="en-US"/>
                    </w:rPr>
                  </w:pPr>
                </w:p>
              </w:tc>
              <w:tc>
                <w:tcPr>
                  <w:tcW w:w="941" w:type="dxa"/>
                  <w:vMerge w:val="continue"/>
                  <w:tcBorders>
                    <w:tl2br w:val="nil"/>
                    <w:tr2bl w:val="nil"/>
                  </w:tcBorders>
                  <w:noWrap w:val="0"/>
                  <w:vAlign w:val="center"/>
                </w:tcPr>
                <w:p w14:paraId="3827A574">
                  <w:pPr>
                    <w:pStyle w:val="74"/>
                    <w:spacing w:line="240" w:lineRule="auto"/>
                    <w:ind w:firstLine="0" w:firstLineChars="0"/>
                    <w:contextualSpacing/>
                    <w:jc w:val="center"/>
                    <w:rPr>
                      <w:rFonts w:eastAsia="宋体" w:cs="Times New Roman"/>
                      <w:b/>
                      <w:bCs/>
                      <w:color w:val="auto"/>
                      <w:sz w:val="21"/>
                      <w:szCs w:val="21"/>
                      <w:highlight w:val="none"/>
                      <w:lang w:val="en-US"/>
                    </w:rPr>
                  </w:pPr>
                </w:p>
              </w:tc>
              <w:tc>
                <w:tcPr>
                  <w:tcW w:w="847" w:type="dxa"/>
                  <w:tcBorders>
                    <w:tl2br w:val="nil"/>
                    <w:tr2bl w:val="nil"/>
                  </w:tcBorders>
                  <w:noWrap w:val="0"/>
                  <w:vAlign w:val="center"/>
                </w:tcPr>
                <w:p w14:paraId="5DCA03A0">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污染治理设施编号</w:t>
                  </w:r>
                </w:p>
              </w:tc>
              <w:tc>
                <w:tcPr>
                  <w:tcW w:w="832" w:type="dxa"/>
                  <w:tcBorders>
                    <w:tl2br w:val="nil"/>
                    <w:tr2bl w:val="nil"/>
                  </w:tcBorders>
                  <w:noWrap w:val="0"/>
                  <w:vAlign w:val="center"/>
                </w:tcPr>
                <w:p w14:paraId="42B3211C">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污染治理设施名称</w:t>
                  </w:r>
                </w:p>
              </w:tc>
              <w:tc>
                <w:tcPr>
                  <w:tcW w:w="928" w:type="dxa"/>
                  <w:tcBorders>
                    <w:tl2br w:val="nil"/>
                    <w:tr2bl w:val="nil"/>
                  </w:tcBorders>
                  <w:noWrap w:val="0"/>
                  <w:vAlign w:val="center"/>
                </w:tcPr>
                <w:p w14:paraId="275E46E6">
                  <w:pPr>
                    <w:pStyle w:val="74"/>
                    <w:spacing w:line="240" w:lineRule="auto"/>
                    <w:ind w:firstLine="0" w:firstLineChars="0"/>
                    <w:contextualSpacing/>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污染治理设施工艺</w:t>
                  </w:r>
                </w:p>
              </w:tc>
              <w:tc>
                <w:tcPr>
                  <w:tcW w:w="719" w:type="dxa"/>
                  <w:vMerge w:val="continue"/>
                  <w:tcBorders>
                    <w:tl2br w:val="nil"/>
                    <w:tr2bl w:val="nil"/>
                  </w:tcBorders>
                  <w:noWrap w:val="0"/>
                  <w:vAlign w:val="center"/>
                </w:tcPr>
                <w:p w14:paraId="3CD99C6F">
                  <w:pPr>
                    <w:pStyle w:val="74"/>
                    <w:spacing w:line="240" w:lineRule="auto"/>
                    <w:ind w:firstLine="0" w:firstLineChars="0"/>
                    <w:contextualSpacing/>
                    <w:jc w:val="center"/>
                    <w:rPr>
                      <w:rFonts w:eastAsia="宋体" w:cs="Times New Roman"/>
                      <w:bCs/>
                      <w:color w:val="auto"/>
                      <w:sz w:val="21"/>
                      <w:szCs w:val="21"/>
                      <w:highlight w:val="none"/>
                      <w:lang w:val="en-US"/>
                    </w:rPr>
                  </w:pPr>
                </w:p>
              </w:tc>
              <w:tc>
                <w:tcPr>
                  <w:tcW w:w="644" w:type="dxa"/>
                  <w:vMerge w:val="continue"/>
                  <w:tcBorders>
                    <w:tl2br w:val="nil"/>
                    <w:tr2bl w:val="nil"/>
                  </w:tcBorders>
                  <w:noWrap w:val="0"/>
                  <w:vAlign w:val="center"/>
                </w:tcPr>
                <w:p w14:paraId="42148755">
                  <w:pPr>
                    <w:pStyle w:val="74"/>
                    <w:spacing w:line="240" w:lineRule="auto"/>
                    <w:ind w:firstLine="0" w:firstLineChars="0"/>
                    <w:contextualSpacing/>
                    <w:jc w:val="center"/>
                    <w:rPr>
                      <w:rFonts w:eastAsia="宋体" w:cs="Times New Roman"/>
                      <w:bCs/>
                      <w:color w:val="auto"/>
                      <w:sz w:val="21"/>
                      <w:szCs w:val="21"/>
                      <w:highlight w:val="none"/>
                      <w:lang w:val="en-US"/>
                    </w:rPr>
                  </w:pPr>
                </w:p>
              </w:tc>
              <w:tc>
                <w:tcPr>
                  <w:tcW w:w="1441" w:type="dxa"/>
                  <w:vMerge w:val="continue"/>
                  <w:tcBorders>
                    <w:tl2br w:val="nil"/>
                    <w:tr2bl w:val="nil"/>
                  </w:tcBorders>
                  <w:noWrap w:val="0"/>
                  <w:vAlign w:val="center"/>
                </w:tcPr>
                <w:p w14:paraId="2B85D863">
                  <w:pPr>
                    <w:pStyle w:val="74"/>
                    <w:spacing w:line="240" w:lineRule="auto"/>
                    <w:ind w:firstLine="0" w:firstLineChars="0"/>
                    <w:contextualSpacing/>
                    <w:jc w:val="center"/>
                    <w:rPr>
                      <w:rFonts w:eastAsia="宋体" w:cs="Times New Roman"/>
                      <w:bCs/>
                      <w:color w:val="auto"/>
                      <w:sz w:val="21"/>
                      <w:szCs w:val="21"/>
                      <w:highlight w:val="none"/>
                      <w:lang w:val="en-US"/>
                    </w:rPr>
                  </w:pPr>
                </w:p>
              </w:tc>
            </w:tr>
            <w:tr w14:paraId="1B31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4" w:hRule="atLeast"/>
                <w:jc w:val="center"/>
              </w:trPr>
              <w:tc>
                <w:tcPr>
                  <w:tcW w:w="504" w:type="dxa"/>
                  <w:tcBorders>
                    <w:tl2br w:val="nil"/>
                    <w:tr2bl w:val="nil"/>
                  </w:tcBorders>
                  <w:noWrap w:val="0"/>
                  <w:vAlign w:val="center"/>
                </w:tcPr>
                <w:p w14:paraId="6C9A731E">
                  <w:pPr>
                    <w:pStyle w:val="74"/>
                    <w:spacing w:line="240" w:lineRule="auto"/>
                    <w:ind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综合废水</w:t>
                  </w:r>
                </w:p>
              </w:tc>
              <w:tc>
                <w:tcPr>
                  <w:tcW w:w="526" w:type="dxa"/>
                  <w:tcBorders>
                    <w:tl2br w:val="nil"/>
                    <w:tr2bl w:val="nil"/>
                  </w:tcBorders>
                  <w:noWrap w:val="0"/>
                  <w:vAlign w:val="center"/>
                </w:tcPr>
                <w:p w14:paraId="5A9CC8F3">
                  <w:pPr>
                    <w:pStyle w:val="74"/>
                    <w:spacing w:line="240" w:lineRule="auto"/>
                    <w:ind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CO</w:t>
                  </w:r>
                  <w:r>
                    <w:rPr>
                      <w:rFonts w:hint="eastAsia" w:eastAsia="宋体" w:cs="Times New Roman"/>
                      <w:bCs/>
                      <w:color w:val="auto"/>
                      <w:sz w:val="21"/>
                      <w:szCs w:val="21"/>
                      <w:highlight w:val="none"/>
                      <w:lang w:val="en-US"/>
                    </w:rPr>
                    <w:t>DB</w:t>
                  </w:r>
                  <w:r>
                    <w:rPr>
                      <w:rFonts w:eastAsia="宋体" w:cs="Times New Roman"/>
                      <w:bCs/>
                      <w:color w:val="auto"/>
                      <w:sz w:val="21"/>
                      <w:szCs w:val="21"/>
                      <w:highlight w:val="none"/>
                      <w:lang w:val="en-US"/>
                    </w:rPr>
                    <w:t>OD</w:t>
                  </w:r>
                  <w:r>
                    <w:rPr>
                      <w:rFonts w:eastAsia="宋体" w:cs="Times New Roman"/>
                      <w:bCs/>
                      <w:color w:val="auto"/>
                      <w:sz w:val="21"/>
                      <w:szCs w:val="21"/>
                      <w:highlight w:val="none"/>
                      <w:vertAlign w:val="subscript"/>
                      <w:lang w:val="en-US"/>
                    </w:rPr>
                    <w:t>5</w:t>
                  </w:r>
                  <w:r>
                    <w:rPr>
                      <w:rFonts w:eastAsia="宋体" w:cs="Times New Roman"/>
                      <w:bCs/>
                      <w:color w:val="auto"/>
                      <w:sz w:val="21"/>
                      <w:szCs w:val="21"/>
                      <w:highlight w:val="none"/>
                      <w:lang w:val="en-US"/>
                    </w:rPr>
                    <w:t>、SS等</w:t>
                  </w:r>
                </w:p>
              </w:tc>
              <w:tc>
                <w:tcPr>
                  <w:tcW w:w="482" w:type="dxa"/>
                  <w:tcBorders>
                    <w:tl2br w:val="nil"/>
                    <w:tr2bl w:val="nil"/>
                  </w:tcBorders>
                  <w:noWrap w:val="0"/>
                  <w:vAlign w:val="center"/>
                </w:tcPr>
                <w:p w14:paraId="0C660E1F">
                  <w:pPr>
                    <w:pStyle w:val="74"/>
                    <w:spacing w:line="240" w:lineRule="auto"/>
                    <w:ind w:firstLine="0" w:firstLineChars="0"/>
                    <w:contextualSpacing/>
                    <w:jc w:val="center"/>
                    <w:rPr>
                      <w:rFonts w:eastAsia="宋体" w:cs="Times New Roman"/>
                      <w:bCs/>
                      <w:color w:val="auto"/>
                      <w:sz w:val="21"/>
                      <w:szCs w:val="21"/>
                      <w:highlight w:val="none"/>
                      <w:lang w:val="en-US"/>
                    </w:rPr>
                  </w:pPr>
                  <w:r>
                    <w:rPr>
                      <w:rFonts w:eastAsia="宋体" w:cs="Times New Roman"/>
                      <w:color w:val="auto"/>
                      <w:sz w:val="21"/>
                      <w:szCs w:val="21"/>
                      <w:highlight w:val="none"/>
                      <w:shd w:val="clear" w:color="auto" w:fill="FFFFFF"/>
                      <w:lang w:val="en-US"/>
                    </w:rPr>
                    <w:t>进入</w:t>
                  </w:r>
                  <w:r>
                    <w:rPr>
                      <w:rFonts w:hint="eastAsia" w:eastAsia="宋体" w:cs="Times New Roman"/>
                      <w:color w:val="auto"/>
                      <w:sz w:val="21"/>
                      <w:szCs w:val="21"/>
                      <w:highlight w:val="none"/>
                      <w:shd w:val="clear" w:color="auto" w:fill="FFFFFF"/>
                      <w:lang w:val="en-US" w:eastAsia="zh-CN"/>
                    </w:rPr>
                    <w:t xml:space="preserve">洋县 </w:t>
                  </w:r>
                  <w:r>
                    <w:rPr>
                      <w:rFonts w:eastAsia="宋体" w:cs="Times New Roman"/>
                      <w:color w:val="auto"/>
                      <w:sz w:val="21"/>
                      <w:szCs w:val="21"/>
                      <w:highlight w:val="none"/>
                      <w:shd w:val="clear" w:color="auto" w:fill="FFFFFF"/>
                      <w:lang w:val="en-US"/>
                    </w:rPr>
                    <w:t>污水处理厂</w:t>
                  </w:r>
                </w:p>
              </w:tc>
              <w:tc>
                <w:tcPr>
                  <w:tcW w:w="941" w:type="dxa"/>
                  <w:tcBorders>
                    <w:tl2br w:val="nil"/>
                    <w:tr2bl w:val="nil"/>
                  </w:tcBorders>
                  <w:noWrap w:val="0"/>
                  <w:vAlign w:val="center"/>
                </w:tcPr>
                <w:p w14:paraId="27E45561">
                  <w:pPr>
                    <w:pStyle w:val="74"/>
                    <w:spacing w:line="240" w:lineRule="auto"/>
                    <w:ind w:firstLine="0" w:firstLineChars="0"/>
                    <w:contextualSpacing/>
                    <w:jc w:val="center"/>
                    <w:rPr>
                      <w:rFonts w:eastAsia="宋体" w:cs="Times New Roman"/>
                      <w:bCs/>
                      <w:color w:val="auto"/>
                      <w:sz w:val="21"/>
                      <w:szCs w:val="21"/>
                      <w:highlight w:val="none"/>
                      <w:lang w:val="en-US"/>
                    </w:rPr>
                  </w:pPr>
                  <w:r>
                    <w:rPr>
                      <w:rFonts w:eastAsia="宋体" w:cs="Times New Roman"/>
                      <w:color w:val="auto"/>
                      <w:sz w:val="21"/>
                      <w:szCs w:val="21"/>
                      <w:highlight w:val="none"/>
                      <w:shd w:val="clear" w:color="auto" w:fill="FFFFFF"/>
                    </w:rPr>
                    <w:t>排放期间流量不稳定且无规律，但不属于冲击型排放</w:t>
                  </w:r>
                </w:p>
              </w:tc>
              <w:tc>
                <w:tcPr>
                  <w:tcW w:w="847" w:type="dxa"/>
                  <w:tcBorders>
                    <w:tl2br w:val="nil"/>
                    <w:tr2bl w:val="nil"/>
                  </w:tcBorders>
                  <w:noWrap w:val="0"/>
                  <w:vAlign w:val="center"/>
                </w:tcPr>
                <w:p w14:paraId="5708EACC">
                  <w:pPr>
                    <w:pStyle w:val="74"/>
                    <w:spacing w:line="240" w:lineRule="auto"/>
                    <w:ind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w:t>
                  </w:r>
                </w:p>
              </w:tc>
              <w:tc>
                <w:tcPr>
                  <w:tcW w:w="832" w:type="dxa"/>
                  <w:tcBorders>
                    <w:tl2br w:val="nil"/>
                    <w:tr2bl w:val="nil"/>
                  </w:tcBorders>
                  <w:noWrap w:val="0"/>
                  <w:vAlign w:val="center"/>
                </w:tcPr>
                <w:p w14:paraId="72EA0F61">
                  <w:pPr>
                    <w:pStyle w:val="74"/>
                    <w:spacing w:line="240" w:lineRule="auto"/>
                    <w:ind w:firstLine="0" w:firstLineChars="0"/>
                    <w:contextualSpacing/>
                    <w:jc w:val="center"/>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项目综合废水排放口</w:t>
                  </w:r>
                </w:p>
              </w:tc>
              <w:tc>
                <w:tcPr>
                  <w:tcW w:w="928" w:type="dxa"/>
                  <w:tcBorders>
                    <w:tl2br w:val="nil"/>
                    <w:tr2bl w:val="nil"/>
                  </w:tcBorders>
                  <w:noWrap w:val="0"/>
                  <w:vAlign w:val="center"/>
                </w:tcPr>
                <w:p w14:paraId="07765D08">
                  <w:pPr>
                    <w:pStyle w:val="74"/>
                    <w:spacing w:line="240" w:lineRule="auto"/>
                    <w:ind w:firstLine="0" w:firstLineChars="0"/>
                    <w:contextualSpacing/>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化粪池厌氧发酵</w:t>
                  </w:r>
                </w:p>
              </w:tc>
              <w:tc>
                <w:tcPr>
                  <w:tcW w:w="719" w:type="dxa"/>
                  <w:tcBorders>
                    <w:tl2br w:val="nil"/>
                    <w:tr2bl w:val="nil"/>
                  </w:tcBorders>
                  <w:noWrap w:val="0"/>
                  <w:vAlign w:val="center"/>
                </w:tcPr>
                <w:p w14:paraId="6F484FB4">
                  <w:pPr>
                    <w:pStyle w:val="74"/>
                    <w:spacing w:line="240" w:lineRule="auto"/>
                    <w:ind w:firstLine="0" w:firstLineChars="0"/>
                    <w:contextualSpacing/>
                    <w:jc w:val="center"/>
                    <w:rPr>
                      <w:rFonts w:eastAsia="宋体" w:cs="Times New Roman"/>
                      <w:color w:val="auto"/>
                      <w:sz w:val="21"/>
                      <w:szCs w:val="21"/>
                      <w:highlight w:val="none"/>
                      <w:lang w:val="en-US"/>
                    </w:rPr>
                  </w:pPr>
                  <w:r>
                    <w:rPr>
                      <w:rFonts w:eastAsia="宋体" w:cs="Times New Roman"/>
                      <w:color w:val="auto"/>
                      <w:sz w:val="21"/>
                      <w:szCs w:val="21"/>
                      <w:highlight w:val="none"/>
                      <w:lang w:val="en-US"/>
                    </w:rPr>
                    <w:t>DW001</w:t>
                  </w:r>
                </w:p>
              </w:tc>
              <w:tc>
                <w:tcPr>
                  <w:tcW w:w="644" w:type="dxa"/>
                  <w:tcBorders>
                    <w:tl2br w:val="nil"/>
                    <w:tr2bl w:val="nil"/>
                  </w:tcBorders>
                  <w:noWrap w:val="0"/>
                  <w:vAlign w:val="center"/>
                </w:tcPr>
                <w:p w14:paraId="2899A67A">
                  <w:pPr>
                    <w:pStyle w:val="74"/>
                    <w:spacing w:line="240" w:lineRule="auto"/>
                    <w:ind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bdr w:val="single" w:color="auto" w:sz="4" w:space="0"/>
                      <w:lang w:val="en-US"/>
                    </w:rPr>
                    <w:t>√</w:t>
                  </w:r>
                  <w:r>
                    <w:rPr>
                      <w:rFonts w:eastAsia="宋体" w:cs="Times New Roman"/>
                      <w:bCs/>
                      <w:color w:val="auto"/>
                      <w:sz w:val="21"/>
                      <w:szCs w:val="21"/>
                      <w:highlight w:val="none"/>
                      <w:lang w:val="en-US"/>
                    </w:rPr>
                    <w:t>是</w:t>
                  </w:r>
                </w:p>
                <w:p w14:paraId="75FECB21">
                  <w:pPr>
                    <w:pStyle w:val="74"/>
                    <w:spacing w:line="240" w:lineRule="auto"/>
                    <w:ind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□否</w:t>
                  </w:r>
                </w:p>
              </w:tc>
              <w:tc>
                <w:tcPr>
                  <w:tcW w:w="1441" w:type="dxa"/>
                  <w:tcBorders>
                    <w:tl2br w:val="nil"/>
                    <w:tr2bl w:val="nil"/>
                  </w:tcBorders>
                  <w:noWrap w:val="0"/>
                  <w:vAlign w:val="center"/>
                </w:tcPr>
                <w:p w14:paraId="3C7B75CB">
                  <w:pPr>
                    <w:pStyle w:val="74"/>
                    <w:spacing w:line="240" w:lineRule="auto"/>
                    <w:ind w:left="-42" w:leftChars="-20" w:right="-42" w:rightChars="-20"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sym w:font="Wingdings 2" w:char="0052"/>
                  </w:r>
                  <w:r>
                    <w:rPr>
                      <w:rFonts w:eastAsia="宋体" w:cs="Times New Roman"/>
                      <w:bCs/>
                      <w:color w:val="auto"/>
                      <w:sz w:val="21"/>
                      <w:szCs w:val="21"/>
                      <w:highlight w:val="none"/>
                      <w:lang w:val="en-US"/>
                    </w:rPr>
                    <w:t>企业总排口</w:t>
                  </w:r>
                </w:p>
                <w:p w14:paraId="11536418">
                  <w:pPr>
                    <w:pStyle w:val="74"/>
                    <w:spacing w:line="240" w:lineRule="auto"/>
                    <w:ind w:left="-42" w:leftChars="-20" w:right="-42" w:rightChars="-20"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□雨水排放口</w:t>
                  </w:r>
                </w:p>
                <w:p w14:paraId="25519EFD">
                  <w:pPr>
                    <w:pStyle w:val="74"/>
                    <w:spacing w:line="240" w:lineRule="auto"/>
                    <w:ind w:left="-42" w:leftChars="-20" w:right="-42" w:rightChars="-20"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□清净下水排放</w:t>
                  </w:r>
                </w:p>
                <w:p w14:paraId="6365737C">
                  <w:pPr>
                    <w:pStyle w:val="74"/>
                    <w:spacing w:line="240" w:lineRule="auto"/>
                    <w:ind w:left="-42" w:leftChars="-20" w:right="-42" w:rightChars="-20"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□温排水排放</w:t>
                  </w:r>
                </w:p>
                <w:p w14:paraId="2CFEBE66">
                  <w:pPr>
                    <w:pStyle w:val="74"/>
                    <w:spacing w:line="240" w:lineRule="auto"/>
                    <w:ind w:left="-42" w:leftChars="-20" w:right="-42" w:rightChars="-20" w:firstLine="0" w:firstLineChars="0"/>
                    <w:contextualSpacing/>
                    <w:jc w:val="center"/>
                    <w:rPr>
                      <w:rFonts w:eastAsia="宋体" w:cs="Times New Roman"/>
                      <w:bCs/>
                      <w:color w:val="auto"/>
                      <w:sz w:val="21"/>
                      <w:szCs w:val="21"/>
                      <w:highlight w:val="none"/>
                      <w:lang w:val="en-US"/>
                    </w:rPr>
                  </w:pPr>
                  <w:r>
                    <w:rPr>
                      <w:rFonts w:eastAsia="宋体" w:cs="Times New Roman"/>
                      <w:bCs/>
                      <w:color w:val="auto"/>
                      <w:sz w:val="21"/>
                      <w:szCs w:val="21"/>
                      <w:highlight w:val="none"/>
                      <w:lang w:val="en-US"/>
                    </w:rPr>
                    <w:t>□车间或车间处理设施排放口</w:t>
                  </w:r>
                </w:p>
              </w:tc>
            </w:tr>
            <w:tr w14:paraId="7394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7864" w:type="dxa"/>
                  <w:gridSpan w:val="10"/>
                  <w:tcBorders>
                    <w:tl2br w:val="nil"/>
                    <w:tr2bl w:val="nil"/>
                  </w:tcBorders>
                  <w:noWrap w:val="0"/>
                  <w:vAlign w:val="center"/>
                </w:tcPr>
                <w:p w14:paraId="58260EE7">
                  <w:pPr>
                    <w:pStyle w:val="74"/>
                    <w:spacing w:line="240" w:lineRule="auto"/>
                    <w:ind w:left="-42" w:leftChars="-20" w:right="-42" w:rightChars="-20" w:firstLine="0" w:firstLineChars="0"/>
                    <w:contextualSpacing/>
                    <w:jc w:val="center"/>
                    <w:rPr>
                      <w:rFonts w:eastAsia="宋体" w:cs="Times New Roman"/>
                      <w:bCs/>
                      <w:color w:val="auto"/>
                      <w:sz w:val="21"/>
                      <w:szCs w:val="21"/>
                      <w:highlight w:val="none"/>
                      <w:lang w:val="en-US"/>
                    </w:rPr>
                  </w:pPr>
                  <w:r>
                    <w:rPr>
                      <w:rFonts w:hint="eastAsia" w:eastAsia="宋体" w:cs="Times New Roman"/>
                      <w:bCs/>
                      <w:color w:val="auto"/>
                      <w:sz w:val="21"/>
                      <w:szCs w:val="21"/>
                      <w:highlight w:val="none"/>
                      <w:lang w:val="en-US" w:eastAsia="zh-CN"/>
                    </w:rPr>
                    <w:t>上表仅统计项目生活污水量及纯水设备浓水、反冲洗废水、锅炉废水量，其余生产废水依托园区其他企业代为处理，故本次不在上表统计。</w:t>
                  </w:r>
                </w:p>
              </w:tc>
            </w:tr>
          </w:tbl>
          <w:p w14:paraId="39FF32FC">
            <w:pPr>
              <w:pStyle w:val="7"/>
              <w:adjustRightInd w:val="0"/>
              <w:snapToGrid w:val="0"/>
              <w:spacing w:before="120" w:line="240" w:lineRule="auto"/>
              <w:rPr>
                <w:color w:val="auto"/>
                <w:highlight w:val="none"/>
              </w:rPr>
            </w:pPr>
            <w:r>
              <w:rPr>
                <w:color w:val="auto"/>
                <w:highlight w:val="none"/>
              </w:rPr>
              <w:t>表4-</w:t>
            </w:r>
            <w:r>
              <w:rPr>
                <w:rFonts w:hint="eastAsia"/>
                <w:color w:val="auto"/>
                <w:highlight w:val="none"/>
                <w:lang w:val="en-US" w:eastAsia="zh-CN"/>
              </w:rPr>
              <w:t>6</w:t>
            </w:r>
            <w:r>
              <w:rPr>
                <w:color w:val="auto"/>
                <w:highlight w:val="none"/>
              </w:rPr>
              <w:t xml:space="preserve">  废水间接排放口基本信息表</w:t>
            </w:r>
          </w:p>
          <w:tbl>
            <w:tblPr>
              <w:tblStyle w:val="28"/>
              <w:tblW w:w="7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9"/>
              <w:gridCol w:w="1220"/>
              <w:gridCol w:w="1117"/>
              <w:gridCol w:w="598"/>
              <w:gridCol w:w="538"/>
              <w:gridCol w:w="868"/>
              <w:gridCol w:w="450"/>
              <w:gridCol w:w="515"/>
              <w:gridCol w:w="839"/>
              <w:gridCol w:w="1317"/>
            </w:tblGrid>
            <w:tr w14:paraId="425A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jc w:val="center"/>
              </w:trPr>
              <w:tc>
                <w:tcPr>
                  <w:tcW w:w="409" w:type="dxa"/>
                  <w:vMerge w:val="restart"/>
                  <w:tcBorders>
                    <w:tl2br w:val="nil"/>
                    <w:tr2bl w:val="nil"/>
                  </w:tcBorders>
                  <w:noWrap w:val="0"/>
                  <w:vAlign w:val="center"/>
                </w:tcPr>
                <w:p w14:paraId="04E45893">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排放口编号</w:t>
                  </w:r>
                </w:p>
              </w:tc>
              <w:tc>
                <w:tcPr>
                  <w:tcW w:w="2337" w:type="dxa"/>
                  <w:gridSpan w:val="2"/>
                  <w:tcBorders>
                    <w:tl2br w:val="nil"/>
                    <w:tr2bl w:val="nil"/>
                  </w:tcBorders>
                  <w:noWrap w:val="0"/>
                  <w:vAlign w:val="center"/>
                </w:tcPr>
                <w:p w14:paraId="6DD01C7A">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排放口地理坐标</w:t>
                  </w:r>
                </w:p>
              </w:tc>
              <w:tc>
                <w:tcPr>
                  <w:tcW w:w="598" w:type="dxa"/>
                  <w:vMerge w:val="restart"/>
                  <w:tcBorders>
                    <w:tl2br w:val="nil"/>
                    <w:tr2bl w:val="nil"/>
                  </w:tcBorders>
                  <w:noWrap w:val="0"/>
                  <w:vAlign w:val="center"/>
                </w:tcPr>
                <w:p w14:paraId="4A30390C">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废水排放量(</w:t>
                  </w:r>
                  <w:r>
                    <w:rPr>
                      <w:rFonts w:cs="Times New Roman"/>
                      <w:b/>
                      <w:bCs/>
                      <w:color w:val="auto"/>
                      <w:sz w:val="21"/>
                      <w:szCs w:val="21"/>
                      <w:highlight w:val="none"/>
                    </w:rPr>
                    <w:t>m</w:t>
                  </w:r>
                  <w:r>
                    <w:rPr>
                      <w:rFonts w:cs="Times New Roman"/>
                      <w:b/>
                      <w:bCs/>
                      <w:color w:val="auto"/>
                      <w:sz w:val="21"/>
                      <w:szCs w:val="21"/>
                      <w:highlight w:val="none"/>
                      <w:vertAlign w:val="superscript"/>
                    </w:rPr>
                    <w:t>3</w:t>
                  </w:r>
                  <w:r>
                    <w:rPr>
                      <w:rFonts w:cs="Times New Roman"/>
                      <w:b/>
                      <w:bCs/>
                      <w:color w:val="auto"/>
                      <w:sz w:val="21"/>
                      <w:szCs w:val="21"/>
                      <w:highlight w:val="none"/>
                    </w:rPr>
                    <w:t>/a</w:t>
                  </w:r>
                  <w:r>
                    <w:rPr>
                      <w:rFonts w:eastAsia="宋体" w:cs="Times New Roman"/>
                      <w:b/>
                      <w:bCs/>
                      <w:color w:val="auto"/>
                      <w:sz w:val="21"/>
                      <w:szCs w:val="21"/>
                      <w:highlight w:val="none"/>
                      <w:lang w:val="en-US"/>
                    </w:rPr>
                    <w:t>)</w:t>
                  </w:r>
                </w:p>
              </w:tc>
              <w:tc>
                <w:tcPr>
                  <w:tcW w:w="538" w:type="dxa"/>
                  <w:vMerge w:val="restart"/>
                  <w:tcBorders>
                    <w:tl2br w:val="nil"/>
                    <w:tr2bl w:val="nil"/>
                  </w:tcBorders>
                  <w:noWrap w:val="0"/>
                  <w:vAlign w:val="center"/>
                </w:tcPr>
                <w:p w14:paraId="3E2E2C36">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w:t>
                  </w:r>
                </w:p>
                <w:p w14:paraId="562283F8">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去向</w:t>
                  </w:r>
                </w:p>
              </w:tc>
              <w:tc>
                <w:tcPr>
                  <w:tcW w:w="868" w:type="dxa"/>
                  <w:vMerge w:val="restart"/>
                  <w:tcBorders>
                    <w:tl2br w:val="nil"/>
                    <w:tr2bl w:val="nil"/>
                  </w:tcBorders>
                  <w:noWrap w:val="0"/>
                  <w:vAlign w:val="center"/>
                </w:tcPr>
                <w:p w14:paraId="38E40FCD">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排放</w:t>
                  </w:r>
                </w:p>
                <w:p w14:paraId="7EECCC72">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规律</w:t>
                  </w:r>
                </w:p>
              </w:tc>
              <w:tc>
                <w:tcPr>
                  <w:tcW w:w="450" w:type="dxa"/>
                  <w:vMerge w:val="restart"/>
                  <w:tcBorders>
                    <w:tl2br w:val="nil"/>
                    <w:tr2bl w:val="nil"/>
                  </w:tcBorders>
                  <w:noWrap w:val="0"/>
                  <w:vAlign w:val="center"/>
                </w:tcPr>
                <w:p w14:paraId="47DD81CF">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间歇排放时段</w:t>
                  </w:r>
                </w:p>
              </w:tc>
              <w:tc>
                <w:tcPr>
                  <w:tcW w:w="2671" w:type="dxa"/>
                  <w:gridSpan w:val="3"/>
                  <w:tcBorders>
                    <w:tl2br w:val="nil"/>
                    <w:tr2bl w:val="nil"/>
                  </w:tcBorders>
                  <w:noWrap w:val="0"/>
                  <w:vAlign w:val="center"/>
                </w:tcPr>
                <w:p w14:paraId="67A960CE">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受纳污水处理厂信息</w:t>
                  </w:r>
                </w:p>
              </w:tc>
            </w:tr>
            <w:tr w14:paraId="0CC1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409" w:type="dxa"/>
                  <w:vMerge w:val="continue"/>
                  <w:tcBorders>
                    <w:tl2br w:val="nil"/>
                    <w:tr2bl w:val="nil"/>
                  </w:tcBorders>
                  <w:noWrap w:val="0"/>
                  <w:vAlign w:val="center"/>
                </w:tcPr>
                <w:p w14:paraId="1C2FE47B">
                  <w:pPr>
                    <w:pStyle w:val="74"/>
                    <w:spacing w:line="240" w:lineRule="atLeast"/>
                    <w:ind w:firstLine="0" w:firstLineChars="0"/>
                    <w:jc w:val="center"/>
                    <w:rPr>
                      <w:rFonts w:eastAsia="宋体" w:cs="Times New Roman"/>
                      <w:b/>
                      <w:bCs/>
                      <w:color w:val="auto"/>
                      <w:sz w:val="21"/>
                      <w:szCs w:val="21"/>
                      <w:highlight w:val="none"/>
                      <w:lang w:val="en-US"/>
                    </w:rPr>
                  </w:pPr>
                </w:p>
              </w:tc>
              <w:tc>
                <w:tcPr>
                  <w:tcW w:w="1220" w:type="dxa"/>
                  <w:tcBorders>
                    <w:tl2br w:val="nil"/>
                    <w:tr2bl w:val="nil"/>
                  </w:tcBorders>
                  <w:noWrap w:val="0"/>
                  <w:vAlign w:val="center"/>
                </w:tcPr>
                <w:p w14:paraId="572FF136">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经度</w:t>
                  </w:r>
                </w:p>
              </w:tc>
              <w:tc>
                <w:tcPr>
                  <w:tcW w:w="1117" w:type="dxa"/>
                  <w:tcBorders>
                    <w:tl2br w:val="nil"/>
                    <w:tr2bl w:val="nil"/>
                  </w:tcBorders>
                  <w:noWrap w:val="0"/>
                  <w:vAlign w:val="center"/>
                </w:tcPr>
                <w:p w14:paraId="727FEC0E">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纬度</w:t>
                  </w:r>
                </w:p>
              </w:tc>
              <w:tc>
                <w:tcPr>
                  <w:tcW w:w="598" w:type="dxa"/>
                  <w:vMerge w:val="continue"/>
                  <w:tcBorders>
                    <w:tl2br w:val="nil"/>
                    <w:tr2bl w:val="nil"/>
                  </w:tcBorders>
                  <w:noWrap w:val="0"/>
                  <w:vAlign w:val="center"/>
                </w:tcPr>
                <w:p w14:paraId="11A25E31">
                  <w:pPr>
                    <w:pStyle w:val="74"/>
                    <w:spacing w:line="240" w:lineRule="atLeast"/>
                    <w:ind w:firstLine="0" w:firstLineChars="0"/>
                    <w:jc w:val="center"/>
                    <w:rPr>
                      <w:rFonts w:eastAsia="宋体" w:cs="Times New Roman"/>
                      <w:b/>
                      <w:bCs/>
                      <w:color w:val="auto"/>
                      <w:sz w:val="21"/>
                      <w:szCs w:val="21"/>
                      <w:highlight w:val="none"/>
                      <w:lang w:val="en-US"/>
                    </w:rPr>
                  </w:pPr>
                </w:p>
              </w:tc>
              <w:tc>
                <w:tcPr>
                  <w:tcW w:w="538" w:type="dxa"/>
                  <w:vMerge w:val="continue"/>
                  <w:tcBorders>
                    <w:tl2br w:val="nil"/>
                    <w:tr2bl w:val="nil"/>
                  </w:tcBorders>
                  <w:noWrap w:val="0"/>
                  <w:vAlign w:val="center"/>
                </w:tcPr>
                <w:p w14:paraId="4D252608">
                  <w:pPr>
                    <w:pStyle w:val="74"/>
                    <w:spacing w:line="240" w:lineRule="atLeast"/>
                    <w:ind w:firstLine="0" w:firstLineChars="0"/>
                    <w:jc w:val="center"/>
                    <w:rPr>
                      <w:rFonts w:eastAsia="宋体" w:cs="Times New Roman"/>
                      <w:b/>
                      <w:bCs/>
                      <w:color w:val="auto"/>
                      <w:sz w:val="21"/>
                      <w:szCs w:val="21"/>
                      <w:highlight w:val="none"/>
                      <w:lang w:val="en-US"/>
                    </w:rPr>
                  </w:pPr>
                </w:p>
              </w:tc>
              <w:tc>
                <w:tcPr>
                  <w:tcW w:w="868" w:type="dxa"/>
                  <w:vMerge w:val="continue"/>
                  <w:tcBorders>
                    <w:tl2br w:val="nil"/>
                    <w:tr2bl w:val="nil"/>
                  </w:tcBorders>
                  <w:noWrap w:val="0"/>
                  <w:vAlign w:val="center"/>
                </w:tcPr>
                <w:p w14:paraId="1C7690AB">
                  <w:pPr>
                    <w:pStyle w:val="74"/>
                    <w:spacing w:line="240" w:lineRule="atLeast"/>
                    <w:ind w:firstLine="0" w:firstLineChars="0"/>
                    <w:jc w:val="center"/>
                    <w:rPr>
                      <w:rFonts w:eastAsia="宋体" w:cs="Times New Roman"/>
                      <w:b/>
                      <w:bCs/>
                      <w:color w:val="auto"/>
                      <w:sz w:val="21"/>
                      <w:szCs w:val="21"/>
                      <w:highlight w:val="none"/>
                      <w:lang w:val="en-US"/>
                    </w:rPr>
                  </w:pPr>
                </w:p>
              </w:tc>
              <w:tc>
                <w:tcPr>
                  <w:tcW w:w="450" w:type="dxa"/>
                  <w:vMerge w:val="continue"/>
                  <w:tcBorders>
                    <w:tl2br w:val="nil"/>
                    <w:tr2bl w:val="nil"/>
                  </w:tcBorders>
                  <w:noWrap w:val="0"/>
                  <w:vAlign w:val="center"/>
                </w:tcPr>
                <w:p w14:paraId="16A1790A">
                  <w:pPr>
                    <w:pStyle w:val="74"/>
                    <w:spacing w:line="240" w:lineRule="atLeast"/>
                    <w:ind w:firstLine="0" w:firstLineChars="0"/>
                    <w:jc w:val="center"/>
                    <w:rPr>
                      <w:rFonts w:eastAsia="宋体" w:cs="Times New Roman"/>
                      <w:b/>
                      <w:bCs/>
                      <w:color w:val="auto"/>
                      <w:sz w:val="21"/>
                      <w:szCs w:val="21"/>
                      <w:highlight w:val="none"/>
                      <w:lang w:val="en-US"/>
                    </w:rPr>
                  </w:pPr>
                </w:p>
              </w:tc>
              <w:tc>
                <w:tcPr>
                  <w:tcW w:w="515" w:type="dxa"/>
                  <w:tcBorders>
                    <w:tl2br w:val="nil"/>
                    <w:tr2bl w:val="nil"/>
                  </w:tcBorders>
                  <w:noWrap w:val="0"/>
                  <w:vAlign w:val="center"/>
                </w:tcPr>
                <w:p w14:paraId="2F084E47">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名称</w:t>
                  </w:r>
                </w:p>
              </w:tc>
              <w:tc>
                <w:tcPr>
                  <w:tcW w:w="839" w:type="dxa"/>
                  <w:tcBorders>
                    <w:tl2br w:val="nil"/>
                    <w:tr2bl w:val="nil"/>
                  </w:tcBorders>
                  <w:noWrap w:val="0"/>
                  <w:vAlign w:val="center"/>
                </w:tcPr>
                <w:p w14:paraId="51E2FADD">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污染物</w:t>
                  </w:r>
                </w:p>
                <w:p w14:paraId="474E024E">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种类</w:t>
                  </w:r>
                </w:p>
              </w:tc>
              <w:tc>
                <w:tcPr>
                  <w:tcW w:w="1317" w:type="dxa"/>
                  <w:tcBorders>
                    <w:tl2br w:val="nil"/>
                    <w:tr2bl w:val="nil"/>
                  </w:tcBorders>
                  <w:noWrap w:val="0"/>
                  <w:vAlign w:val="center"/>
                </w:tcPr>
                <w:p w14:paraId="6C241641">
                  <w:pPr>
                    <w:pStyle w:val="74"/>
                    <w:spacing w:line="240" w:lineRule="atLeast"/>
                    <w:ind w:firstLine="0" w:firstLineChars="0"/>
                    <w:jc w:val="center"/>
                    <w:rPr>
                      <w:rFonts w:eastAsia="宋体" w:cs="Times New Roman"/>
                      <w:b/>
                      <w:bCs/>
                      <w:color w:val="auto"/>
                      <w:sz w:val="21"/>
                      <w:szCs w:val="21"/>
                      <w:highlight w:val="none"/>
                      <w:lang w:val="en-US"/>
                    </w:rPr>
                  </w:pPr>
                  <w:r>
                    <w:rPr>
                      <w:rFonts w:eastAsia="宋体" w:cs="Times New Roman"/>
                      <w:b/>
                      <w:bCs/>
                      <w:color w:val="auto"/>
                      <w:sz w:val="21"/>
                      <w:szCs w:val="21"/>
                      <w:highlight w:val="none"/>
                      <w:lang w:val="en-US"/>
                    </w:rPr>
                    <w:t>国家或地方污染物排放标准</w:t>
                  </w:r>
                  <w:r>
                    <w:rPr>
                      <w:rFonts w:hint="eastAsia" w:eastAsia="宋体" w:cs="Times New Roman"/>
                      <w:b/>
                      <w:bCs/>
                      <w:color w:val="auto"/>
                      <w:sz w:val="21"/>
                      <w:szCs w:val="21"/>
                      <w:highlight w:val="none"/>
                      <w:lang w:val="en-US" w:eastAsia="zh-CN"/>
                    </w:rPr>
                    <w:t>浓度限值</w:t>
                  </w:r>
                  <w:r>
                    <w:rPr>
                      <w:rFonts w:eastAsia="宋体" w:cs="Times New Roman"/>
                      <w:b/>
                      <w:bCs/>
                      <w:color w:val="auto"/>
                      <w:sz w:val="21"/>
                      <w:szCs w:val="21"/>
                      <w:highlight w:val="none"/>
                      <w:lang w:val="en-US"/>
                    </w:rPr>
                    <w:t>/（mg/L）</w:t>
                  </w:r>
                </w:p>
              </w:tc>
            </w:tr>
            <w:tr w14:paraId="3681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jc w:val="center"/>
              </w:trPr>
              <w:tc>
                <w:tcPr>
                  <w:tcW w:w="409" w:type="dxa"/>
                  <w:vMerge w:val="restart"/>
                  <w:tcBorders>
                    <w:tl2br w:val="nil"/>
                    <w:tr2bl w:val="nil"/>
                  </w:tcBorders>
                  <w:noWrap w:val="0"/>
                  <w:vAlign w:val="center"/>
                </w:tcPr>
                <w:p w14:paraId="267DA835">
                  <w:pPr>
                    <w:pStyle w:val="74"/>
                    <w:spacing w:line="240" w:lineRule="auto"/>
                    <w:ind w:firstLine="0" w:firstLineChars="0"/>
                    <w:jc w:val="center"/>
                    <w:rPr>
                      <w:rFonts w:eastAsia="宋体" w:cs="Times New Roman"/>
                      <w:color w:val="auto"/>
                      <w:sz w:val="21"/>
                      <w:szCs w:val="21"/>
                      <w:highlight w:val="none"/>
                      <w:lang w:val="en-US"/>
                    </w:rPr>
                  </w:pPr>
                  <w:r>
                    <w:rPr>
                      <w:rFonts w:eastAsia="宋体" w:cs="Times New Roman"/>
                      <w:color w:val="auto"/>
                      <w:sz w:val="21"/>
                      <w:szCs w:val="21"/>
                      <w:highlight w:val="none"/>
                      <w:lang w:val="en-US"/>
                    </w:rPr>
                    <w:t>DW001</w:t>
                  </w:r>
                </w:p>
              </w:tc>
              <w:tc>
                <w:tcPr>
                  <w:tcW w:w="1220" w:type="dxa"/>
                  <w:vMerge w:val="restart"/>
                  <w:tcBorders>
                    <w:tl2br w:val="nil"/>
                    <w:tr2bl w:val="nil"/>
                  </w:tcBorders>
                  <w:noWrap w:val="0"/>
                  <w:vAlign w:val="center"/>
                </w:tcPr>
                <w:p w14:paraId="63A3BEB2">
                  <w:pPr>
                    <w:pStyle w:val="74"/>
                    <w:spacing w:line="240" w:lineRule="auto"/>
                    <w:ind w:firstLine="0" w:firstLineChars="0"/>
                    <w:jc w:val="center"/>
                    <w:rPr>
                      <w:rFonts w:hint="eastAsia" w:eastAsia="宋体" w:cs="Times New Roman"/>
                      <w:color w:val="auto"/>
                      <w:sz w:val="21"/>
                      <w:szCs w:val="21"/>
                      <w:highlight w:val="none"/>
                      <w:lang w:val="en-US"/>
                    </w:rPr>
                  </w:pPr>
                  <w:r>
                    <w:rPr>
                      <w:rFonts w:hint="eastAsia" w:eastAsia="宋体" w:cs="Times New Roman"/>
                      <w:color w:val="auto"/>
                      <w:sz w:val="21"/>
                      <w:szCs w:val="21"/>
                      <w:highlight w:val="none"/>
                      <w:lang w:val="en-US"/>
                    </w:rPr>
                    <w:t>107°566′118″</w:t>
                  </w:r>
                </w:p>
              </w:tc>
              <w:tc>
                <w:tcPr>
                  <w:tcW w:w="1117" w:type="dxa"/>
                  <w:vMerge w:val="restart"/>
                  <w:tcBorders>
                    <w:tl2br w:val="nil"/>
                    <w:tr2bl w:val="nil"/>
                  </w:tcBorders>
                  <w:noWrap w:val="0"/>
                  <w:vAlign w:val="center"/>
                </w:tcPr>
                <w:p w14:paraId="4B838F40">
                  <w:pPr>
                    <w:pStyle w:val="74"/>
                    <w:spacing w:line="240" w:lineRule="auto"/>
                    <w:ind w:firstLine="0" w:firstLineChars="0"/>
                    <w:jc w:val="center"/>
                    <w:rPr>
                      <w:rFonts w:hint="eastAsia" w:eastAsia="宋体" w:cs="Times New Roman"/>
                      <w:color w:val="auto"/>
                      <w:sz w:val="21"/>
                      <w:szCs w:val="21"/>
                      <w:highlight w:val="none"/>
                      <w:lang w:val="en-US"/>
                    </w:rPr>
                  </w:pPr>
                  <w:r>
                    <w:rPr>
                      <w:rFonts w:ascii="Times New Roman PS MT" w:hAnsi="Times New Roman PS MT" w:eastAsia="Times New Roman PS MT" w:cs="Times New Roman PS MT"/>
                      <w:b w:val="0"/>
                      <w:bCs w:val="0"/>
                      <w:color w:val="auto"/>
                      <w:sz w:val="21"/>
                      <w:szCs w:val="21"/>
                      <w:highlight w:val="none"/>
                    </w:rPr>
                    <w:t>33°207′542″</w:t>
                  </w:r>
                </w:p>
              </w:tc>
              <w:tc>
                <w:tcPr>
                  <w:tcW w:w="598" w:type="dxa"/>
                  <w:vMerge w:val="restart"/>
                  <w:tcBorders>
                    <w:tl2br w:val="nil"/>
                    <w:tr2bl w:val="nil"/>
                  </w:tcBorders>
                  <w:noWrap w:val="0"/>
                  <w:vAlign w:val="center"/>
                </w:tcPr>
                <w:p w14:paraId="3D1EFDB9">
                  <w:pPr>
                    <w:pStyle w:val="74"/>
                    <w:spacing w:line="240" w:lineRule="auto"/>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172.55</w:t>
                  </w:r>
                </w:p>
              </w:tc>
              <w:tc>
                <w:tcPr>
                  <w:tcW w:w="538" w:type="dxa"/>
                  <w:vMerge w:val="restart"/>
                  <w:tcBorders>
                    <w:tl2br w:val="nil"/>
                    <w:tr2bl w:val="nil"/>
                  </w:tcBorders>
                  <w:noWrap w:val="0"/>
                  <w:vAlign w:val="center"/>
                </w:tcPr>
                <w:p w14:paraId="28B8B258">
                  <w:pPr>
                    <w:pStyle w:val="74"/>
                    <w:spacing w:line="240" w:lineRule="auto"/>
                    <w:ind w:firstLine="0" w:firstLineChars="0"/>
                    <w:jc w:val="center"/>
                    <w:rPr>
                      <w:rFonts w:eastAsia="宋体" w:cs="Times New Roman"/>
                      <w:color w:val="auto"/>
                      <w:sz w:val="21"/>
                      <w:szCs w:val="21"/>
                      <w:highlight w:val="none"/>
                      <w:lang w:val="en-US"/>
                    </w:rPr>
                  </w:pPr>
                  <w:r>
                    <w:rPr>
                      <w:rFonts w:hint="eastAsia" w:eastAsia="宋体" w:cs="Times New Roman"/>
                      <w:color w:val="auto"/>
                      <w:sz w:val="21"/>
                      <w:szCs w:val="21"/>
                      <w:highlight w:val="none"/>
                      <w:shd w:val="clear" w:color="auto" w:fill="FFFFFF"/>
                      <w:lang w:val="en-US" w:eastAsia="zh-CN"/>
                    </w:rPr>
                    <w:t>洋县</w:t>
                  </w:r>
                  <w:r>
                    <w:rPr>
                      <w:rFonts w:eastAsia="宋体" w:cs="Times New Roman"/>
                      <w:color w:val="auto"/>
                      <w:sz w:val="21"/>
                      <w:szCs w:val="21"/>
                      <w:highlight w:val="none"/>
                      <w:shd w:val="clear" w:color="auto" w:fill="FFFFFF"/>
                      <w:lang w:val="en-US"/>
                    </w:rPr>
                    <w:t>污水处理厂</w:t>
                  </w:r>
                </w:p>
              </w:tc>
              <w:tc>
                <w:tcPr>
                  <w:tcW w:w="868" w:type="dxa"/>
                  <w:vMerge w:val="restart"/>
                  <w:tcBorders>
                    <w:tl2br w:val="nil"/>
                    <w:tr2bl w:val="nil"/>
                  </w:tcBorders>
                  <w:noWrap w:val="0"/>
                  <w:vAlign w:val="center"/>
                </w:tcPr>
                <w:p w14:paraId="4DD62F5D">
                  <w:pPr>
                    <w:pStyle w:val="74"/>
                    <w:spacing w:line="240" w:lineRule="auto"/>
                    <w:ind w:firstLine="0" w:firstLineChars="0"/>
                    <w:jc w:val="center"/>
                    <w:rPr>
                      <w:rFonts w:eastAsia="宋体" w:cs="Times New Roman"/>
                      <w:color w:val="auto"/>
                      <w:sz w:val="21"/>
                      <w:szCs w:val="21"/>
                      <w:highlight w:val="none"/>
                      <w:lang w:val="en-US"/>
                    </w:rPr>
                  </w:pPr>
                  <w:r>
                    <w:rPr>
                      <w:rFonts w:eastAsia="宋体" w:cs="Times New Roman"/>
                      <w:color w:val="auto"/>
                      <w:sz w:val="21"/>
                      <w:szCs w:val="21"/>
                      <w:highlight w:val="none"/>
                      <w:shd w:val="clear" w:color="auto" w:fill="FFFFFF"/>
                    </w:rPr>
                    <w:t>排放期间流量不稳定且无规律，但不属于冲击型排放</w:t>
                  </w:r>
                </w:p>
              </w:tc>
              <w:tc>
                <w:tcPr>
                  <w:tcW w:w="450" w:type="dxa"/>
                  <w:vMerge w:val="restart"/>
                  <w:tcBorders>
                    <w:tl2br w:val="nil"/>
                    <w:tr2bl w:val="nil"/>
                  </w:tcBorders>
                  <w:noWrap w:val="0"/>
                  <w:vAlign w:val="center"/>
                </w:tcPr>
                <w:p w14:paraId="0EC6A9C2">
                  <w:pPr>
                    <w:pStyle w:val="74"/>
                    <w:spacing w:line="240" w:lineRule="auto"/>
                    <w:ind w:firstLine="0" w:firstLineChars="0"/>
                    <w:jc w:val="center"/>
                    <w:rPr>
                      <w:rFonts w:hint="eastAsia" w:eastAsia="宋体" w:cs="Times New Roman"/>
                      <w:color w:val="auto"/>
                      <w:sz w:val="21"/>
                      <w:szCs w:val="21"/>
                      <w:highlight w:val="none"/>
                      <w:lang w:val="en-US"/>
                    </w:rPr>
                  </w:pPr>
                  <w:r>
                    <w:rPr>
                      <w:rFonts w:hint="eastAsia" w:eastAsia="宋体" w:cs="Times New Roman"/>
                      <w:color w:val="auto"/>
                      <w:sz w:val="21"/>
                      <w:szCs w:val="21"/>
                      <w:highlight w:val="none"/>
                      <w:lang w:val="en-US"/>
                    </w:rPr>
                    <w:t>/</w:t>
                  </w:r>
                </w:p>
              </w:tc>
              <w:tc>
                <w:tcPr>
                  <w:tcW w:w="515" w:type="dxa"/>
                  <w:vMerge w:val="restart"/>
                  <w:tcBorders>
                    <w:tl2br w:val="nil"/>
                    <w:tr2bl w:val="nil"/>
                  </w:tcBorders>
                  <w:noWrap w:val="0"/>
                  <w:vAlign w:val="center"/>
                </w:tcPr>
                <w:p w14:paraId="3737EAF5">
                  <w:pPr>
                    <w:pStyle w:val="74"/>
                    <w:spacing w:line="240" w:lineRule="auto"/>
                    <w:ind w:firstLine="0" w:firstLineChars="0"/>
                    <w:jc w:val="center"/>
                    <w:rPr>
                      <w:rFonts w:eastAsia="宋体" w:cs="Times New Roman"/>
                      <w:color w:val="auto"/>
                      <w:sz w:val="21"/>
                      <w:szCs w:val="21"/>
                      <w:highlight w:val="none"/>
                      <w:lang w:val="en-US"/>
                    </w:rPr>
                  </w:pPr>
                  <w:r>
                    <w:rPr>
                      <w:rFonts w:hint="eastAsia" w:eastAsia="宋体" w:cs="Times New Roman"/>
                      <w:color w:val="auto"/>
                      <w:sz w:val="21"/>
                      <w:szCs w:val="21"/>
                      <w:highlight w:val="none"/>
                      <w:shd w:val="clear" w:color="auto" w:fill="FFFFFF"/>
                      <w:lang w:val="en-US" w:eastAsia="zh-CN"/>
                    </w:rPr>
                    <w:t>洋县</w:t>
                  </w:r>
                  <w:r>
                    <w:rPr>
                      <w:rFonts w:eastAsia="宋体" w:cs="Times New Roman"/>
                      <w:color w:val="auto"/>
                      <w:sz w:val="21"/>
                      <w:szCs w:val="21"/>
                      <w:highlight w:val="none"/>
                      <w:shd w:val="clear" w:color="auto" w:fill="FFFFFF"/>
                      <w:lang w:val="en-US"/>
                    </w:rPr>
                    <w:t>污水处理厂</w:t>
                  </w:r>
                </w:p>
              </w:tc>
              <w:tc>
                <w:tcPr>
                  <w:tcW w:w="839" w:type="dxa"/>
                  <w:tcBorders>
                    <w:tl2br w:val="nil"/>
                    <w:tr2bl w:val="nil"/>
                  </w:tcBorders>
                  <w:noWrap w:val="0"/>
                  <w:vAlign w:val="center"/>
                </w:tcPr>
                <w:p w14:paraId="573C3CA8">
                  <w:pPr>
                    <w:pStyle w:val="74"/>
                    <w:spacing w:line="240" w:lineRule="auto"/>
                    <w:ind w:firstLine="0" w:firstLineChars="0"/>
                    <w:jc w:val="center"/>
                    <w:rPr>
                      <w:rFonts w:eastAsia="宋体" w:cs="Times New Roman"/>
                      <w:color w:val="auto"/>
                      <w:sz w:val="21"/>
                      <w:szCs w:val="21"/>
                      <w:highlight w:val="none"/>
                      <w:lang w:val="en-US"/>
                    </w:rPr>
                  </w:pPr>
                  <w:r>
                    <w:rPr>
                      <w:rFonts w:eastAsia="宋体" w:cs="Times New Roman"/>
                      <w:bCs/>
                      <w:color w:val="auto"/>
                      <w:sz w:val="21"/>
                      <w:szCs w:val="21"/>
                      <w:highlight w:val="none"/>
                      <w:lang w:val="en-US"/>
                    </w:rPr>
                    <w:t>CO</w:t>
                  </w:r>
                  <w:r>
                    <w:rPr>
                      <w:rFonts w:hint="eastAsia" w:eastAsia="宋体" w:cs="Times New Roman"/>
                      <w:bCs/>
                      <w:color w:val="auto"/>
                      <w:sz w:val="21"/>
                      <w:szCs w:val="21"/>
                      <w:highlight w:val="none"/>
                      <w:lang w:val="en-US"/>
                    </w:rPr>
                    <w:t>D</w:t>
                  </w:r>
                </w:p>
              </w:tc>
              <w:tc>
                <w:tcPr>
                  <w:tcW w:w="1317" w:type="dxa"/>
                  <w:tcBorders>
                    <w:tl2br w:val="nil"/>
                    <w:tr2bl w:val="nil"/>
                  </w:tcBorders>
                  <w:noWrap w:val="0"/>
                  <w:vAlign w:val="center"/>
                </w:tcPr>
                <w:p w14:paraId="01BDB995">
                  <w:pPr>
                    <w:pStyle w:val="74"/>
                    <w:spacing w:line="240" w:lineRule="auto"/>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50</w:t>
                  </w:r>
                </w:p>
              </w:tc>
            </w:tr>
            <w:tr w14:paraId="5E82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409" w:type="dxa"/>
                  <w:vMerge w:val="continue"/>
                  <w:tcBorders>
                    <w:tl2br w:val="nil"/>
                    <w:tr2bl w:val="nil"/>
                  </w:tcBorders>
                  <w:noWrap w:val="0"/>
                  <w:vAlign w:val="center"/>
                </w:tcPr>
                <w:p w14:paraId="1BEAFE02">
                  <w:pPr>
                    <w:pStyle w:val="74"/>
                    <w:spacing w:line="240" w:lineRule="auto"/>
                    <w:ind w:firstLine="0" w:firstLineChars="0"/>
                    <w:jc w:val="center"/>
                    <w:rPr>
                      <w:rFonts w:eastAsia="宋体" w:cs="Times New Roman"/>
                      <w:color w:val="auto"/>
                      <w:sz w:val="21"/>
                      <w:szCs w:val="21"/>
                      <w:highlight w:val="none"/>
                      <w:lang w:val="en-US"/>
                    </w:rPr>
                  </w:pPr>
                </w:p>
              </w:tc>
              <w:tc>
                <w:tcPr>
                  <w:tcW w:w="1220" w:type="dxa"/>
                  <w:vMerge w:val="continue"/>
                  <w:tcBorders>
                    <w:tl2br w:val="nil"/>
                    <w:tr2bl w:val="nil"/>
                  </w:tcBorders>
                  <w:noWrap w:val="0"/>
                  <w:vAlign w:val="center"/>
                </w:tcPr>
                <w:p w14:paraId="4A32313D">
                  <w:pPr>
                    <w:pStyle w:val="74"/>
                    <w:spacing w:line="240" w:lineRule="auto"/>
                    <w:ind w:firstLine="0" w:firstLineChars="0"/>
                    <w:jc w:val="center"/>
                    <w:rPr>
                      <w:rFonts w:eastAsia="宋体" w:cs="Times New Roman"/>
                      <w:color w:val="auto"/>
                      <w:sz w:val="21"/>
                      <w:szCs w:val="21"/>
                      <w:highlight w:val="none"/>
                      <w:lang w:val="en-US"/>
                    </w:rPr>
                  </w:pPr>
                </w:p>
              </w:tc>
              <w:tc>
                <w:tcPr>
                  <w:tcW w:w="1117" w:type="dxa"/>
                  <w:vMerge w:val="continue"/>
                  <w:tcBorders>
                    <w:tl2br w:val="nil"/>
                    <w:tr2bl w:val="nil"/>
                  </w:tcBorders>
                  <w:noWrap w:val="0"/>
                  <w:vAlign w:val="center"/>
                </w:tcPr>
                <w:p w14:paraId="458E17AA">
                  <w:pPr>
                    <w:pStyle w:val="74"/>
                    <w:spacing w:line="240" w:lineRule="auto"/>
                    <w:ind w:firstLine="0" w:firstLineChars="0"/>
                    <w:jc w:val="center"/>
                    <w:rPr>
                      <w:rFonts w:eastAsia="宋体" w:cs="Times New Roman"/>
                      <w:color w:val="auto"/>
                      <w:sz w:val="21"/>
                      <w:szCs w:val="21"/>
                      <w:highlight w:val="none"/>
                      <w:lang w:val="en-US"/>
                    </w:rPr>
                  </w:pPr>
                </w:p>
              </w:tc>
              <w:tc>
                <w:tcPr>
                  <w:tcW w:w="598" w:type="dxa"/>
                  <w:vMerge w:val="continue"/>
                  <w:tcBorders>
                    <w:tl2br w:val="nil"/>
                    <w:tr2bl w:val="nil"/>
                  </w:tcBorders>
                  <w:noWrap w:val="0"/>
                  <w:vAlign w:val="center"/>
                </w:tcPr>
                <w:p w14:paraId="2AF0697A">
                  <w:pPr>
                    <w:pStyle w:val="74"/>
                    <w:spacing w:line="240" w:lineRule="auto"/>
                    <w:ind w:firstLine="0" w:firstLineChars="0"/>
                    <w:jc w:val="center"/>
                    <w:rPr>
                      <w:rFonts w:cs="Times New Roman"/>
                      <w:color w:val="auto"/>
                      <w:sz w:val="21"/>
                      <w:szCs w:val="21"/>
                      <w:highlight w:val="none"/>
                      <w:lang w:val="en-US" w:bidi="ar"/>
                    </w:rPr>
                  </w:pPr>
                </w:p>
              </w:tc>
              <w:tc>
                <w:tcPr>
                  <w:tcW w:w="538" w:type="dxa"/>
                  <w:vMerge w:val="continue"/>
                  <w:tcBorders>
                    <w:tl2br w:val="nil"/>
                    <w:tr2bl w:val="nil"/>
                  </w:tcBorders>
                  <w:noWrap w:val="0"/>
                  <w:vAlign w:val="center"/>
                </w:tcPr>
                <w:p w14:paraId="3C54D72C">
                  <w:pPr>
                    <w:pStyle w:val="74"/>
                    <w:spacing w:line="240" w:lineRule="auto"/>
                    <w:ind w:firstLine="0" w:firstLineChars="0"/>
                    <w:jc w:val="center"/>
                    <w:rPr>
                      <w:rFonts w:eastAsia="宋体" w:cs="Times New Roman"/>
                      <w:color w:val="auto"/>
                      <w:sz w:val="21"/>
                      <w:szCs w:val="21"/>
                      <w:highlight w:val="none"/>
                      <w:shd w:val="clear" w:color="auto" w:fill="FFFFFF"/>
                    </w:rPr>
                  </w:pPr>
                </w:p>
              </w:tc>
              <w:tc>
                <w:tcPr>
                  <w:tcW w:w="868" w:type="dxa"/>
                  <w:vMerge w:val="continue"/>
                  <w:tcBorders>
                    <w:tl2br w:val="nil"/>
                    <w:tr2bl w:val="nil"/>
                  </w:tcBorders>
                  <w:noWrap w:val="0"/>
                  <w:vAlign w:val="center"/>
                </w:tcPr>
                <w:p w14:paraId="50B54B07">
                  <w:pPr>
                    <w:pStyle w:val="74"/>
                    <w:spacing w:line="240" w:lineRule="auto"/>
                    <w:ind w:firstLine="0" w:firstLineChars="0"/>
                    <w:jc w:val="center"/>
                    <w:rPr>
                      <w:rFonts w:eastAsia="宋体" w:cs="Times New Roman"/>
                      <w:color w:val="auto"/>
                      <w:sz w:val="21"/>
                      <w:szCs w:val="21"/>
                      <w:highlight w:val="none"/>
                      <w:shd w:val="clear" w:color="auto" w:fill="FFFFFF"/>
                    </w:rPr>
                  </w:pPr>
                </w:p>
              </w:tc>
              <w:tc>
                <w:tcPr>
                  <w:tcW w:w="450" w:type="dxa"/>
                  <w:vMerge w:val="continue"/>
                  <w:tcBorders>
                    <w:tl2br w:val="nil"/>
                    <w:tr2bl w:val="nil"/>
                  </w:tcBorders>
                  <w:noWrap w:val="0"/>
                  <w:vAlign w:val="center"/>
                </w:tcPr>
                <w:p w14:paraId="3B6EEC77">
                  <w:pPr>
                    <w:pStyle w:val="74"/>
                    <w:spacing w:line="240" w:lineRule="auto"/>
                    <w:ind w:firstLine="0" w:firstLineChars="0"/>
                    <w:jc w:val="center"/>
                    <w:rPr>
                      <w:rFonts w:eastAsia="宋体" w:cs="Times New Roman"/>
                      <w:color w:val="auto"/>
                      <w:sz w:val="21"/>
                      <w:szCs w:val="21"/>
                      <w:highlight w:val="none"/>
                      <w:shd w:val="clear" w:color="auto" w:fill="FFFFFF"/>
                      <w:lang w:val="en-US"/>
                    </w:rPr>
                  </w:pPr>
                </w:p>
              </w:tc>
              <w:tc>
                <w:tcPr>
                  <w:tcW w:w="515" w:type="dxa"/>
                  <w:vMerge w:val="continue"/>
                  <w:tcBorders>
                    <w:tl2br w:val="nil"/>
                    <w:tr2bl w:val="nil"/>
                  </w:tcBorders>
                  <w:noWrap w:val="0"/>
                  <w:vAlign w:val="center"/>
                </w:tcPr>
                <w:p w14:paraId="17F2A6C0">
                  <w:pPr>
                    <w:pStyle w:val="74"/>
                    <w:spacing w:line="240" w:lineRule="auto"/>
                    <w:ind w:firstLine="0" w:firstLineChars="0"/>
                    <w:jc w:val="center"/>
                    <w:rPr>
                      <w:rFonts w:eastAsia="宋体" w:cs="Times New Roman"/>
                      <w:color w:val="auto"/>
                      <w:sz w:val="21"/>
                      <w:szCs w:val="21"/>
                      <w:highlight w:val="none"/>
                      <w:lang w:val="en-US"/>
                    </w:rPr>
                  </w:pPr>
                </w:p>
              </w:tc>
              <w:tc>
                <w:tcPr>
                  <w:tcW w:w="839" w:type="dxa"/>
                  <w:tcBorders>
                    <w:tl2br w:val="nil"/>
                    <w:tr2bl w:val="nil"/>
                  </w:tcBorders>
                  <w:noWrap w:val="0"/>
                  <w:vAlign w:val="center"/>
                </w:tcPr>
                <w:p w14:paraId="58C365E2">
                  <w:pPr>
                    <w:pStyle w:val="74"/>
                    <w:spacing w:line="240" w:lineRule="auto"/>
                    <w:ind w:firstLine="0" w:firstLineChars="0"/>
                    <w:jc w:val="center"/>
                    <w:rPr>
                      <w:rFonts w:eastAsia="宋体" w:cs="Times New Roman"/>
                      <w:color w:val="auto"/>
                      <w:sz w:val="21"/>
                      <w:szCs w:val="21"/>
                      <w:highlight w:val="none"/>
                      <w:lang w:val="en-US"/>
                    </w:rPr>
                  </w:pPr>
                  <w:r>
                    <w:rPr>
                      <w:rFonts w:eastAsia="宋体" w:cs="Times New Roman"/>
                      <w:color w:val="auto"/>
                      <w:sz w:val="21"/>
                      <w:szCs w:val="21"/>
                      <w:highlight w:val="none"/>
                      <w:lang w:val="en-US"/>
                    </w:rPr>
                    <w:t>BOD</w:t>
                  </w:r>
                  <w:r>
                    <w:rPr>
                      <w:rFonts w:eastAsia="宋体" w:cs="Times New Roman"/>
                      <w:color w:val="auto"/>
                      <w:sz w:val="21"/>
                      <w:szCs w:val="21"/>
                      <w:highlight w:val="none"/>
                      <w:vertAlign w:val="subscript"/>
                      <w:lang w:val="en-US"/>
                    </w:rPr>
                    <w:t>5</w:t>
                  </w:r>
                </w:p>
              </w:tc>
              <w:tc>
                <w:tcPr>
                  <w:tcW w:w="1317" w:type="dxa"/>
                  <w:tcBorders>
                    <w:tl2br w:val="nil"/>
                    <w:tr2bl w:val="nil"/>
                  </w:tcBorders>
                  <w:noWrap w:val="0"/>
                  <w:vAlign w:val="center"/>
                </w:tcPr>
                <w:p w14:paraId="6A3A15DB">
                  <w:pPr>
                    <w:pStyle w:val="74"/>
                    <w:spacing w:line="240" w:lineRule="auto"/>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p>
              </w:tc>
            </w:tr>
            <w:tr w14:paraId="67B4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409" w:type="dxa"/>
                  <w:vMerge w:val="continue"/>
                  <w:tcBorders>
                    <w:tl2br w:val="nil"/>
                    <w:tr2bl w:val="nil"/>
                  </w:tcBorders>
                  <w:noWrap w:val="0"/>
                  <w:vAlign w:val="center"/>
                </w:tcPr>
                <w:p w14:paraId="5E136A38">
                  <w:pPr>
                    <w:pStyle w:val="74"/>
                    <w:spacing w:line="240" w:lineRule="auto"/>
                    <w:ind w:firstLine="0" w:firstLineChars="0"/>
                    <w:jc w:val="center"/>
                    <w:rPr>
                      <w:rFonts w:cs="Times New Roman"/>
                      <w:color w:val="auto"/>
                      <w:sz w:val="21"/>
                      <w:szCs w:val="21"/>
                      <w:highlight w:val="none"/>
                    </w:rPr>
                  </w:pPr>
                </w:p>
              </w:tc>
              <w:tc>
                <w:tcPr>
                  <w:tcW w:w="1220" w:type="dxa"/>
                  <w:vMerge w:val="continue"/>
                  <w:tcBorders>
                    <w:tl2br w:val="nil"/>
                    <w:tr2bl w:val="nil"/>
                  </w:tcBorders>
                  <w:noWrap w:val="0"/>
                  <w:vAlign w:val="center"/>
                </w:tcPr>
                <w:p w14:paraId="25E777F3">
                  <w:pPr>
                    <w:pStyle w:val="74"/>
                    <w:spacing w:line="240" w:lineRule="auto"/>
                    <w:ind w:firstLine="0" w:firstLineChars="0"/>
                    <w:jc w:val="center"/>
                    <w:rPr>
                      <w:rFonts w:cs="Times New Roman"/>
                      <w:color w:val="auto"/>
                      <w:sz w:val="21"/>
                      <w:szCs w:val="21"/>
                      <w:highlight w:val="none"/>
                    </w:rPr>
                  </w:pPr>
                </w:p>
              </w:tc>
              <w:tc>
                <w:tcPr>
                  <w:tcW w:w="1117" w:type="dxa"/>
                  <w:vMerge w:val="continue"/>
                  <w:tcBorders>
                    <w:tl2br w:val="nil"/>
                    <w:tr2bl w:val="nil"/>
                  </w:tcBorders>
                  <w:noWrap w:val="0"/>
                  <w:vAlign w:val="center"/>
                </w:tcPr>
                <w:p w14:paraId="2B617E29">
                  <w:pPr>
                    <w:pStyle w:val="74"/>
                    <w:spacing w:line="240" w:lineRule="auto"/>
                    <w:ind w:firstLine="0" w:firstLineChars="0"/>
                    <w:jc w:val="center"/>
                    <w:rPr>
                      <w:rFonts w:cs="Times New Roman"/>
                      <w:color w:val="auto"/>
                      <w:sz w:val="21"/>
                      <w:szCs w:val="21"/>
                      <w:highlight w:val="none"/>
                    </w:rPr>
                  </w:pPr>
                </w:p>
              </w:tc>
              <w:tc>
                <w:tcPr>
                  <w:tcW w:w="598" w:type="dxa"/>
                  <w:vMerge w:val="continue"/>
                  <w:tcBorders>
                    <w:tl2br w:val="nil"/>
                    <w:tr2bl w:val="nil"/>
                  </w:tcBorders>
                  <w:noWrap w:val="0"/>
                  <w:vAlign w:val="center"/>
                </w:tcPr>
                <w:p w14:paraId="0895F515">
                  <w:pPr>
                    <w:pStyle w:val="74"/>
                    <w:spacing w:line="240" w:lineRule="auto"/>
                    <w:ind w:firstLine="0" w:firstLineChars="0"/>
                    <w:jc w:val="center"/>
                    <w:rPr>
                      <w:rFonts w:cs="Times New Roman"/>
                      <w:color w:val="auto"/>
                      <w:sz w:val="21"/>
                      <w:szCs w:val="21"/>
                      <w:highlight w:val="none"/>
                    </w:rPr>
                  </w:pPr>
                </w:p>
              </w:tc>
              <w:tc>
                <w:tcPr>
                  <w:tcW w:w="538" w:type="dxa"/>
                  <w:vMerge w:val="continue"/>
                  <w:tcBorders>
                    <w:tl2br w:val="nil"/>
                    <w:tr2bl w:val="nil"/>
                  </w:tcBorders>
                  <w:noWrap w:val="0"/>
                  <w:vAlign w:val="center"/>
                </w:tcPr>
                <w:p w14:paraId="547183D3">
                  <w:pPr>
                    <w:pStyle w:val="74"/>
                    <w:spacing w:line="240" w:lineRule="auto"/>
                    <w:ind w:firstLine="0" w:firstLineChars="0"/>
                    <w:jc w:val="center"/>
                    <w:rPr>
                      <w:rFonts w:cs="Times New Roman"/>
                      <w:color w:val="auto"/>
                      <w:sz w:val="21"/>
                      <w:szCs w:val="21"/>
                      <w:highlight w:val="none"/>
                    </w:rPr>
                  </w:pPr>
                </w:p>
              </w:tc>
              <w:tc>
                <w:tcPr>
                  <w:tcW w:w="868" w:type="dxa"/>
                  <w:vMerge w:val="continue"/>
                  <w:tcBorders>
                    <w:tl2br w:val="nil"/>
                    <w:tr2bl w:val="nil"/>
                  </w:tcBorders>
                  <w:noWrap w:val="0"/>
                  <w:vAlign w:val="center"/>
                </w:tcPr>
                <w:p w14:paraId="2BE0AF9D">
                  <w:pPr>
                    <w:pStyle w:val="74"/>
                    <w:spacing w:line="240" w:lineRule="auto"/>
                    <w:ind w:firstLine="0" w:firstLineChars="0"/>
                    <w:jc w:val="center"/>
                    <w:rPr>
                      <w:rFonts w:cs="Times New Roman"/>
                      <w:color w:val="auto"/>
                      <w:sz w:val="21"/>
                      <w:szCs w:val="21"/>
                      <w:highlight w:val="none"/>
                    </w:rPr>
                  </w:pPr>
                </w:p>
              </w:tc>
              <w:tc>
                <w:tcPr>
                  <w:tcW w:w="450" w:type="dxa"/>
                  <w:vMerge w:val="continue"/>
                  <w:tcBorders>
                    <w:tl2br w:val="nil"/>
                    <w:tr2bl w:val="nil"/>
                  </w:tcBorders>
                  <w:noWrap w:val="0"/>
                  <w:vAlign w:val="center"/>
                </w:tcPr>
                <w:p w14:paraId="698F28DF">
                  <w:pPr>
                    <w:pStyle w:val="74"/>
                    <w:spacing w:line="240" w:lineRule="auto"/>
                    <w:ind w:firstLine="0" w:firstLineChars="0"/>
                    <w:jc w:val="center"/>
                    <w:rPr>
                      <w:rFonts w:cs="Times New Roman"/>
                      <w:color w:val="auto"/>
                      <w:sz w:val="21"/>
                      <w:szCs w:val="21"/>
                      <w:highlight w:val="none"/>
                    </w:rPr>
                  </w:pPr>
                </w:p>
              </w:tc>
              <w:tc>
                <w:tcPr>
                  <w:tcW w:w="515" w:type="dxa"/>
                  <w:vMerge w:val="continue"/>
                  <w:tcBorders>
                    <w:tl2br w:val="nil"/>
                    <w:tr2bl w:val="nil"/>
                  </w:tcBorders>
                  <w:noWrap w:val="0"/>
                  <w:vAlign w:val="center"/>
                </w:tcPr>
                <w:p w14:paraId="4E9DCEB9">
                  <w:pPr>
                    <w:pStyle w:val="74"/>
                    <w:spacing w:line="240" w:lineRule="auto"/>
                    <w:ind w:firstLine="0" w:firstLineChars="0"/>
                    <w:jc w:val="center"/>
                    <w:rPr>
                      <w:rFonts w:cs="Times New Roman"/>
                      <w:color w:val="auto"/>
                      <w:sz w:val="21"/>
                      <w:szCs w:val="21"/>
                      <w:highlight w:val="none"/>
                    </w:rPr>
                  </w:pPr>
                </w:p>
              </w:tc>
              <w:tc>
                <w:tcPr>
                  <w:tcW w:w="839" w:type="dxa"/>
                  <w:tcBorders>
                    <w:tl2br w:val="nil"/>
                    <w:tr2bl w:val="nil"/>
                  </w:tcBorders>
                  <w:noWrap w:val="0"/>
                  <w:vAlign w:val="center"/>
                </w:tcPr>
                <w:p w14:paraId="7DC1C348">
                  <w:pPr>
                    <w:pStyle w:val="74"/>
                    <w:spacing w:line="240" w:lineRule="auto"/>
                    <w:ind w:firstLine="0" w:firstLineChars="0"/>
                    <w:jc w:val="center"/>
                    <w:rPr>
                      <w:rFonts w:eastAsia="宋体" w:cs="Times New Roman"/>
                      <w:color w:val="auto"/>
                      <w:sz w:val="21"/>
                      <w:szCs w:val="21"/>
                      <w:highlight w:val="none"/>
                      <w:lang w:val="en-US"/>
                    </w:rPr>
                  </w:pPr>
                  <w:r>
                    <w:rPr>
                      <w:rFonts w:eastAsia="宋体" w:cs="Times New Roman"/>
                      <w:bCs/>
                      <w:color w:val="auto"/>
                      <w:sz w:val="21"/>
                      <w:szCs w:val="21"/>
                      <w:highlight w:val="none"/>
                      <w:lang w:val="en-US"/>
                    </w:rPr>
                    <w:t>SS</w:t>
                  </w:r>
                </w:p>
              </w:tc>
              <w:tc>
                <w:tcPr>
                  <w:tcW w:w="1317" w:type="dxa"/>
                  <w:tcBorders>
                    <w:tl2br w:val="nil"/>
                    <w:tr2bl w:val="nil"/>
                  </w:tcBorders>
                  <w:noWrap w:val="0"/>
                  <w:vAlign w:val="center"/>
                </w:tcPr>
                <w:p w14:paraId="71D307A2">
                  <w:pPr>
                    <w:pStyle w:val="74"/>
                    <w:spacing w:line="240" w:lineRule="auto"/>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p>
              </w:tc>
            </w:tr>
            <w:tr w14:paraId="30CB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409" w:type="dxa"/>
                  <w:vMerge w:val="continue"/>
                  <w:tcBorders>
                    <w:tl2br w:val="nil"/>
                    <w:tr2bl w:val="nil"/>
                  </w:tcBorders>
                  <w:noWrap w:val="0"/>
                  <w:vAlign w:val="center"/>
                </w:tcPr>
                <w:p w14:paraId="02EB4B8F">
                  <w:pPr>
                    <w:pStyle w:val="74"/>
                    <w:spacing w:line="240" w:lineRule="auto"/>
                    <w:ind w:firstLine="0" w:firstLineChars="0"/>
                    <w:jc w:val="center"/>
                    <w:rPr>
                      <w:rFonts w:cs="Times New Roman"/>
                      <w:color w:val="auto"/>
                      <w:sz w:val="21"/>
                      <w:szCs w:val="21"/>
                      <w:highlight w:val="none"/>
                    </w:rPr>
                  </w:pPr>
                </w:p>
              </w:tc>
              <w:tc>
                <w:tcPr>
                  <w:tcW w:w="1220" w:type="dxa"/>
                  <w:vMerge w:val="continue"/>
                  <w:tcBorders>
                    <w:tl2br w:val="nil"/>
                    <w:tr2bl w:val="nil"/>
                  </w:tcBorders>
                  <w:noWrap w:val="0"/>
                  <w:vAlign w:val="center"/>
                </w:tcPr>
                <w:p w14:paraId="40A4EAB3">
                  <w:pPr>
                    <w:pStyle w:val="74"/>
                    <w:spacing w:line="240" w:lineRule="auto"/>
                    <w:ind w:firstLine="0" w:firstLineChars="0"/>
                    <w:jc w:val="center"/>
                    <w:rPr>
                      <w:rFonts w:cs="Times New Roman"/>
                      <w:color w:val="auto"/>
                      <w:sz w:val="21"/>
                      <w:szCs w:val="21"/>
                      <w:highlight w:val="none"/>
                    </w:rPr>
                  </w:pPr>
                </w:p>
              </w:tc>
              <w:tc>
                <w:tcPr>
                  <w:tcW w:w="1117" w:type="dxa"/>
                  <w:vMerge w:val="continue"/>
                  <w:tcBorders>
                    <w:tl2br w:val="nil"/>
                    <w:tr2bl w:val="nil"/>
                  </w:tcBorders>
                  <w:noWrap w:val="0"/>
                  <w:vAlign w:val="center"/>
                </w:tcPr>
                <w:p w14:paraId="0B301B47">
                  <w:pPr>
                    <w:pStyle w:val="74"/>
                    <w:spacing w:line="240" w:lineRule="auto"/>
                    <w:ind w:firstLine="0" w:firstLineChars="0"/>
                    <w:jc w:val="center"/>
                    <w:rPr>
                      <w:rFonts w:cs="Times New Roman"/>
                      <w:color w:val="auto"/>
                      <w:sz w:val="21"/>
                      <w:szCs w:val="21"/>
                      <w:highlight w:val="none"/>
                    </w:rPr>
                  </w:pPr>
                </w:p>
              </w:tc>
              <w:tc>
                <w:tcPr>
                  <w:tcW w:w="598" w:type="dxa"/>
                  <w:vMerge w:val="continue"/>
                  <w:tcBorders>
                    <w:tl2br w:val="nil"/>
                    <w:tr2bl w:val="nil"/>
                  </w:tcBorders>
                  <w:noWrap w:val="0"/>
                  <w:vAlign w:val="center"/>
                </w:tcPr>
                <w:p w14:paraId="3FF8741C">
                  <w:pPr>
                    <w:pStyle w:val="74"/>
                    <w:spacing w:line="240" w:lineRule="auto"/>
                    <w:ind w:firstLine="0" w:firstLineChars="0"/>
                    <w:jc w:val="center"/>
                    <w:rPr>
                      <w:rFonts w:cs="Times New Roman"/>
                      <w:color w:val="auto"/>
                      <w:sz w:val="21"/>
                      <w:szCs w:val="21"/>
                      <w:highlight w:val="none"/>
                    </w:rPr>
                  </w:pPr>
                </w:p>
              </w:tc>
              <w:tc>
                <w:tcPr>
                  <w:tcW w:w="538" w:type="dxa"/>
                  <w:vMerge w:val="continue"/>
                  <w:tcBorders>
                    <w:tl2br w:val="nil"/>
                    <w:tr2bl w:val="nil"/>
                  </w:tcBorders>
                  <w:noWrap w:val="0"/>
                  <w:vAlign w:val="center"/>
                </w:tcPr>
                <w:p w14:paraId="60828F25">
                  <w:pPr>
                    <w:pStyle w:val="74"/>
                    <w:spacing w:line="240" w:lineRule="auto"/>
                    <w:ind w:firstLine="0" w:firstLineChars="0"/>
                    <w:jc w:val="center"/>
                    <w:rPr>
                      <w:rFonts w:cs="Times New Roman"/>
                      <w:color w:val="auto"/>
                      <w:sz w:val="21"/>
                      <w:szCs w:val="21"/>
                      <w:highlight w:val="none"/>
                    </w:rPr>
                  </w:pPr>
                </w:p>
              </w:tc>
              <w:tc>
                <w:tcPr>
                  <w:tcW w:w="868" w:type="dxa"/>
                  <w:vMerge w:val="continue"/>
                  <w:tcBorders>
                    <w:tl2br w:val="nil"/>
                    <w:tr2bl w:val="nil"/>
                  </w:tcBorders>
                  <w:noWrap w:val="0"/>
                  <w:vAlign w:val="center"/>
                </w:tcPr>
                <w:p w14:paraId="4C3F7F3F">
                  <w:pPr>
                    <w:pStyle w:val="74"/>
                    <w:spacing w:line="240" w:lineRule="auto"/>
                    <w:ind w:firstLine="0" w:firstLineChars="0"/>
                    <w:jc w:val="center"/>
                    <w:rPr>
                      <w:rFonts w:cs="Times New Roman"/>
                      <w:color w:val="auto"/>
                      <w:sz w:val="21"/>
                      <w:szCs w:val="21"/>
                      <w:highlight w:val="none"/>
                    </w:rPr>
                  </w:pPr>
                </w:p>
              </w:tc>
              <w:tc>
                <w:tcPr>
                  <w:tcW w:w="450" w:type="dxa"/>
                  <w:vMerge w:val="continue"/>
                  <w:tcBorders>
                    <w:tl2br w:val="nil"/>
                    <w:tr2bl w:val="nil"/>
                  </w:tcBorders>
                  <w:noWrap w:val="0"/>
                  <w:vAlign w:val="center"/>
                </w:tcPr>
                <w:p w14:paraId="2F41D802">
                  <w:pPr>
                    <w:pStyle w:val="74"/>
                    <w:spacing w:line="240" w:lineRule="auto"/>
                    <w:ind w:firstLine="0" w:firstLineChars="0"/>
                    <w:jc w:val="center"/>
                    <w:rPr>
                      <w:rFonts w:cs="Times New Roman"/>
                      <w:color w:val="auto"/>
                      <w:sz w:val="21"/>
                      <w:szCs w:val="21"/>
                      <w:highlight w:val="none"/>
                    </w:rPr>
                  </w:pPr>
                </w:p>
              </w:tc>
              <w:tc>
                <w:tcPr>
                  <w:tcW w:w="515" w:type="dxa"/>
                  <w:vMerge w:val="continue"/>
                  <w:tcBorders>
                    <w:tl2br w:val="nil"/>
                    <w:tr2bl w:val="nil"/>
                  </w:tcBorders>
                  <w:noWrap w:val="0"/>
                  <w:vAlign w:val="center"/>
                </w:tcPr>
                <w:p w14:paraId="15062B2B">
                  <w:pPr>
                    <w:pStyle w:val="74"/>
                    <w:spacing w:line="240" w:lineRule="auto"/>
                    <w:ind w:firstLine="0" w:firstLineChars="0"/>
                    <w:jc w:val="center"/>
                    <w:rPr>
                      <w:rFonts w:cs="Times New Roman"/>
                      <w:color w:val="auto"/>
                      <w:sz w:val="21"/>
                      <w:szCs w:val="21"/>
                      <w:highlight w:val="none"/>
                    </w:rPr>
                  </w:pPr>
                </w:p>
              </w:tc>
              <w:tc>
                <w:tcPr>
                  <w:tcW w:w="839" w:type="dxa"/>
                  <w:tcBorders>
                    <w:tl2br w:val="nil"/>
                    <w:tr2bl w:val="nil"/>
                  </w:tcBorders>
                  <w:noWrap w:val="0"/>
                  <w:vAlign w:val="center"/>
                </w:tcPr>
                <w:p w14:paraId="3B55F93E">
                  <w:pPr>
                    <w:pStyle w:val="74"/>
                    <w:spacing w:line="240" w:lineRule="auto"/>
                    <w:ind w:firstLine="0" w:firstLineChars="0"/>
                    <w:jc w:val="center"/>
                    <w:rPr>
                      <w:rFonts w:eastAsia="宋体" w:cs="Times New Roman"/>
                      <w:color w:val="auto"/>
                      <w:sz w:val="21"/>
                      <w:szCs w:val="21"/>
                      <w:highlight w:val="none"/>
                      <w:lang w:val="en-US"/>
                    </w:rPr>
                  </w:pPr>
                  <w:r>
                    <w:rPr>
                      <w:rFonts w:hint="eastAsia" w:eastAsia="宋体" w:cs="Times New Roman"/>
                      <w:bCs/>
                      <w:color w:val="auto"/>
                      <w:sz w:val="21"/>
                      <w:szCs w:val="21"/>
                      <w:highlight w:val="none"/>
                      <w:lang w:val="en-US"/>
                    </w:rPr>
                    <w:t>NH</w:t>
                  </w:r>
                  <w:r>
                    <w:rPr>
                      <w:rFonts w:hint="eastAsia" w:eastAsia="宋体" w:cs="Times New Roman"/>
                      <w:bCs/>
                      <w:color w:val="auto"/>
                      <w:sz w:val="21"/>
                      <w:szCs w:val="21"/>
                      <w:highlight w:val="none"/>
                      <w:vertAlign w:val="subscript"/>
                      <w:lang w:val="en-US"/>
                    </w:rPr>
                    <w:t>3</w:t>
                  </w:r>
                  <w:r>
                    <w:rPr>
                      <w:rFonts w:hint="eastAsia" w:eastAsia="宋体" w:cs="Times New Roman"/>
                      <w:bCs/>
                      <w:color w:val="auto"/>
                      <w:sz w:val="21"/>
                      <w:szCs w:val="21"/>
                      <w:highlight w:val="none"/>
                      <w:lang w:val="en-US"/>
                    </w:rPr>
                    <w:t>-N</w:t>
                  </w:r>
                </w:p>
              </w:tc>
              <w:tc>
                <w:tcPr>
                  <w:tcW w:w="1317" w:type="dxa"/>
                  <w:tcBorders>
                    <w:tl2br w:val="nil"/>
                    <w:tr2bl w:val="nil"/>
                  </w:tcBorders>
                  <w:noWrap w:val="0"/>
                  <w:vAlign w:val="center"/>
                </w:tcPr>
                <w:p w14:paraId="5D48EC16">
                  <w:pPr>
                    <w:pStyle w:val="74"/>
                    <w:spacing w:line="240" w:lineRule="auto"/>
                    <w:ind w:firstLine="0" w:firstLineChars="0"/>
                    <w:jc w:val="center"/>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5（8）</w:t>
                  </w:r>
                </w:p>
              </w:tc>
            </w:tr>
            <w:tr w14:paraId="4770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409" w:type="dxa"/>
                  <w:vMerge w:val="continue"/>
                  <w:tcBorders>
                    <w:tl2br w:val="nil"/>
                    <w:tr2bl w:val="nil"/>
                  </w:tcBorders>
                  <w:noWrap w:val="0"/>
                  <w:vAlign w:val="center"/>
                </w:tcPr>
                <w:p w14:paraId="0651A0F7">
                  <w:pPr>
                    <w:pStyle w:val="74"/>
                    <w:spacing w:line="240" w:lineRule="auto"/>
                    <w:ind w:firstLine="0" w:firstLineChars="0"/>
                    <w:jc w:val="center"/>
                    <w:rPr>
                      <w:color w:val="auto"/>
                      <w:sz w:val="21"/>
                      <w:szCs w:val="21"/>
                      <w:highlight w:val="none"/>
                    </w:rPr>
                  </w:pPr>
                </w:p>
              </w:tc>
              <w:tc>
                <w:tcPr>
                  <w:tcW w:w="1220" w:type="dxa"/>
                  <w:vMerge w:val="continue"/>
                  <w:tcBorders>
                    <w:tl2br w:val="nil"/>
                    <w:tr2bl w:val="nil"/>
                  </w:tcBorders>
                  <w:noWrap w:val="0"/>
                  <w:vAlign w:val="center"/>
                </w:tcPr>
                <w:p w14:paraId="3AF2A297">
                  <w:pPr>
                    <w:pStyle w:val="74"/>
                    <w:spacing w:line="240" w:lineRule="auto"/>
                    <w:ind w:firstLine="0" w:firstLineChars="0"/>
                    <w:jc w:val="center"/>
                    <w:rPr>
                      <w:color w:val="auto"/>
                      <w:sz w:val="21"/>
                      <w:szCs w:val="21"/>
                      <w:highlight w:val="none"/>
                    </w:rPr>
                  </w:pPr>
                </w:p>
              </w:tc>
              <w:tc>
                <w:tcPr>
                  <w:tcW w:w="1117" w:type="dxa"/>
                  <w:vMerge w:val="continue"/>
                  <w:tcBorders>
                    <w:tl2br w:val="nil"/>
                    <w:tr2bl w:val="nil"/>
                  </w:tcBorders>
                  <w:noWrap w:val="0"/>
                  <w:vAlign w:val="center"/>
                </w:tcPr>
                <w:p w14:paraId="00C39D1B">
                  <w:pPr>
                    <w:pStyle w:val="74"/>
                    <w:spacing w:line="240" w:lineRule="auto"/>
                    <w:ind w:firstLine="0" w:firstLineChars="0"/>
                    <w:jc w:val="center"/>
                    <w:rPr>
                      <w:color w:val="auto"/>
                      <w:sz w:val="21"/>
                      <w:szCs w:val="21"/>
                      <w:highlight w:val="none"/>
                    </w:rPr>
                  </w:pPr>
                </w:p>
              </w:tc>
              <w:tc>
                <w:tcPr>
                  <w:tcW w:w="598" w:type="dxa"/>
                  <w:vMerge w:val="continue"/>
                  <w:tcBorders>
                    <w:tl2br w:val="nil"/>
                    <w:tr2bl w:val="nil"/>
                  </w:tcBorders>
                  <w:noWrap w:val="0"/>
                  <w:vAlign w:val="center"/>
                </w:tcPr>
                <w:p w14:paraId="6ED1F0CE">
                  <w:pPr>
                    <w:pStyle w:val="74"/>
                    <w:spacing w:line="240" w:lineRule="auto"/>
                    <w:ind w:firstLine="0" w:firstLineChars="0"/>
                    <w:jc w:val="center"/>
                    <w:rPr>
                      <w:color w:val="auto"/>
                      <w:sz w:val="21"/>
                      <w:szCs w:val="21"/>
                      <w:highlight w:val="none"/>
                    </w:rPr>
                  </w:pPr>
                </w:p>
              </w:tc>
              <w:tc>
                <w:tcPr>
                  <w:tcW w:w="538" w:type="dxa"/>
                  <w:vMerge w:val="continue"/>
                  <w:tcBorders>
                    <w:tl2br w:val="nil"/>
                    <w:tr2bl w:val="nil"/>
                  </w:tcBorders>
                  <w:noWrap w:val="0"/>
                  <w:vAlign w:val="center"/>
                </w:tcPr>
                <w:p w14:paraId="6C084A68">
                  <w:pPr>
                    <w:pStyle w:val="74"/>
                    <w:spacing w:line="240" w:lineRule="auto"/>
                    <w:ind w:firstLine="0" w:firstLineChars="0"/>
                    <w:jc w:val="center"/>
                    <w:rPr>
                      <w:color w:val="auto"/>
                      <w:sz w:val="21"/>
                      <w:szCs w:val="21"/>
                      <w:highlight w:val="none"/>
                    </w:rPr>
                  </w:pPr>
                </w:p>
              </w:tc>
              <w:tc>
                <w:tcPr>
                  <w:tcW w:w="868" w:type="dxa"/>
                  <w:vMerge w:val="continue"/>
                  <w:tcBorders>
                    <w:tl2br w:val="nil"/>
                    <w:tr2bl w:val="nil"/>
                  </w:tcBorders>
                  <w:noWrap w:val="0"/>
                  <w:vAlign w:val="center"/>
                </w:tcPr>
                <w:p w14:paraId="58251012">
                  <w:pPr>
                    <w:pStyle w:val="74"/>
                    <w:spacing w:line="240" w:lineRule="auto"/>
                    <w:ind w:firstLine="0" w:firstLineChars="0"/>
                    <w:jc w:val="center"/>
                    <w:rPr>
                      <w:color w:val="auto"/>
                      <w:sz w:val="21"/>
                      <w:szCs w:val="21"/>
                      <w:highlight w:val="none"/>
                    </w:rPr>
                  </w:pPr>
                </w:p>
              </w:tc>
              <w:tc>
                <w:tcPr>
                  <w:tcW w:w="450" w:type="dxa"/>
                  <w:vMerge w:val="continue"/>
                  <w:tcBorders>
                    <w:tl2br w:val="nil"/>
                    <w:tr2bl w:val="nil"/>
                  </w:tcBorders>
                  <w:noWrap w:val="0"/>
                  <w:vAlign w:val="center"/>
                </w:tcPr>
                <w:p w14:paraId="3FEE8FA7">
                  <w:pPr>
                    <w:pStyle w:val="74"/>
                    <w:spacing w:line="240" w:lineRule="auto"/>
                    <w:ind w:firstLine="0" w:firstLineChars="0"/>
                    <w:jc w:val="center"/>
                    <w:rPr>
                      <w:color w:val="auto"/>
                      <w:sz w:val="21"/>
                      <w:szCs w:val="21"/>
                      <w:highlight w:val="none"/>
                    </w:rPr>
                  </w:pPr>
                </w:p>
              </w:tc>
              <w:tc>
                <w:tcPr>
                  <w:tcW w:w="515" w:type="dxa"/>
                  <w:vMerge w:val="continue"/>
                  <w:tcBorders>
                    <w:tl2br w:val="nil"/>
                    <w:tr2bl w:val="nil"/>
                  </w:tcBorders>
                  <w:noWrap w:val="0"/>
                  <w:vAlign w:val="center"/>
                </w:tcPr>
                <w:p w14:paraId="617DCE5A">
                  <w:pPr>
                    <w:pStyle w:val="74"/>
                    <w:spacing w:line="240" w:lineRule="auto"/>
                    <w:ind w:firstLine="0" w:firstLineChars="0"/>
                    <w:jc w:val="center"/>
                    <w:rPr>
                      <w:color w:val="auto"/>
                      <w:sz w:val="21"/>
                      <w:szCs w:val="21"/>
                      <w:highlight w:val="none"/>
                    </w:rPr>
                  </w:pPr>
                </w:p>
              </w:tc>
              <w:tc>
                <w:tcPr>
                  <w:tcW w:w="839" w:type="dxa"/>
                  <w:tcBorders>
                    <w:tl2br w:val="nil"/>
                    <w:tr2bl w:val="nil"/>
                  </w:tcBorders>
                  <w:noWrap w:val="0"/>
                  <w:vAlign w:val="center"/>
                </w:tcPr>
                <w:p w14:paraId="5E156D51">
                  <w:pPr>
                    <w:pStyle w:val="74"/>
                    <w:spacing w:line="240" w:lineRule="auto"/>
                    <w:ind w:firstLine="0" w:firstLineChars="0"/>
                    <w:jc w:val="center"/>
                    <w:rPr>
                      <w:rFonts w:eastAsia="宋体" w:cs="Times New Roman"/>
                      <w:bCs/>
                      <w:color w:val="auto"/>
                      <w:sz w:val="21"/>
                      <w:szCs w:val="21"/>
                      <w:highlight w:val="none"/>
                      <w:lang w:val="en-US"/>
                    </w:rPr>
                  </w:pPr>
                  <w:r>
                    <w:rPr>
                      <w:rFonts w:hint="eastAsia" w:eastAsia="宋体" w:cs="Times New Roman"/>
                      <w:bCs/>
                      <w:color w:val="auto"/>
                      <w:sz w:val="21"/>
                      <w:szCs w:val="21"/>
                      <w:highlight w:val="none"/>
                      <w:lang w:val="en-US"/>
                    </w:rPr>
                    <w:t>总N</w:t>
                  </w:r>
                </w:p>
              </w:tc>
              <w:tc>
                <w:tcPr>
                  <w:tcW w:w="1317" w:type="dxa"/>
                  <w:tcBorders>
                    <w:tl2br w:val="nil"/>
                    <w:tr2bl w:val="nil"/>
                  </w:tcBorders>
                  <w:noWrap w:val="0"/>
                  <w:vAlign w:val="center"/>
                </w:tcPr>
                <w:p w14:paraId="4F2B849E">
                  <w:pPr>
                    <w:pStyle w:val="74"/>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15</w:t>
                  </w:r>
                </w:p>
              </w:tc>
            </w:tr>
            <w:tr w14:paraId="5FE6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409" w:type="dxa"/>
                  <w:vMerge w:val="continue"/>
                  <w:tcBorders>
                    <w:tl2br w:val="nil"/>
                    <w:tr2bl w:val="nil"/>
                  </w:tcBorders>
                  <w:noWrap w:val="0"/>
                  <w:vAlign w:val="center"/>
                </w:tcPr>
                <w:p w14:paraId="0A901D1F">
                  <w:pPr>
                    <w:pStyle w:val="74"/>
                    <w:spacing w:line="240" w:lineRule="auto"/>
                    <w:ind w:firstLine="0" w:firstLineChars="0"/>
                    <w:jc w:val="center"/>
                    <w:rPr>
                      <w:rFonts w:hint="eastAsia" w:eastAsia="宋体" w:cs="Times New Roman"/>
                      <w:bCs/>
                      <w:color w:val="auto"/>
                      <w:sz w:val="21"/>
                      <w:szCs w:val="21"/>
                      <w:highlight w:val="none"/>
                      <w:lang w:val="en-US"/>
                    </w:rPr>
                  </w:pPr>
                </w:p>
              </w:tc>
              <w:tc>
                <w:tcPr>
                  <w:tcW w:w="1220" w:type="dxa"/>
                  <w:vMerge w:val="continue"/>
                  <w:tcBorders>
                    <w:tl2br w:val="nil"/>
                    <w:tr2bl w:val="nil"/>
                  </w:tcBorders>
                  <w:noWrap w:val="0"/>
                  <w:vAlign w:val="center"/>
                </w:tcPr>
                <w:p w14:paraId="09D5E88B">
                  <w:pPr>
                    <w:pStyle w:val="74"/>
                    <w:spacing w:line="240" w:lineRule="auto"/>
                    <w:ind w:firstLine="0" w:firstLineChars="0"/>
                    <w:jc w:val="center"/>
                    <w:rPr>
                      <w:rFonts w:hint="eastAsia" w:eastAsia="宋体" w:cs="Times New Roman"/>
                      <w:bCs/>
                      <w:color w:val="auto"/>
                      <w:sz w:val="21"/>
                      <w:szCs w:val="21"/>
                      <w:highlight w:val="none"/>
                      <w:lang w:val="en-US"/>
                    </w:rPr>
                  </w:pPr>
                </w:p>
              </w:tc>
              <w:tc>
                <w:tcPr>
                  <w:tcW w:w="1117" w:type="dxa"/>
                  <w:vMerge w:val="continue"/>
                  <w:tcBorders>
                    <w:tl2br w:val="nil"/>
                    <w:tr2bl w:val="nil"/>
                  </w:tcBorders>
                  <w:noWrap w:val="0"/>
                  <w:vAlign w:val="center"/>
                </w:tcPr>
                <w:p w14:paraId="4CB273F6">
                  <w:pPr>
                    <w:pStyle w:val="74"/>
                    <w:spacing w:line="240" w:lineRule="auto"/>
                    <w:ind w:firstLine="0" w:firstLineChars="0"/>
                    <w:jc w:val="center"/>
                    <w:rPr>
                      <w:rFonts w:hint="eastAsia" w:eastAsia="宋体" w:cs="Times New Roman"/>
                      <w:bCs/>
                      <w:color w:val="auto"/>
                      <w:sz w:val="21"/>
                      <w:szCs w:val="21"/>
                      <w:highlight w:val="none"/>
                      <w:lang w:val="en-US"/>
                    </w:rPr>
                  </w:pPr>
                </w:p>
              </w:tc>
              <w:tc>
                <w:tcPr>
                  <w:tcW w:w="598" w:type="dxa"/>
                  <w:vMerge w:val="continue"/>
                  <w:tcBorders>
                    <w:tl2br w:val="nil"/>
                    <w:tr2bl w:val="nil"/>
                  </w:tcBorders>
                  <w:noWrap w:val="0"/>
                  <w:vAlign w:val="center"/>
                </w:tcPr>
                <w:p w14:paraId="281D5470">
                  <w:pPr>
                    <w:pStyle w:val="74"/>
                    <w:spacing w:line="240" w:lineRule="auto"/>
                    <w:ind w:firstLine="0" w:firstLineChars="0"/>
                    <w:jc w:val="center"/>
                    <w:rPr>
                      <w:rFonts w:hint="eastAsia" w:eastAsia="宋体" w:cs="Times New Roman"/>
                      <w:bCs/>
                      <w:color w:val="auto"/>
                      <w:sz w:val="21"/>
                      <w:szCs w:val="21"/>
                      <w:highlight w:val="none"/>
                      <w:lang w:val="en-US"/>
                    </w:rPr>
                  </w:pPr>
                </w:p>
              </w:tc>
              <w:tc>
                <w:tcPr>
                  <w:tcW w:w="538" w:type="dxa"/>
                  <w:vMerge w:val="continue"/>
                  <w:tcBorders>
                    <w:tl2br w:val="nil"/>
                    <w:tr2bl w:val="nil"/>
                  </w:tcBorders>
                  <w:noWrap w:val="0"/>
                  <w:vAlign w:val="center"/>
                </w:tcPr>
                <w:p w14:paraId="0D9FD3C9">
                  <w:pPr>
                    <w:pStyle w:val="74"/>
                    <w:spacing w:line="240" w:lineRule="auto"/>
                    <w:ind w:firstLine="0" w:firstLineChars="0"/>
                    <w:jc w:val="center"/>
                    <w:rPr>
                      <w:rFonts w:hint="eastAsia" w:eastAsia="宋体" w:cs="Times New Roman"/>
                      <w:bCs/>
                      <w:color w:val="auto"/>
                      <w:sz w:val="21"/>
                      <w:szCs w:val="21"/>
                      <w:highlight w:val="none"/>
                      <w:lang w:val="en-US"/>
                    </w:rPr>
                  </w:pPr>
                </w:p>
              </w:tc>
              <w:tc>
                <w:tcPr>
                  <w:tcW w:w="868" w:type="dxa"/>
                  <w:vMerge w:val="continue"/>
                  <w:tcBorders>
                    <w:tl2br w:val="nil"/>
                    <w:tr2bl w:val="nil"/>
                  </w:tcBorders>
                  <w:noWrap w:val="0"/>
                  <w:vAlign w:val="center"/>
                </w:tcPr>
                <w:p w14:paraId="66F57019">
                  <w:pPr>
                    <w:pStyle w:val="74"/>
                    <w:spacing w:line="240" w:lineRule="auto"/>
                    <w:ind w:firstLine="0" w:firstLineChars="0"/>
                    <w:jc w:val="center"/>
                    <w:rPr>
                      <w:rFonts w:hint="eastAsia" w:eastAsia="宋体" w:cs="Times New Roman"/>
                      <w:bCs/>
                      <w:color w:val="auto"/>
                      <w:sz w:val="21"/>
                      <w:szCs w:val="21"/>
                      <w:highlight w:val="none"/>
                      <w:lang w:val="en-US"/>
                    </w:rPr>
                  </w:pPr>
                </w:p>
              </w:tc>
              <w:tc>
                <w:tcPr>
                  <w:tcW w:w="450" w:type="dxa"/>
                  <w:vMerge w:val="continue"/>
                  <w:tcBorders>
                    <w:tl2br w:val="nil"/>
                    <w:tr2bl w:val="nil"/>
                  </w:tcBorders>
                  <w:noWrap w:val="0"/>
                  <w:vAlign w:val="center"/>
                </w:tcPr>
                <w:p w14:paraId="040BC1B8">
                  <w:pPr>
                    <w:pStyle w:val="74"/>
                    <w:spacing w:line="240" w:lineRule="auto"/>
                    <w:ind w:firstLine="0" w:firstLineChars="0"/>
                    <w:jc w:val="center"/>
                    <w:rPr>
                      <w:rFonts w:hint="eastAsia" w:eastAsia="宋体" w:cs="Times New Roman"/>
                      <w:bCs/>
                      <w:color w:val="auto"/>
                      <w:sz w:val="21"/>
                      <w:szCs w:val="21"/>
                      <w:highlight w:val="none"/>
                      <w:lang w:val="en-US"/>
                    </w:rPr>
                  </w:pPr>
                </w:p>
              </w:tc>
              <w:tc>
                <w:tcPr>
                  <w:tcW w:w="515" w:type="dxa"/>
                  <w:vMerge w:val="continue"/>
                  <w:tcBorders>
                    <w:tl2br w:val="nil"/>
                    <w:tr2bl w:val="nil"/>
                  </w:tcBorders>
                  <w:noWrap w:val="0"/>
                  <w:vAlign w:val="center"/>
                </w:tcPr>
                <w:p w14:paraId="01BA9EA6">
                  <w:pPr>
                    <w:pStyle w:val="74"/>
                    <w:spacing w:line="240" w:lineRule="auto"/>
                    <w:ind w:firstLine="0" w:firstLineChars="0"/>
                    <w:jc w:val="center"/>
                    <w:rPr>
                      <w:rFonts w:hint="eastAsia" w:eastAsia="宋体" w:cs="Times New Roman"/>
                      <w:bCs/>
                      <w:color w:val="auto"/>
                      <w:sz w:val="21"/>
                      <w:szCs w:val="21"/>
                      <w:highlight w:val="none"/>
                      <w:lang w:val="en-US"/>
                    </w:rPr>
                  </w:pPr>
                </w:p>
              </w:tc>
              <w:tc>
                <w:tcPr>
                  <w:tcW w:w="839" w:type="dxa"/>
                  <w:tcBorders>
                    <w:tl2br w:val="nil"/>
                    <w:tr2bl w:val="nil"/>
                  </w:tcBorders>
                  <w:noWrap w:val="0"/>
                  <w:vAlign w:val="center"/>
                </w:tcPr>
                <w:p w14:paraId="188A99F7">
                  <w:pPr>
                    <w:pStyle w:val="74"/>
                    <w:spacing w:line="240" w:lineRule="auto"/>
                    <w:ind w:firstLine="0" w:firstLineChars="0"/>
                    <w:jc w:val="center"/>
                    <w:rPr>
                      <w:rFonts w:eastAsia="宋体" w:cs="Times New Roman"/>
                      <w:bCs/>
                      <w:color w:val="auto"/>
                      <w:sz w:val="21"/>
                      <w:szCs w:val="21"/>
                      <w:highlight w:val="none"/>
                      <w:lang w:val="en-US"/>
                    </w:rPr>
                  </w:pPr>
                  <w:r>
                    <w:rPr>
                      <w:rFonts w:hint="eastAsia" w:eastAsia="宋体" w:cs="Times New Roman"/>
                      <w:bCs/>
                      <w:color w:val="auto"/>
                      <w:sz w:val="21"/>
                      <w:szCs w:val="21"/>
                      <w:highlight w:val="none"/>
                      <w:lang w:val="en-US"/>
                    </w:rPr>
                    <w:t>总P</w:t>
                  </w:r>
                </w:p>
              </w:tc>
              <w:tc>
                <w:tcPr>
                  <w:tcW w:w="1317" w:type="dxa"/>
                  <w:tcBorders>
                    <w:tl2br w:val="nil"/>
                    <w:tr2bl w:val="nil"/>
                  </w:tcBorders>
                  <w:noWrap w:val="0"/>
                  <w:vAlign w:val="center"/>
                </w:tcPr>
                <w:p w14:paraId="16D8A26E">
                  <w:pPr>
                    <w:pStyle w:val="74"/>
                    <w:spacing w:line="240" w:lineRule="auto"/>
                    <w:ind w:firstLine="0" w:firstLineChars="0"/>
                    <w:jc w:val="center"/>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0.5</w:t>
                  </w:r>
                </w:p>
              </w:tc>
            </w:tr>
            <w:tr w14:paraId="38DE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7871" w:type="dxa"/>
                  <w:gridSpan w:val="10"/>
                  <w:tcBorders>
                    <w:tl2br w:val="nil"/>
                    <w:tr2bl w:val="nil"/>
                  </w:tcBorders>
                  <w:noWrap w:val="0"/>
                  <w:vAlign w:val="center"/>
                </w:tcPr>
                <w:p w14:paraId="3BB84A9C">
                  <w:pPr>
                    <w:pStyle w:val="74"/>
                    <w:spacing w:line="240" w:lineRule="auto"/>
                    <w:ind w:firstLine="0" w:firstLineChars="0"/>
                    <w:jc w:val="center"/>
                    <w:rPr>
                      <w:rFonts w:hint="eastAsia"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注：1.括号外数值为大于12℃时的控制指标，括号内数值为≤12℃时的指标。</w:t>
                  </w:r>
                </w:p>
                <w:p w14:paraId="34CE1BC9">
                  <w:pPr>
                    <w:pStyle w:val="74"/>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2.上表仅统计项目生活污水量及纯水设备浓水、反冲洗废水、锅炉废水量，其余生产废水依托园区其他企业代为处理，故本次不在上表统计。</w:t>
                  </w:r>
                </w:p>
              </w:tc>
            </w:tr>
          </w:tbl>
          <w:p w14:paraId="278B3535">
            <w:pPr>
              <w:pStyle w:val="43"/>
              <w:numPr>
                <w:ilvl w:val="0"/>
                <w:numId w:val="14"/>
              </w:numPr>
              <w:snapToGrid w:val="0"/>
              <w:spacing w:line="360" w:lineRule="auto"/>
              <w:ind w:firstLine="480" w:firstLineChars="200"/>
              <w:rPr>
                <w:rFonts w:ascii="Times New Roman" w:cs="Times New Roman"/>
                <w:color w:val="auto"/>
                <w:szCs w:val="32"/>
                <w:highlight w:val="none"/>
              </w:rPr>
            </w:pPr>
            <w:r>
              <w:rPr>
                <w:rFonts w:ascii="Times New Roman" w:cs="Times New Roman"/>
                <w:color w:val="auto"/>
                <w:szCs w:val="32"/>
                <w:highlight w:val="none"/>
              </w:rPr>
              <w:t>监测计划</w:t>
            </w:r>
          </w:p>
          <w:p w14:paraId="0EF75E37">
            <w:pPr>
              <w:pStyle w:val="43"/>
              <w:numPr>
                <w:ilvl w:val="0"/>
                <w:numId w:val="0"/>
              </w:numPr>
              <w:snapToGrid w:val="0"/>
              <w:spacing w:line="360" w:lineRule="auto"/>
              <w:ind w:firstLine="480" w:firstLineChars="200"/>
              <w:jc w:val="both"/>
              <w:rPr>
                <w:rFonts w:hint="eastAsia" w:ascii="Times New Roman" w:eastAsia="宋体" w:cs="Times New Roman"/>
                <w:color w:val="auto"/>
                <w:szCs w:val="32"/>
                <w:highlight w:val="none"/>
                <w:lang w:eastAsia="zh-CN"/>
              </w:rPr>
            </w:pPr>
            <w:r>
              <w:rPr>
                <w:rFonts w:hint="default" w:ascii="Times New Roman" w:hAnsi="Times New Roman" w:cs="Times New Roman"/>
                <w:color w:val="auto"/>
                <w:sz w:val="24"/>
                <w:highlight w:val="none"/>
              </w:rPr>
              <w:t>根据</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排污许可证申请与核发技术规范 酒、饮料制造工业(HJ 1028—2019)</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以及</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排污单位自行监测技术指南 酒、饮料制造（HJ 1085—2020）</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中的要求</w:t>
            </w:r>
            <w:r>
              <w:rPr>
                <w:rFonts w:hint="eastAsia" w:ascii="Times New Roman" w:hAnsi="Times New Roman" w:cs="Times New Roman"/>
                <w:color w:val="auto"/>
                <w:sz w:val="24"/>
                <w:highlight w:val="none"/>
                <w:lang w:eastAsia="zh-CN"/>
              </w:rPr>
              <w:t>，确定</w:t>
            </w:r>
            <w:r>
              <w:rPr>
                <w:rFonts w:hint="eastAsia" w:ascii="Times New Roman" w:cs="Times New Roman"/>
                <w:color w:val="auto"/>
                <w:szCs w:val="32"/>
                <w:highlight w:val="none"/>
                <w:lang w:eastAsia="zh-CN"/>
              </w:rPr>
              <w:t>本项目废水监测计划如下：</w:t>
            </w:r>
          </w:p>
          <w:p w14:paraId="53B3D541">
            <w:pPr>
              <w:adjustRightInd w:val="0"/>
              <w:snapToGrid w:val="0"/>
              <w:jc w:val="center"/>
              <w:rPr>
                <w:b/>
                <w:color w:val="auto"/>
                <w:szCs w:val="21"/>
                <w:highlight w:val="none"/>
              </w:rPr>
            </w:pPr>
            <w:r>
              <w:rPr>
                <w:b/>
                <w:color w:val="auto"/>
                <w:szCs w:val="21"/>
                <w:highlight w:val="none"/>
              </w:rPr>
              <w:t>表4-</w:t>
            </w:r>
            <w:r>
              <w:rPr>
                <w:rFonts w:hint="eastAsia"/>
                <w:b/>
                <w:color w:val="auto"/>
                <w:szCs w:val="21"/>
                <w:highlight w:val="none"/>
                <w:lang w:val="en-US" w:eastAsia="zh-CN"/>
              </w:rPr>
              <w:t>7</w:t>
            </w:r>
            <w:r>
              <w:rPr>
                <w:rFonts w:hint="eastAsia"/>
                <w:b/>
                <w:color w:val="auto"/>
                <w:szCs w:val="21"/>
                <w:highlight w:val="none"/>
              </w:rPr>
              <w:t xml:space="preserve"> </w:t>
            </w:r>
            <w:r>
              <w:rPr>
                <w:b/>
                <w:color w:val="auto"/>
                <w:szCs w:val="21"/>
                <w:highlight w:val="none"/>
              </w:rPr>
              <w:t xml:space="preserve">  污染物排放监测计划</w:t>
            </w:r>
          </w:p>
          <w:tbl>
            <w:tblPr>
              <w:tblStyle w:val="28"/>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32"/>
              <w:gridCol w:w="1517"/>
              <w:gridCol w:w="811"/>
              <w:gridCol w:w="811"/>
              <w:gridCol w:w="1783"/>
              <w:gridCol w:w="2344"/>
            </w:tblGrid>
            <w:tr w14:paraId="31E4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50" w:hRule="atLeast"/>
                <w:jc w:val="center"/>
              </w:trPr>
              <w:tc>
                <w:tcPr>
                  <w:tcW w:w="732" w:type="dxa"/>
                  <w:tcBorders>
                    <w:tl2br w:val="nil"/>
                    <w:tr2bl w:val="nil"/>
                  </w:tcBorders>
                  <w:noWrap w:val="0"/>
                  <w:vAlign w:val="center"/>
                </w:tcPr>
                <w:p w14:paraId="1B7C6CFA">
                  <w:pPr>
                    <w:snapToGrid w:val="0"/>
                    <w:jc w:val="center"/>
                    <w:rPr>
                      <w:b/>
                      <w:bCs/>
                      <w:color w:val="auto"/>
                      <w:kern w:val="0"/>
                      <w:szCs w:val="21"/>
                      <w:highlight w:val="none"/>
                    </w:rPr>
                  </w:pPr>
                  <w:r>
                    <w:rPr>
                      <w:b/>
                      <w:bCs/>
                      <w:color w:val="auto"/>
                      <w:kern w:val="0"/>
                      <w:szCs w:val="21"/>
                      <w:highlight w:val="none"/>
                    </w:rPr>
                    <w:t>类别</w:t>
                  </w:r>
                </w:p>
              </w:tc>
              <w:tc>
                <w:tcPr>
                  <w:tcW w:w="1517" w:type="dxa"/>
                  <w:tcBorders>
                    <w:tl2br w:val="nil"/>
                    <w:tr2bl w:val="nil"/>
                  </w:tcBorders>
                  <w:noWrap w:val="0"/>
                  <w:vAlign w:val="center"/>
                </w:tcPr>
                <w:p w14:paraId="7EB81D1A">
                  <w:pPr>
                    <w:snapToGrid w:val="0"/>
                    <w:jc w:val="center"/>
                    <w:rPr>
                      <w:b/>
                      <w:bCs/>
                      <w:color w:val="auto"/>
                      <w:kern w:val="0"/>
                      <w:szCs w:val="21"/>
                      <w:highlight w:val="none"/>
                    </w:rPr>
                  </w:pPr>
                  <w:r>
                    <w:rPr>
                      <w:b/>
                      <w:bCs/>
                      <w:color w:val="auto"/>
                      <w:kern w:val="0"/>
                      <w:szCs w:val="21"/>
                      <w:highlight w:val="none"/>
                    </w:rPr>
                    <w:t>监测点位</w:t>
                  </w:r>
                </w:p>
              </w:tc>
              <w:tc>
                <w:tcPr>
                  <w:tcW w:w="811" w:type="dxa"/>
                  <w:tcBorders>
                    <w:tl2br w:val="nil"/>
                    <w:tr2bl w:val="nil"/>
                  </w:tcBorders>
                  <w:noWrap w:val="0"/>
                  <w:vAlign w:val="center"/>
                </w:tcPr>
                <w:p w14:paraId="2A7C30D1">
                  <w:pPr>
                    <w:snapToGrid w:val="0"/>
                    <w:jc w:val="center"/>
                    <w:rPr>
                      <w:rFonts w:hint="eastAsia"/>
                      <w:b/>
                      <w:bCs/>
                      <w:color w:val="auto"/>
                      <w:kern w:val="0"/>
                      <w:szCs w:val="21"/>
                      <w:highlight w:val="none"/>
                      <w:lang w:val="en-US" w:eastAsia="zh-CN"/>
                    </w:rPr>
                  </w:pPr>
                  <w:r>
                    <w:rPr>
                      <w:rFonts w:hint="eastAsia"/>
                      <w:b/>
                      <w:bCs/>
                      <w:color w:val="auto"/>
                      <w:kern w:val="0"/>
                      <w:szCs w:val="21"/>
                      <w:highlight w:val="none"/>
                      <w:lang w:val="en-US" w:eastAsia="zh-CN"/>
                    </w:rPr>
                    <w:t>排放</w:t>
                  </w:r>
                </w:p>
                <w:p w14:paraId="4258EC7C">
                  <w:pPr>
                    <w:snapToGrid w:val="0"/>
                    <w:jc w:val="center"/>
                    <w:rPr>
                      <w:rFonts w:hint="eastAsia" w:eastAsia="宋体"/>
                      <w:b/>
                      <w:bCs/>
                      <w:color w:val="auto"/>
                      <w:kern w:val="0"/>
                      <w:szCs w:val="21"/>
                      <w:highlight w:val="none"/>
                      <w:lang w:val="en-US" w:eastAsia="zh-CN"/>
                    </w:rPr>
                  </w:pPr>
                  <w:r>
                    <w:rPr>
                      <w:rFonts w:hint="eastAsia"/>
                      <w:b/>
                      <w:bCs/>
                      <w:color w:val="auto"/>
                      <w:kern w:val="0"/>
                      <w:szCs w:val="21"/>
                      <w:highlight w:val="none"/>
                      <w:lang w:val="en-US" w:eastAsia="zh-CN"/>
                    </w:rPr>
                    <w:t>方式</w:t>
                  </w:r>
                </w:p>
              </w:tc>
              <w:tc>
                <w:tcPr>
                  <w:tcW w:w="811" w:type="dxa"/>
                  <w:tcBorders>
                    <w:tl2br w:val="nil"/>
                    <w:tr2bl w:val="nil"/>
                  </w:tcBorders>
                  <w:noWrap w:val="0"/>
                  <w:vAlign w:val="center"/>
                </w:tcPr>
                <w:p w14:paraId="5347CE2A">
                  <w:pPr>
                    <w:snapToGrid w:val="0"/>
                    <w:jc w:val="center"/>
                    <w:rPr>
                      <w:b/>
                      <w:bCs/>
                      <w:color w:val="auto"/>
                      <w:kern w:val="0"/>
                      <w:szCs w:val="21"/>
                      <w:highlight w:val="none"/>
                    </w:rPr>
                  </w:pPr>
                  <w:r>
                    <w:rPr>
                      <w:b/>
                      <w:bCs/>
                      <w:color w:val="auto"/>
                      <w:kern w:val="0"/>
                      <w:szCs w:val="21"/>
                      <w:highlight w:val="none"/>
                    </w:rPr>
                    <w:t>监测</w:t>
                  </w:r>
                </w:p>
                <w:p w14:paraId="3A9B74DC">
                  <w:pPr>
                    <w:snapToGrid w:val="0"/>
                    <w:jc w:val="center"/>
                    <w:rPr>
                      <w:b/>
                      <w:bCs/>
                      <w:color w:val="auto"/>
                      <w:kern w:val="0"/>
                      <w:szCs w:val="21"/>
                      <w:highlight w:val="none"/>
                    </w:rPr>
                  </w:pPr>
                  <w:r>
                    <w:rPr>
                      <w:b/>
                      <w:bCs/>
                      <w:color w:val="auto"/>
                      <w:kern w:val="0"/>
                      <w:szCs w:val="21"/>
                      <w:highlight w:val="none"/>
                    </w:rPr>
                    <w:t>频次</w:t>
                  </w:r>
                </w:p>
              </w:tc>
              <w:tc>
                <w:tcPr>
                  <w:tcW w:w="1783" w:type="dxa"/>
                  <w:tcBorders>
                    <w:tl2br w:val="nil"/>
                    <w:tr2bl w:val="nil"/>
                  </w:tcBorders>
                  <w:noWrap w:val="0"/>
                  <w:vAlign w:val="center"/>
                </w:tcPr>
                <w:p w14:paraId="72351584">
                  <w:pPr>
                    <w:snapToGrid w:val="0"/>
                    <w:jc w:val="center"/>
                    <w:rPr>
                      <w:b/>
                      <w:bCs/>
                      <w:color w:val="auto"/>
                      <w:kern w:val="0"/>
                      <w:szCs w:val="21"/>
                      <w:highlight w:val="none"/>
                    </w:rPr>
                  </w:pPr>
                  <w:r>
                    <w:rPr>
                      <w:b/>
                      <w:bCs/>
                      <w:color w:val="auto"/>
                      <w:kern w:val="0"/>
                      <w:szCs w:val="21"/>
                      <w:highlight w:val="none"/>
                    </w:rPr>
                    <w:t>监测项目</w:t>
                  </w:r>
                </w:p>
              </w:tc>
              <w:tc>
                <w:tcPr>
                  <w:tcW w:w="2344" w:type="dxa"/>
                  <w:tcBorders>
                    <w:tl2br w:val="nil"/>
                    <w:tr2bl w:val="nil"/>
                  </w:tcBorders>
                  <w:noWrap w:val="0"/>
                  <w:vAlign w:val="center"/>
                </w:tcPr>
                <w:p w14:paraId="50985F9E">
                  <w:pPr>
                    <w:snapToGrid w:val="0"/>
                    <w:jc w:val="center"/>
                    <w:rPr>
                      <w:b/>
                      <w:bCs/>
                      <w:color w:val="auto"/>
                      <w:kern w:val="0"/>
                      <w:szCs w:val="21"/>
                      <w:highlight w:val="none"/>
                    </w:rPr>
                  </w:pPr>
                  <w:r>
                    <w:rPr>
                      <w:b/>
                      <w:bCs/>
                      <w:color w:val="auto"/>
                      <w:kern w:val="0"/>
                      <w:szCs w:val="21"/>
                      <w:highlight w:val="none"/>
                    </w:rPr>
                    <w:t>执行标准</w:t>
                  </w:r>
                </w:p>
              </w:tc>
            </w:tr>
            <w:tr w14:paraId="45BC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302" w:hRule="atLeast"/>
                <w:jc w:val="center"/>
              </w:trPr>
              <w:tc>
                <w:tcPr>
                  <w:tcW w:w="732" w:type="dxa"/>
                  <w:tcBorders>
                    <w:tl2br w:val="nil"/>
                    <w:tr2bl w:val="nil"/>
                  </w:tcBorders>
                  <w:noWrap w:val="0"/>
                  <w:vAlign w:val="center"/>
                </w:tcPr>
                <w:p w14:paraId="40DE95D1">
                  <w:pPr>
                    <w:snapToGrid w:val="0"/>
                    <w:jc w:val="center"/>
                    <w:rPr>
                      <w:color w:val="auto"/>
                      <w:kern w:val="0"/>
                      <w:szCs w:val="21"/>
                      <w:highlight w:val="none"/>
                    </w:rPr>
                  </w:pPr>
                  <w:r>
                    <w:rPr>
                      <w:color w:val="auto"/>
                      <w:kern w:val="0"/>
                      <w:szCs w:val="21"/>
                      <w:highlight w:val="none"/>
                    </w:rPr>
                    <w:t>废水</w:t>
                  </w:r>
                </w:p>
              </w:tc>
              <w:tc>
                <w:tcPr>
                  <w:tcW w:w="1517" w:type="dxa"/>
                  <w:tcBorders>
                    <w:tl2br w:val="nil"/>
                    <w:tr2bl w:val="nil"/>
                  </w:tcBorders>
                  <w:noWrap w:val="0"/>
                  <w:vAlign w:val="center"/>
                </w:tcPr>
                <w:p w14:paraId="1AE8472C">
                  <w:pPr>
                    <w:snapToGrid w:val="0"/>
                    <w:jc w:val="center"/>
                    <w:rPr>
                      <w:color w:val="auto"/>
                      <w:kern w:val="0"/>
                      <w:szCs w:val="21"/>
                      <w:highlight w:val="none"/>
                    </w:rPr>
                  </w:pPr>
                  <w:r>
                    <w:rPr>
                      <w:rFonts w:hint="eastAsia"/>
                      <w:color w:val="auto"/>
                      <w:kern w:val="0"/>
                      <w:szCs w:val="21"/>
                      <w:highlight w:val="none"/>
                      <w:lang w:eastAsia="zh-CN"/>
                    </w:rPr>
                    <w:t>项目</w:t>
                  </w:r>
                  <w:r>
                    <w:rPr>
                      <w:color w:val="auto"/>
                      <w:kern w:val="0"/>
                      <w:szCs w:val="21"/>
                      <w:highlight w:val="none"/>
                    </w:rPr>
                    <w:t>污水总排口</w:t>
                  </w:r>
                </w:p>
              </w:tc>
              <w:tc>
                <w:tcPr>
                  <w:tcW w:w="811" w:type="dxa"/>
                  <w:tcBorders>
                    <w:tl2br w:val="nil"/>
                    <w:tr2bl w:val="nil"/>
                  </w:tcBorders>
                  <w:noWrap w:val="0"/>
                  <w:vAlign w:val="center"/>
                </w:tcPr>
                <w:p w14:paraId="1570C8AA">
                  <w:pPr>
                    <w:snapToGrid w:val="0"/>
                    <w:jc w:val="center"/>
                    <w:rPr>
                      <w:rFonts w:hint="eastAsia" w:eastAsia="宋体"/>
                      <w:color w:val="auto"/>
                      <w:kern w:val="0"/>
                      <w:szCs w:val="21"/>
                      <w:highlight w:val="none"/>
                      <w:lang w:eastAsia="zh-CN"/>
                    </w:rPr>
                  </w:pPr>
                  <w:r>
                    <w:rPr>
                      <w:rFonts w:hint="eastAsia"/>
                      <w:color w:val="auto"/>
                      <w:kern w:val="0"/>
                      <w:szCs w:val="21"/>
                      <w:highlight w:val="none"/>
                      <w:lang w:eastAsia="zh-CN"/>
                    </w:rPr>
                    <w:t>间接排放</w:t>
                  </w:r>
                </w:p>
              </w:tc>
              <w:tc>
                <w:tcPr>
                  <w:tcW w:w="811" w:type="dxa"/>
                  <w:tcBorders>
                    <w:tl2br w:val="nil"/>
                    <w:tr2bl w:val="nil"/>
                  </w:tcBorders>
                  <w:noWrap w:val="0"/>
                  <w:vAlign w:val="center"/>
                </w:tcPr>
                <w:p w14:paraId="74647E57">
                  <w:pPr>
                    <w:snapToGrid w:val="0"/>
                    <w:jc w:val="center"/>
                    <w:rPr>
                      <w:rFonts w:hint="eastAsia"/>
                      <w:color w:val="auto"/>
                      <w:kern w:val="0"/>
                      <w:szCs w:val="21"/>
                      <w:highlight w:val="none"/>
                    </w:rPr>
                  </w:pPr>
                  <w:r>
                    <w:rPr>
                      <w:color w:val="auto"/>
                      <w:kern w:val="0"/>
                      <w:szCs w:val="21"/>
                      <w:highlight w:val="none"/>
                    </w:rPr>
                    <w:t>1次/</w:t>
                  </w:r>
                  <w:r>
                    <w:rPr>
                      <w:rFonts w:hint="eastAsia"/>
                      <w:color w:val="auto"/>
                      <w:kern w:val="0"/>
                      <w:szCs w:val="21"/>
                      <w:highlight w:val="none"/>
                      <w:lang w:eastAsia="zh-CN"/>
                    </w:rPr>
                    <w:t>半</w:t>
                  </w:r>
                  <w:r>
                    <w:rPr>
                      <w:rFonts w:hint="eastAsia"/>
                      <w:color w:val="auto"/>
                      <w:kern w:val="0"/>
                      <w:szCs w:val="21"/>
                      <w:highlight w:val="none"/>
                    </w:rPr>
                    <w:t>年</w:t>
                  </w:r>
                </w:p>
              </w:tc>
              <w:tc>
                <w:tcPr>
                  <w:tcW w:w="1783" w:type="dxa"/>
                  <w:tcBorders>
                    <w:tl2br w:val="nil"/>
                    <w:tr2bl w:val="nil"/>
                  </w:tcBorders>
                  <w:noWrap w:val="0"/>
                  <w:vAlign w:val="center"/>
                </w:tcPr>
                <w:p w14:paraId="690E1361">
                  <w:pPr>
                    <w:snapToGrid w:val="0"/>
                    <w:jc w:val="center"/>
                    <w:rPr>
                      <w:rFonts w:hint="eastAsia" w:eastAsia="宋体"/>
                      <w:color w:val="auto"/>
                      <w:kern w:val="0"/>
                      <w:szCs w:val="21"/>
                      <w:highlight w:val="none"/>
                      <w:lang w:eastAsia="zh-CN"/>
                    </w:rPr>
                  </w:pPr>
                  <w:r>
                    <w:rPr>
                      <w:rFonts w:hint="eastAsia"/>
                      <w:color w:val="auto"/>
                      <w:kern w:val="0"/>
                      <w:szCs w:val="21"/>
                      <w:highlight w:val="none"/>
                    </w:rPr>
                    <w:t>pH值、化学需氧量、氨氮、总氮 b、总磷、色度、五日生化需氧量、悬浮物</w:t>
                  </w:r>
                  <w:r>
                    <w:rPr>
                      <w:rFonts w:hint="eastAsia"/>
                      <w:color w:val="auto"/>
                      <w:kern w:val="0"/>
                      <w:szCs w:val="21"/>
                      <w:highlight w:val="none"/>
                      <w:lang w:eastAsia="zh-CN"/>
                    </w:rPr>
                    <w:t>、流量</w:t>
                  </w:r>
                </w:p>
              </w:tc>
              <w:tc>
                <w:tcPr>
                  <w:tcW w:w="2344" w:type="dxa"/>
                  <w:tcBorders>
                    <w:tl2br w:val="nil"/>
                    <w:tr2bl w:val="nil"/>
                  </w:tcBorders>
                  <w:noWrap w:val="0"/>
                  <w:vAlign w:val="center"/>
                </w:tcPr>
                <w:p w14:paraId="78B7C5E2">
                  <w:pPr>
                    <w:snapToGrid w:val="0"/>
                    <w:jc w:val="center"/>
                    <w:rPr>
                      <w:rFonts w:hint="eastAsia"/>
                      <w:color w:val="auto"/>
                      <w:kern w:val="0"/>
                      <w:szCs w:val="21"/>
                      <w:highlight w:val="none"/>
                    </w:rPr>
                  </w:pPr>
                  <w:r>
                    <w:rPr>
                      <w:rFonts w:hint="eastAsia"/>
                      <w:color w:val="auto"/>
                      <w:kern w:val="0"/>
                      <w:szCs w:val="21"/>
                      <w:highlight w:val="none"/>
                    </w:rPr>
                    <w:t>满足《污水排入城镇下水道水质标准》（GB/T 31962-2015）</w:t>
                  </w:r>
                  <w:r>
                    <w:rPr>
                      <w:rFonts w:hint="eastAsia"/>
                      <w:color w:val="auto"/>
                      <w:kern w:val="0"/>
                      <w:szCs w:val="21"/>
                      <w:highlight w:val="none"/>
                      <w:lang w:eastAsia="zh-CN"/>
                    </w:rPr>
                    <w:t>中要求及洋县</w:t>
                  </w:r>
                  <w:r>
                    <w:rPr>
                      <w:rFonts w:hint="eastAsia"/>
                      <w:color w:val="auto"/>
                      <w:kern w:val="0"/>
                      <w:szCs w:val="21"/>
                      <w:highlight w:val="none"/>
                    </w:rPr>
                    <w:t>污水处理厂进水水质要求</w:t>
                  </w:r>
                </w:p>
              </w:tc>
            </w:tr>
          </w:tbl>
          <w:p w14:paraId="533DD07C">
            <w:pPr>
              <w:spacing w:line="360" w:lineRule="auto"/>
              <w:ind w:firstLine="482" w:firstLineChars="200"/>
              <w:rPr>
                <w:b/>
                <w:bCs/>
                <w:color w:val="auto"/>
                <w:sz w:val="24"/>
                <w:highlight w:val="none"/>
              </w:rPr>
            </w:pPr>
            <w:r>
              <w:rPr>
                <w:rFonts w:hint="eastAsia"/>
                <w:b/>
                <w:bCs/>
                <w:color w:val="auto"/>
                <w:sz w:val="24"/>
                <w:highlight w:val="none"/>
              </w:rPr>
              <w:t>三</w:t>
            </w:r>
            <w:r>
              <w:rPr>
                <w:b/>
                <w:bCs/>
                <w:color w:val="auto"/>
                <w:sz w:val="24"/>
                <w:highlight w:val="none"/>
              </w:rPr>
              <w:t>、营运期噪声</w:t>
            </w:r>
          </w:p>
          <w:p w14:paraId="59639C3B">
            <w:pPr>
              <w:adjustRightInd w:val="0"/>
              <w:snapToGrid w:val="0"/>
              <w:spacing w:line="360" w:lineRule="auto"/>
              <w:ind w:firstLine="480" w:firstLineChars="200"/>
              <w:rPr>
                <w:rFonts w:hint="eastAsia"/>
                <w:color w:val="auto"/>
                <w:sz w:val="24"/>
                <w:highlight w:val="none"/>
                <w:lang w:bidi="ar"/>
              </w:rPr>
            </w:pPr>
            <w:r>
              <w:rPr>
                <w:rFonts w:hint="eastAsia"/>
                <w:color w:val="auto"/>
                <w:sz w:val="24"/>
                <w:highlight w:val="none"/>
                <w:lang w:bidi="ar"/>
              </w:rPr>
              <w:t>1、噪声源强</w:t>
            </w:r>
          </w:p>
          <w:p w14:paraId="2DB90F4F">
            <w:pPr>
              <w:adjustRightInd w:val="0"/>
              <w:snapToGrid w:val="0"/>
              <w:spacing w:line="360" w:lineRule="auto"/>
              <w:ind w:firstLine="480" w:firstLineChars="200"/>
              <w:rPr>
                <w:rFonts w:hint="eastAsia"/>
                <w:color w:val="auto"/>
                <w:kern w:val="0"/>
                <w:sz w:val="24"/>
                <w:highlight w:val="none"/>
              </w:rPr>
            </w:pPr>
            <w:r>
              <w:rPr>
                <w:color w:val="auto"/>
                <w:sz w:val="24"/>
                <w:highlight w:val="none"/>
                <w:lang w:bidi="ar"/>
              </w:rPr>
              <w:t>项目运营期噪声主要为</w:t>
            </w:r>
            <w:r>
              <w:rPr>
                <w:rFonts w:hint="eastAsia"/>
                <w:color w:val="auto"/>
                <w:sz w:val="24"/>
                <w:highlight w:val="none"/>
                <w:lang w:bidi="ar"/>
              </w:rPr>
              <w:t>各生产线主要设备运行时产生的噪声</w:t>
            </w:r>
            <w:r>
              <w:rPr>
                <w:rFonts w:hint="eastAsia"/>
                <w:color w:val="auto"/>
                <w:kern w:val="0"/>
                <w:sz w:val="24"/>
                <w:highlight w:val="none"/>
              </w:rPr>
              <w:t>，</w:t>
            </w:r>
            <w:r>
              <w:rPr>
                <w:color w:val="auto"/>
                <w:sz w:val="24"/>
                <w:highlight w:val="none"/>
              </w:rPr>
              <w:t>其噪声源强如表</w:t>
            </w:r>
            <w:r>
              <w:rPr>
                <w:rFonts w:hint="eastAsia"/>
                <w:color w:val="auto"/>
                <w:sz w:val="24"/>
                <w:highlight w:val="none"/>
              </w:rPr>
              <w:t>4-</w:t>
            </w:r>
            <w:r>
              <w:rPr>
                <w:rFonts w:hint="eastAsia"/>
                <w:color w:val="auto"/>
                <w:sz w:val="24"/>
                <w:highlight w:val="none"/>
                <w:lang w:val="en-US" w:eastAsia="zh-CN"/>
              </w:rPr>
              <w:t>8</w:t>
            </w:r>
            <w:r>
              <w:rPr>
                <w:color w:val="auto"/>
                <w:sz w:val="24"/>
                <w:highlight w:val="none"/>
              </w:rPr>
              <w:t>所示。</w:t>
            </w:r>
          </w:p>
          <w:p w14:paraId="32159645">
            <w:pPr>
              <w:adjustRightInd w:val="0"/>
              <w:snapToGrid w:val="0"/>
              <w:jc w:val="center"/>
              <w:rPr>
                <w:b/>
                <w:color w:val="auto"/>
                <w:szCs w:val="21"/>
                <w:highlight w:val="none"/>
              </w:rPr>
            </w:pPr>
            <w:bookmarkStart w:id="4" w:name="_Ref310166334"/>
            <w:r>
              <w:rPr>
                <w:b/>
                <w:color w:val="auto"/>
                <w:szCs w:val="21"/>
                <w:highlight w:val="none"/>
              </w:rPr>
              <w:t>表</w:t>
            </w:r>
            <w:bookmarkEnd w:id="4"/>
            <w:r>
              <w:rPr>
                <w:rFonts w:hint="eastAsia"/>
                <w:b/>
                <w:color w:val="auto"/>
                <w:szCs w:val="21"/>
                <w:highlight w:val="none"/>
              </w:rPr>
              <w:t>4-</w:t>
            </w:r>
            <w:r>
              <w:rPr>
                <w:rFonts w:hint="eastAsia"/>
                <w:b/>
                <w:color w:val="auto"/>
                <w:szCs w:val="21"/>
                <w:highlight w:val="none"/>
                <w:lang w:val="en-US" w:eastAsia="zh-CN"/>
              </w:rPr>
              <w:t>8</w:t>
            </w:r>
            <w:r>
              <w:rPr>
                <w:b/>
                <w:color w:val="auto"/>
                <w:szCs w:val="21"/>
                <w:highlight w:val="none"/>
              </w:rPr>
              <w:t xml:space="preserve">  本项目主要噪声设备源强一览表</w:t>
            </w:r>
          </w:p>
          <w:tbl>
            <w:tblPr>
              <w:tblStyle w:val="28"/>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83"/>
              <w:gridCol w:w="1407"/>
              <w:gridCol w:w="1207"/>
              <w:gridCol w:w="701"/>
              <w:gridCol w:w="1210"/>
              <w:gridCol w:w="1907"/>
            </w:tblGrid>
            <w:tr w14:paraId="2E35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82" w:type="dxa"/>
                  <w:noWrap w:val="0"/>
                  <w:vAlign w:val="center"/>
                </w:tcPr>
                <w:p w14:paraId="4AFA244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r>
                    <w:rPr>
                      <w:color w:val="auto"/>
                      <w:kern w:val="0"/>
                      <w:szCs w:val="21"/>
                      <w:highlight w:val="none"/>
                    </w:rPr>
                    <w:t>序号</w:t>
                  </w:r>
                </w:p>
              </w:tc>
              <w:tc>
                <w:tcPr>
                  <w:tcW w:w="783" w:type="dxa"/>
                  <w:noWrap w:val="0"/>
                  <w:vAlign w:val="center"/>
                </w:tcPr>
                <w:p w14:paraId="27F663D6">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r>
                    <w:rPr>
                      <w:rFonts w:hint="eastAsia"/>
                      <w:color w:val="auto"/>
                      <w:kern w:val="0"/>
                      <w:szCs w:val="21"/>
                      <w:highlight w:val="none"/>
                    </w:rPr>
                    <w:t>车间</w:t>
                  </w:r>
                </w:p>
              </w:tc>
              <w:tc>
                <w:tcPr>
                  <w:tcW w:w="1407" w:type="dxa"/>
                  <w:noWrap w:val="0"/>
                  <w:vAlign w:val="center"/>
                </w:tcPr>
                <w:p w14:paraId="07AD2CFE">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r>
                    <w:rPr>
                      <w:color w:val="auto"/>
                      <w:kern w:val="0"/>
                      <w:szCs w:val="21"/>
                      <w:highlight w:val="none"/>
                    </w:rPr>
                    <w:t>设备名称</w:t>
                  </w:r>
                </w:p>
              </w:tc>
              <w:tc>
                <w:tcPr>
                  <w:tcW w:w="1207" w:type="dxa"/>
                  <w:noWrap w:val="0"/>
                  <w:vAlign w:val="center"/>
                </w:tcPr>
                <w:p w14:paraId="2D9AB73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r>
                    <w:rPr>
                      <w:bCs/>
                      <w:color w:val="auto"/>
                      <w:kern w:val="0"/>
                      <w:szCs w:val="21"/>
                      <w:highlight w:val="none"/>
                    </w:rPr>
                    <w:t>源强dB(A)</w:t>
                  </w:r>
                </w:p>
              </w:tc>
              <w:tc>
                <w:tcPr>
                  <w:tcW w:w="701" w:type="dxa"/>
                  <w:noWrap w:val="0"/>
                  <w:vAlign w:val="center"/>
                </w:tcPr>
                <w:p w14:paraId="7D13421B">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r>
                    <w:rPr>
                      <w:color w:val="auto"/>
                      <w:kern w:val="0"/>
                      <w:szCs w:val="21"/>
                      <w:highlight w:val="none"/>
                    </w:rPr>
                    <w:t>数量</w:t>
                  </w:r>
                </w:p>
              </w:tc>
              <w:tc>
                <w:tcPr>
                  <w:tcW w:w="1210" w:type="dxa"/>
                  <w:noWrap w:val="0"/>
                  <w:vAlign w:val="center"/>
                </w:tcPr>
                <w:p w14:paraId="7CE86AAA">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r>
                    <w:rPr>
                      <w:color w:val="auto"/>
                      <w:kern w:val="0"/>
                      <w:szCs w:val="21"/>
                      <w:highlight w:val="none"/>
                    </w:rPr>
                    <w:t>防治措施</w:t>
                  </w:r>
                </w:p>
              </w:tc>
              <w:tc>
                <w:tcPr>
                  <w:tcW w:w="1907" w:type="dxa"/>
                  <w:noWrap w:val="0"/>
                  <w:vAlign w:val="center"/>
                </w:tcPr>
                <w:p w14:paraId="049CB6ED">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r>
                    <w:rPr>
                      <w:color w:val="auto"/>
                      <w:kern w:val="0"/>
                      <w:szCs w:val="21"/>
                      <w:highlight w:val="none"/>
                    </w:rPr>
                    <w:t>采取措施后</w:t>
                  </w:r>
                  <w:r>
                    <w:rPr>
                      <w:bCs/>
                      <w:color w:val="auto"/>
                      <w:kern w:val="0"/>
                      <w:szCs w:val="21"/>
                      <w:highlight w:val="none"/>
                    </w:rPr>
                    <w:t>dB(A)</w:t>
                  </w:r>
                </w:p>
              </w:tc>
            </w:tr>
            <w:tr w14:paraId="734E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350A8951">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r>
                    <w:rPr>
                      <w:rFonts w:hint="eastAsia"/>
                      <w:color w:val="auto"/>
                      <w:kern w:val="0"/>
                      <w:szCs w:val="21"/>
                      <w:highlight w:val="none"/>
                    </w:rPr>
                    <w:t>1</w:t>
                  </w:r>
                </w:p>
              </w:tc>
              <w:tc>
                <w:tcPr>
                  <w:tcW w:w="783" w:type="dxa"/>
                  <w:vMerge w:val="restart"/>
                  <w:noWrap w:val="0"/>
                  <w:vAlign w:val="center"/>
                </w:tcPr>
                <w:p w14:paraId="14F50E45">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rPr>
                    <w:t>1#</w:t>
                  </w:r>
                  <w:r>
                    <w:rPr>
                      <w:rFonts w:hint="eastAsia"/>
                      <w:color w:val="auto"/>
                      <w:kern w:val="0"/>
                      <w:szCs w:val="21"/>
                      <w:highlight w:val="none"/>
                      <w:lang w:eastAsia="zh-CN"/>
                    </w:rPr>
                    <w:t>生产车间</w:t>
                  </w:r>
                </w:p>
              </w:tc>
              <w:tc>
                <w:tcPr>
                  <w:tcW w:w="1407" w:type="dxa"/>
                  <w:noWrap w:val="0"/>
                  <w:vAlign w:val="center"/>
                </w:tcPr>
                <w:p w14:paraId="0E5FAAA9">
                  <w:pPr>
                    <w:keepNext w:val="0"/>
                    <w:keepLines w:val="0"/>
                    <w:pageBreakBefore w:val="0"/>
                    <w:widowControl/>
                    <w:kinsoku/>
                    <w:wordWrap/>
                    <w:overflowPunct/>
                    <w:topLinePunct w:val="0"/>
                    <w:autoSpaceDE/>
                    <w:autoSpaceDN/>
                    <w:bidi w:val="0"/>
                    <w:adjustRightInd/>
                    <w:jc w:val="center"/>
                    <w:textAlignment w:val="auto"/>
                    <w:rPr>
                      <w:rFonts w:hint="eastAsia"/>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清洗机</w:t>
                  </w:r>
                </w:p>
              </w:tc>
              <w:tc>
                <w:tcPr>
                  <w:tcW w:w="1207" w:type="dxa"/>
                  <w:noWrap w:val="0"/>
                  <w:vAlign w:val="center"/>
                </w:tcPr>
                <w:p w14:paraId="2A32849A">
                  <w:pPr>
                    <w:keepNext w:val="0"/>
                    <w:keepLines w:val="0"/>
                    <w:pageBreakBefore w:val="0"/>
                    <w:widowControl/>
                    <w:kinsoku/>
                    <w:wordWrap/>
                    <w:overflowPunct/>
                    <w:topLinePunct w:val="0"/>
                    <w:autoSpaceDE/>
                    <w:autoSpaceDN/>
                    <w:bidi w:val="0"/>
                    <w:adjustRightInd/>
                    <w:jc w:val="center"/>
                    <w:textAlignment w:val="auto"/>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70</w:t>
                  </w:r>
                </w:p>
              </w:tc>
              <w:tc>
                <w:tcPr>
                  <w:tcW w:w="701" w:type="dxa"/>
                  <w:noWrap w:val="0"/>
                  <w:vAlign w:val="center"/>
                </w:tcPr>
                <w:p w14:paraId="30E82785">
                  <w:pPr>
                    <w:keepNext w:val="0"/>
                    <w:keepLines w:val="0"/>
                    <w:pageBreakBefore w:val="0"/>
                    <w:widowControl/>
                    <w:kinsoku/>
                    <w:wordWrap/>
                    <w:overflowPunct/>
                    <w:topLinePunct w:val="0"/>
                    <w:autoSpaceDE/>
                    <w:autoSpaceDN/>
                    <w:bidi w:val="0"/>
                    <w:adjustRightInd/>
                    <w:jc w:val="center"/>
                    <w:textAlignment w:val="auto"/>
                    <w:rPr>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restart"/>
                  <w:noWrap w:val="0"/>
                  <w:vAlign w:val="center"/>
                </w:tcPr>
                <w:p w14:paraId="6CB29E2A">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r>
                    <w:rPr>
                      <w:color w:val="auto"/>
                      <w:szCs w:val="21"/>
                      <w:highlight w:val="none"/>
                    </w:rPr>
                    <w:t>基础减振、</w:t>
                  </w:r>
                  <w:r>
                    <w:rPr>
                      <w:rFonts w:hint="eastAsia"/>
                      <w:color w:val="auto"/>
                      <w:szCs w:val="21"/>
                      <w:highlight w:val="none"/>
                    </w:rPr>
                    <w:t>厂房隔声、距离衰减</w:t>
                  </w:r>
                </w:p>
              </w:tc>
              <w:tc>
                <w:tcPr>
                  <w:tcW w:w="1907" w:type="dxa"/>
                  <w:noWrap w:val="0"/>
                  <w:vAlign w:val="center"/>
                </w:tcPr>
                <w:p w14:paraId="4B382AE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55</w:t>
                  </w:r>
                </w:p>
              </w:tc>
            </w:tr>
            <w:tr w14:paraId="03E0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31B47260">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2</w:t>
                  </w:r>
                </w:p>
              </w:tc>
              <w:tc>
                <w:tcPr>
                  <w:tcW w:w="783" w:type="dxa"/>
                  <w:vMerge w:val="continue"/>
                  <w:noWrap w:val="0"/>
                  <w:vAlign w:val="center"/>
                </w:tcPr>
                <w:p w14:paraId="589FFE5E">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2C067D40">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高效振动清杂筛</w:t>
                  </w:r>
                </w:p>
              </w:tc>
              <w:tc>
                <w:tcPr>
                  <w:tcW w:w="1207" w:type="dxa"/>
                  <w:noWrap w:val="0"/>
                  <w:vAlign w:val="center"/>
                </w:tcPr>
                <w:p w14:paraId="764F6E7C">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80</w:t>
                  </w:r>
                </w:p>
              </w:tc>
              <w:tc>
                <w:tcPr>
                  <w:tcW w:w="701" w:type="dxa"/>
                  <w:noWrap w:val="0"/>
                  <w:vAlign w:val="center"/>
                </w:tcPr>
                <w:p w14:paraId="05912C8A">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40C17826">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1570E970">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65</w:t>
                  </w:r>
                </w:p>
              </w:tc>
            </w:tr>
            <w:tr w14:paraId="67EA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82" w:type="dxa"/>
                  <w:noWrap w:val="0"/>
                  <w:vAlign w:val="center"/>
                </w:tcPr>
                <w:p w14:paraId="1340369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3</w:t>
                  </w:r>
                </w:p>
              </w:tc>
              <w:tc>
                <w:tcPr>
                  <w:tcW w:w="783" w:type="dxa"/>
                  <w:vMerge w:val="continue"/>
                  <w:noWrap w:val="0"/>
                  <w:vAlign w:val="center"/>
                </w:tcPr>
                <w:p w14:paraId="36C0725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02757C3B">
                  <w:pPr>
                    <w:keepNext w:val="0"/>
                    <w:keepLines w:val="0"/>
                    <w:pageBreakBefore w:val="0"/>
                    <w:widowControl/>
                    <w:kinsoku/>
                    <w:wordWrap/>
                    <w:overflowPunct/>
                    <w:topLinePunct w:val="0"/>
                    <w:autoSpaceDE/>
                    <w:autoSpaceDN/>
                    <w:bidi w:val="0"/>
                    <w:adjustRightInd/>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电蒸汽发生器</w:t>
                  </w:r>
                </w:p>
              </w:tc>
              <w:tc>
                <w:tcPr>
                  <w:tcW w:w="1207" w:type="dxa"/>
                  <w:noWrap w:val="0"/>
                  <w:vAlign w:val="center"/>
                </w:tcPr>
                <w:p w14:paraId="1D1B6BE5">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60</w:t>
                  </w:r>
                </w:p>
              </w:tc>
              <w:tc>
                <w:tcPr>
                  <w:tcW w:w="701" w:type="dxa"/>
                  <w:noWrap w:val="0"/>
                  <w:vAlign w:val="center"/>
                </w:tcPr>
                <w:p w14:paraId="7376186E">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2A4CF00F">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56017205">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45</w:t>
                  </w:r>
                </w:p>
              </w:tc>
            </w:tr>
            <w:tr w14:paraId="7EF7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4826C76F">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4</w:t>
                  </w:r>
                </w:p>
              </w:tc>
              <w:tc>
                <w:tcPr>
                  <w:tcW w:w="783" w:type="dxa"/>
                  <w:vMerge w:val="continue"/>
                  <w:noWrap w:val="0"/>
                  <w:vAlign w:val="center"/>
                </w:tcPr>
                <w:p w14:paraId="310DC737">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6EDD0D16">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冷却机</w:t>
                  </w:r>
                </w:p>
              </w:tc>
              <w:tc>
                <w:tcPr>
                  <w:tcW w:w="1207" w:type="dxa"/>
                  <w:noWrap w:val="0"/>
                  <w:vAlign w:val="center"/>
                </w:tcPr>
                <w:p w14:paraId="30CC56A6">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c>
                <w:tcPr>
                  <w:tcW w:w="701" w:type="dxa"/>
                  <w:noWrap w:val="0"/>
                  <w:vAlign w:val="center"/>
                </w:tcPr>
                <w:p w14:paraId="78E26FED">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74325ABE">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17E5AEBA">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55</w:t>
                  </w:r>
                </w:p>
              </w:tc>
            </w:tr>
            <w:tr w14:paraId="3ED5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27DD4ED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5</w:t>
                  </w:r>
                </w:p>
              </w:tc>
              <w:tc>
                <w:tcPr>
                  <w:tcW w:w="783" w:type="dxa"/>
                  <w:vMerge w:val="continue"/>
                  <w:noWrap w:val="0"/>
                  <w:vAlign w:val="center"/>
                </w:tcPr>
                <w:p w14:paraId="3A01BAA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772A1367">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去核机</w:t>
                  </w:r>
                </w:p>
              </w:tc>
              <w:tc>
                <w:tcPr>
                  <w:tcW w:w="1207" w:type="dxa"/>
                  <w:noWrap w:val="0"/>
                  <w:vAlign w:val="center"/>
                </w:tcPr>
                <w:p w14:paraId="4F0DCC09">
                  <w:pPr>
                    <w:keepNext w:val="0"/>
                    <w:keepLines w:val="0"/>
                    <w:pageBreakBefore w:val="0"/>
                    <w:widowControl/>
                    <w:kinsoku/>
                    <w:wordWrap/>
                    <w:overflowPunct/>
                    <w:topLinePunct w:val="0"/>
                    <w:autoSpaceDE/>
                    <w:autoSpaceDN/>
                    <w:bidi w:val="0"/>
                    <w:adjustRightInd/>
                    <w:jc w:val="center"/>
                    <w:textAlignment w:val="auto"/>
                    <w:rPr>
                      <w:rFonts w:hint="eastAsia"/>
                      <w:color w:val="auto"/>
                      <w:kern w:val="0"/>
                      <w:szCs w:val="21"/>
                      <w:highlight w:val="none"/>
                    </w:rPr>
                  </w:pPr>
                  <w:r>
                    <w:rPr>
                      <w:rFonts w:hint="eastAsia"/>
                      <w:color w:val="auto"/>
                      <w:kern w:val="0"/>
                      <w:szCs w:val="21"/>
                      <w:highlight w:val="none"/>
                      <w:lang w:val="en-US" w:eastAsia="zh-CN"/>
                    </w:rPr>
                    <w:t>75</w:t>
                  </w:r>
                </w:p>
              </w:tc>
              <w:tc>
                <w:tcPr>
                  <w:tcW w:w="701" w:type="dxa"/>
                  <w:noWrap w:val="0"/>
                  <w:vAlign w:val="center"/>
                </w:tcPr>
                <w:p w14:paraId="192F14E1">
                  <w:pPr>
                    <w:keepNext w:val="0"/>
                    <w:keepLines w:val="0"/>
                    <w:pageBreakBefore w:val="0"/>
                    <w:widowControl/>
                    <w:kinsoku/>
                    <w:wordWrap/>
                    <w:overflowPunct/>
                    <w:topLinePunct w:val="0"/>
                    <w:autoSpaceDE/>
                    <w:autoSpaceDN/>
                    <w:bidi w:val="0"/>
                    <w:adjustRightInd/>
                    <w:jc w:val="center"/>
                    <w:textAlignment w:val="auto"/>
                    <w:rPr>
                      <w:rFonts w:hint="eastAsia"/>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3F13ACA7">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18CCA04D">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r>
                    <w:rPr>
                      <w:rFonts w:hint="eastAsia"/>
                      <w:color w:val="auto"/>
                      <w:kern w:val="0"/>
                      <w:szCs w:val="21"/>
                      <w:highlight w:val="none"/>
                      <w:lang w:val="en-US" w:eastAsia="zh-CN"/>
                    </w:rPr>
                    <w:t>60</w:t>
                  </w:r>
                </w:p>
              </w:tc>
            </w:tr>
            <w:tr w14:paraId="53459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45B6A5B0">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6</w:t>
                  </w:r>
                </w:p>
              </w:tc>
              <w:tc>
                <w:tcPr>
                  <w:tcW w:w="783" w:type="dxa"/>
                  <w:vMerge w:val="continue"/>
                  <w:noWrap w:val="0"/>
                  <w:vAlign w:val="center"/>
                </w:tcPr>
                <w:p w14:paraId="7FDB26E5">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58A68355">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烘干机</w:t>
                  </w:r>
                </w:p>
              </w:tc>
              <w:tc>
                <w:tcPr>
                  <w:tcW w:w="1207" w:type="dxa"/>
                  <w:noWrap w:val="0"/>
                  <w:vAlign w:val="center"/>
                </w:tcPr>
                <w:p w14:paraId="26A79D45">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c>
                <w:tcPr>
                  <w:tcW w:w="701" w:type="dxa"/>
                  <w:noWrap w:val="0"/>
                  <w:vAlign w:val="center"/>
                </w:tcPr>
                <w:p w14:paraId="6BABDD15">
                  <w:pPr>
                    <w:keepNext w:val="0"/>
                    <w:keepLines w:val="0"/>
                    <w:pageBreakBefore w:val="0"/>
                    <w:widowControl/>
                    <w:kinsoku/>
                    <w:wordWrap/>
                    <w:overflowPunct/>
                    <w:topLinePunct w:val="0"/>
                    <w:autoSpaceDE/>
                    <w:autoSpaceDN/>
                    <w:bidi w:val="0"/>
                    <w:adjustRightInd/>
                    <w:jc w:val="center"/>
                    <w:textAlignment w:val="auto"/>
                    <w:rPr>
                      <w:rFonts w:hint="eastAsia"/>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70B191A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5666CC94">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55</w:t>
                  </w:r>
                </w:p>
              </w:tc>
            </w:tr>
            <w:tr w14:paraId="1AC9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5A59B8F2">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7</w:t>
                  </w:r>
                </w:p>
              </w:tc>
              <w:tc>
                <w:tcPr>
                  <w:tcW w:w="783" w:type="dxa"/>
                  <w:vMerge w:val="continue"/>
                  <w:noWrap w:val="0"/>
                  <w:vAlign w:val="center"/>
                </w:tcPr>
                <w:p w14:paraId="3ED0534B">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2B547B63">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色选机</w:t>
                  </w:r>
                </w:p>
              </w:tc>
              <w:tc>
                <w:tcPr>
                  <w:tcW w:w="1207" w:type="dxa"/>
                  <w:noWrap w:val="0"/>
                  <w:vAlign w:val="center"/>
                </w:tcPr>
                <w:p w14:paraId="4DF7E1C6">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80</w:t>
                  </w:r>
                </w:p>
              </w:tc>
              <w:tc>
                <w:tcPr>
                  <w:tcW w:w="701" w:type="dxa"/>
                  <w:noWrap w:val="0"/>
                  <w:vAlign w:val="center"/>
                </w:tcPr>
                <w:p w14:paraId="787C88E6">
                  <w:pPr>
                    <w:keepNext w:val="0"/>
                    <w:keepLines w:val="0"/>
                    <w:pageBreakBefore w:val="0"/>
                    <w:widowControl/>
                    <w:kinsoku/>
                    <w:wordWrap/>
                    <w:overflowPunct/>
                    <w:topLinePunct w:val="0"/>
                    <w:autoSpaceDE/>
                    <w:autoSpaceDN/>
                    <w:bidi w:val="0"/>
                    <w:adjustRightInd/>
                    <w:jc w:val="center"/>
                    <w:textAlignment w:val="auto"/>
                    <w:rPr>
                      <w:rFonts w:hint="eastAsia"/>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773CCB54">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5918BC8A">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65</w:t>
                  </w:r>
                </w:p>
              </w:tc>
            </w:tr>
            <w:tr w14:paraId="2023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60D5CBE8">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8</w:t>
                  </w:r>
                </w:p>
              </w:tc>
              <w:tc>
                <w:tcPr>
                  <w:tcW w:w="783" w:type="dxa"/>
                  <w:vMerge w:val="continue"/>
                  <w:noWrap w:val="0"/>
                  <w:vAlign w:val="center"/>
                </w:tcPr>
                <w:p w14:paraId="77FA13F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1C9DA60D">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裙边提升机</w:t>
                  </w:r>
                </w:p>
              </w:tc>
              <w:tc>
                <w:tcPr>
                  <w:tcW w:w="1207" w:type="dxa"/>
                  <w:noWrap w:val="0"/>
                  <w:vAlign w:val="center"/>
                </w:tcPr>
                <w:p w14:paraId="661B95F0">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80</w:t>
                  </w:r>
                </w:p>
              </w:tc>
              <w:tc>
                <w:tcPr>
                  <w:tcW w:w="701" w:type="dxa"/>
                  <w:noWrap w:val="0"/>
                  <w:vAlign w:val="center"/>
                </w:tcPr>
                <w:p w14:paraId="5E99F8BB">
                  <w:pPr>
                    <w:keepNext w:val="0"/>
                    <w:keepLines w:val="0"/>
                    <w:pageBreakBefore w:val="0"/>
                    <w:widowControl/>
                    <w:kinsoku/>
                    <w:wordWrap/>
                    <w:overflowPunct/>
                    <w:topLinePunct w:val="0"/>
                    <w:autoSpaceDE/>
                    <w:autoSpaceDN/>
                    <w:bidi w:val="0"/>
                    <w:adjustRightInd/>
                    <w:jc w:val="center"/>
                    <w:textAlignment w:val="auto"/>
                    <w:rPr>
                      <w:rFonts w:hint="eastAsia"/>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6F6A2851">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23589F2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65</w:t>
                  </w:r>
                </w:p>
              </w:tc>
            </w:tr>
            <w:tr w14:paraId="4CBA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3AE8D56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9</w:t>
                  </w:r>
                </w:p>
              </w:tc>
              <w:tc>
                <w:tcPr>
                  <w:tcW w:w="783" w:type="dxa"/>
                  <w:vMerge w:val="continue"/>
                  <w:noWrap w:val="0"/>
                  <w:vAlign w:val="center"/>
                </w:tcPr>
                <w:p w14:paraId="12A44BC5">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15B4B94C">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金属探测仪</w:t>
                  </w:r>
                </w:p>
              </w:tc>
              <w:tc>
                <w:tcPr>
                  <w:tcW w:w="1207" w:type="dxa"/>
                  <w:noWrap w:val="0"/>
                  <w:vAlign w:val="center"/>
                </w:tcPr>
                <w:p w14:paraId="026AC900">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60</w:t>
                  </w:r>
                </w:p>
              </w:tc>
              <w:tc>
                <w:tcPr>
                  <w:tcW w:w="701" w:type="dxa"/>
                  <w:noWrap w:val="0"/>
                  <w:vAlign w:val="center"/>
                </w:tcPr>
                <w:p w14:paraId="1597DB91">
                  <w:pPr>
                    <w:keepNext w:val="0"/>
                    <w:keepLines w:val="0"/>
                    <w:pageBreakBefore w:val="0"/>
                    <w:widowControl/>
                    <w:kinsoku/>
                    <w:wordWrap/>
                    <w:overflowPunct/>
                    <w:topLinePunct w:val="0"/>
                    <w:autoSpaceDE/>
                    <w:autoSpaceDN/>
                    <w:bidi w:val="0"/>
                    <w:adjustRightInd/>
                    <w:jc w:val="center"/>
                    <w:textAlignment w:val="auto"/>
                    <w:rPr>
                      <w:rFonts w:hint="eastAsia"/>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5945E42D">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1021005A">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45</w:t>
                  </w:r>
                </w:p>
              </w:tc>
            </w:tr>
            <w:tr w14:paraId="4DA8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324F2364">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10</w:t>
                  </w:r>
                </w:p>
              </w:tc>
              <w:tc>
                <w:tcPr>
                  <w:tcW w:w="783" w:type="dxa"/>
                  <w:vMerge w:val="continue"/>
                  <w:noWrap w:val="0"/>
                  <w:vAlign w:val="center"/>
                </w:tcPr>
                <w:p w14:paraId="0DF258D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27A59D1F">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包装机</w:t>
                  </w:r>
                </w:p>
              </w:tc>
              <w:tc>
                <w:tcPr>
                  <w:tcW w:w="1207" w:type="dxa"/>
                  <w:noWrap w:val="0"/>
                  <w:vAlign w:val="center"/>
                </w:tcPr>
                <w:p w14:paraId="2F6550C1">
                  <w:pPr>
                    <w:keepNext w:val="0"/>
                    <w:keepLines w:val="0"/>
                    <w:pageBreakBefore w:val="0"/>
                    <w:widowControl/>
                    <w:kinsoku/>
                    <w:wordWrap/>
                    <w:overflowPunct/>
                    <w:topLinePunct w:val="0"/>
                    <w:autoSpaceDE/>
                    <w:autoSpaceDN/>
                    <w:bidi w:val="0"/>
                    <w:adjustRightInd/>
                    <w:jc w:val="center"/>
                    <w:textAlignment w:val="auto"/>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70</w:t>
                  </w:r>
                </w:p>
              </w:tc>
              <w:tc>
                <w:tcPr>
                  <w:tcW w:w="701" w:type="dxa"/>
                  <w:noWrap w:val="0"/>
                  <w:vAlign w:val="center"/>
                </w:tcPr>
                <w:p w14:paraId="7F11A684">
                  <w:pPr>
                    <w:keepNext w:val="0"/>
                    <w:keepLines w:val="0"/>
                    <w:pageBreakBefore w:val="0"/>
                    <w:widowControl/>
                    <w:kinsoku/>
                    <w:wordWrap/>
                    <w:overflowPunct/>
                    <w:topLinePunct w:val="0"/>
                    <w:autoSpaceDE/>
                    <w:autoSpaceDN/>
                    <w:bidi w:val="0"/>
                    <w:adjustRightInd/>
                    <w:jc w:val="center"/>
                    <w:textAlignment w:val="auto"/>
                    <w:rPr>
                      <w:rFonts w:hint="eastAsia"/>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560DE884">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5786410F">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55</w:t>
                  </w:r>
                </w:p>
              </w:tc>
            </w:tr>
            <w:tr w14:paraId="38CF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6F4C49B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color w:val="auto"/>
                      <w:kern w:val="0"/>
                      <w:szCs w:val="21"/>
                      <w:highlight w:val="none"/>
                      <w:lang w:val="en-US" w:eastAsia="zh-CN"/>
                    </w:rPr>
                  </w:pPr>
                  <w:r>
                    <w:rPr>
                      <w:rFonts w:hint="eastAsia"/>
                      <w:color w:val="auto"/>
                      <w:kern w:val="0"/>
                      <w:szCs w:val="21"/>
                      <w:highlight w:val="none"/>
                      <w:lang w:val="en-US" w:eastAsia="zh-CN"/>
                    </w:rPr>
                    <w:t>11</w:t>
                  </w:r>
                </w:p>
              </w:tc>
              <w:tc>
                <w:tcPr>
                  <w:tcW w:w="783" w:type="dxa"/>
                  <w:vMerge w:val="continue"/>
                  <w:noWrap w:val="0"/>
                  <w:vAlign w:val="center"/>
                </w:tcPr>
                <w:p w14:paraId="2B75159C">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52F8C9F5">
                  <w:pPr>
                    <w:keepNext w:val="0"/>
                    <w:keepLines w:val="0"/>
                    <w:pageBreakBefore w:val="0"/>
                    <w:widowControl/>
                    <w:kinsoku/>
                    <w:wordWrap/>
                    <w:overflowPunct/>
                    <w:topLinePunct w:val="0"/>
                    <w:autoSpaceDE/>
                    <w:autoSpaceDN/>
                    <w:bidi w:val="0"/>
                    <w:adjustRightInd/>
                    <w:jc w:val="center"/>
                    <w:textAlignment w:val="auto"/>
                    <w:rPr>
                      <w:rFonts w:ascii="Times New Roman" w:hAnsi="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空气压缩机</w:t>
                  </w:r>
                </w:p>
              </w:tc>
              <w:tc>
                <w:tcPr>
                  <w:tcW w:w="1207" w:type="dxa"/>
                  <w:noWrap w:val="0"/>
                  <w:vAlign w:val="center"/>
                </w:tcPr>
                <w:p w14:paraId="641400C3">
                  <w:pPr>
                    <w:keepNext w:val="0"/>
                    <w:keepLines w:val="0"/>
                    <w:pageBreakBefore w:val="0"/>
                    <w:widowControl/>
                    <w:kinsoku/>
                    <w:wordWrap/>
                    <w:overflowPunct/>
                    <w:topLinePunct w:val="0"/>
                    <w:autoSpaceDE/>
                    <w:autoSpaceDN/>
                    <w:bidi w:val="0"/>
                    <w:adjustRightInd/>
                    <w:jc w:val="center"/>
                    <w:textAlignment w:val="auto"/>
                    <w:rPr>
                      <w:rFonts w:hint="default"/>
                      <w:color w:val="auto"/>
                      <w:kern w:val="0"/>
                      <w:sz w:val="21"/>
                      <w:szCs w:val="21"/>
                      <w:highlight w:val="none"/>
                      <w:lang w:val="en-US" w:eastAsia="zh-CN" w:bidi="ar-SA"/>
                    </w:rPr>
                  </w:pPr>
                  <w:r>
                    <w:rPr>
                      <w:rFonts w:hint="eastAsia"/>
                      <w:color w:val="auto"/>
                      <w:kern w:val="0"/>
                      <w:sz w:val="21"/>
                      <w:szCs w:val="21"/>
                      <w:highlight w:val="none"/>
                      <w:lang w:val="en-US" w:eastAsia="zh-CN" w:bidi="ar-SA"/>
                    </w:rPr>
                    <w:t>90</w:t>
                  </w:r>
                </w:p>
              </w:tc>
              <w:tc>
                <w:tcPr>
                  <w:tcW w:w="701" w:type="dxa"/>
                  <w:noWrap w:val="0"/>
                  <w:vAlign w:val="center"/>
                </w:tcPr>
                <w:p w14:paraId="7AB43D2B">
                  <w:pPr>
                    <w:keepNext w:val="0"/>
                    <w:keepLines w:val="0"/>
                    <w:pageBreakBefore w:val="0"/>
                    <w:widowControl/>
                    <w:kinsoku/>
                    <w:wordWrap/>
                    <w:overflowPunct/>
                    <w:topLinePunct w:val="0"/>
                    <w:autoSpaceDE/>
                    <w:autoSpaceDN/>
                    <w:bidi w:val="0"/>
                    <w:adjustRightInd/>
                    <w:jc w:val="center"/>
                    <w:textAlignment w:val="auto"/>
                    <w:rPr>
                      <w:rFonts w:hint="eastAsia"/>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239DFB20">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0D464AB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75</w:t>
                  </w:r>
                </w:p>
              </w:tc>
            </w:tr>
            <w:tr w14:paraId="7175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4E25078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1</w:t>
                  </w:r>
                </w:p>
              </w:tc>
              <w:tc>
                <w:tcPr>
                  <w:tcW w:w="783" w:type="dxa"/>
                  <w:vMerge w:val="restart"/>
                  <w:noWrap w:val="0"/>
                  <w:vAlign w:val="center"/>
                </w:tcPr>
                <w:p w14:paraId="09334C8D">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r>
                    <w:rPr>
                      <w:rFonts w:hint="eastAsia"/>
                      <w:color w:val="auto"/>
                      <w:kern w:val="0"/>
                      <w:szCs w:val="21"/>
                      <w:highlight w:val="none"/>
                      <w:lang w:val="en-US" w:eastAsia="zh-CN"/>
                    </w:rPr>
                    <w:t>2#生产</w:t>
                  </w:r>
                  <w:r>
                    <w:rPr>
                      <w:rFonts w:hint="eastAsia"/>
                      <w:color w:val="auto"/>
                      <w:kern w:val="0"/>
                      <w:szCs w:val="21"/>
                      <w:highlight w:val="none"/>
                    </w:rPr>
                    <w:t>车间</w:t>
                  </w:r>
                </w:p>
              </w:tc>
              <w:tc>
                <w:tcPr>
                  <w:tcW w:w="1407" w:type="dxa"/>
                  <w:noWrap w:val="0"/>
                  <w:vAlign w:val="center"/>
                </w:tcPr>
                <w:p w14:paraId="778DDC57">
                  <w:pPr>
                    <w:keepNext w:val="0"/>
                    <w:keepLines w:val="0"/>
                    <w:pageBreakBefore w:val="0"/>
                    <w:widowControl/>
                    <w:kinsoku/>
                    <w:wordWrap/>
                    <w:overflowPunct/>
                    <w:topLinePunct w:val="0"/>
                    <w:autoSpaceDE/>
                    <w:autoSpaceDN/>
                    <w:bidi w:val="0"/>
                    <w:adjustRightInd/>
                    <w:jc w:val="center"/>
                    <w:textAlignment w:val="auto"/>
                    <w:rPr>
                      <w:rFonts w:hint="eastAsia"/>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粉碎机（打浆机）</w:t>
                  </w:r>
                </w:p>
              </w:tc>
              <w:tc>
                <w:tcPr>
                  <w:tcW w:w="1207" w:type="dxa"/>
                  <w:noWrap w:val="0"/>
                  <w:vAlign w:val="center"/>
                </w:tcPr>
                <w:p w14:paraId="06C2B214">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90</w:t>
                  </w:r>
                </w:p>
              </w:tc>
              <w:tc>
                <w:tcPr>
                  <w:tcW w:w="701" w:type="dxa"/>
                  <w:noWrap w:val="0"/>
                  <w:vAlign w:val="center"/>
                </w:tcPr>
                <w:p w14:paraId="3D358D6F">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restart"/>
                  <w:noWrap w:val="0"/>
                  <w:vAlign w:val="center"/>
                </w:tcPr>
                <w:p w14:paraId="7D08F2C5">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r>
                    <w:rPr>
                      <w:color w:val="auto"/>
                      <w:szCs w:val="21"/>
                      <w:highlight w:val="none"/>
                    </w:rPr>
                    <w:t>基础减振、</w:t>
                  </w:r>
                  <w:r>
                    <w:rPr>
                      <w:rFonts w:hint="eastAsia"/>
                      <w:color w:val="auto"/>
                      <w:szCs w:val="21"/>
                      <w:highlight w:val="none"/>
                    </w:rPr>
                    <w:t>厂房隔声、距离衰减</w:t>
                  </w:r>
                </w:p>
              </w:tc>
              <w:tc>
                <w:tcPr>
                  <w:tcW w:w="1907" w:type="dxa"/>
                  <w:noWrap w:val="0"/>
                  <w:vAlign w:val="center"/>
                </w:tcPr>
                <w:p w14:paraId="3974F2C6">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75</w:t>
                  </w:r>
                </w:p>
              </w:tc>
            </w:tr>
            <w:tr w14:paraId="73FD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1368B1F8">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2</w:t>
                  </w:r>
                </w:p>
              </w:tc>
              <w:tc>
                <w:tcPr>
                  <w:tcW w:w="783" w:type="dxa"/>
                  <w:vMerge w:val="continue"/>
                  <w:noWrap w:val="0"/>
                  <w:vAlign w:val="center"/>
                </w:tcPr>
                <w:p w14:paraId="74F2CFA2">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7BA6FD05">
                  <w:pPr>
                    <w:keepNext w:val="0"/>
                    <w:keepLines w:val="0"/>
                    <w:pageBreakBefore w:val="0"/>
                    <w:widowControl/>
                    <w:kinsoku/>
                    <w:wordWrap/>
                    <w:overflowPunct/>
                    <w:topLinePunct w:val="0"/>
                    <w:autoSpaceDE/>
                    <w:autoSpaceDN/>
                    <w:bidi w:val="0"/>
                    <w:adjustRightInd/>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bidi="ar"/>
                    </w:rPr>
                    <w:t>真空上料机</w:t>
                  </w:r>
                </w:p>
              </w:tc>
              <w:tc>
                <w:tcPr>
                  <w:tcW w:w="1207" w:type="dxa"/>
                  <w:noWrap w:val="0"/>
                  <w:vAlign w:val="center"/>
                </w:tcPr>
                <w:p w14:paraId="331E472F">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85</w:t>
                  </w:r>
                </w:p>
              </w:tc>
              <w:tc>
                <w:tcPr>
                  <w:tcW w:w="701" w:type="dxa"/>
                  <w:noWrap w:val="0"/>
                  <w:vAlign w:val="center"/>
                </w:tcPr>
                <w:p w14:paraId="44AB0F77">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2</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6716A20F">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4240BD67">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r>
            <w:tr w14:paraId="067E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2" w:type="dxa"/>
                  <w:noWrap w:val="0"/>
                  <w:vAlign w:val="center"/>
                </w:tcPr>
                <w:p w14:paraId="507507CD">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3</w:t>
                  </w:r>
                </w:p>
              </w:tc>
              <w:tc>
                <w:tcPr>
                  <w:tcW w:w="783" w:type="dxa"/>
                  <w:vMerge w:val="continue"/>
                  <w:noWrap w:val="0"/>
                  <w:vAlign w:val="center"/>
                </w:tcPr>
                <w:p w14:paraId="6597C838">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39205345">
                  <w:pPr>
                    <w:keepNext w:val="0"/>
                    <w:keepLines w:val="0"/>
                    <w:pageBreakBefore w:val="0"/>
                    <w:widowControl/>
                    <w:kinsoku/>
                    <w:wordWrap/>
                    <w:overflowPunct/>
                    <w:topLinePunct w:val="0"/>
                    <w:autoSpaceDE/>
                    <w:autoSpaceDN/>
                    <w:bidi w:val="0"/>
                    <w:adjustRightInd/>
                    <w:jc w:val="center"/>
                    <w:textAlignment w:val="auto"/>
                    <w:rPr>
                      <w:rFonts w:hint="eastAsia"/>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混料机</w:t>
                  </w:r>
                </w:p>
              </w:tc>
              <w:tc>
                <w:tcPr>
                  <w:tcW w:w="1207" w:type="dxa"/>
                  <w:noWrap w:val="0"/>
                  <w:vAlign w:val="center"/>
                </w:tcPr>
                <w:p w14:paraId="5EFF3DA5">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80</w:t>
                  </w:r>
                </w:p>
              </w:tc>
              <w:tc>
                <w:tcPr>
                  <w:tcW w:w="701" w:type="dxa"/>
                  <w:noWrap w:val="0"/>
                  <w:vAlign w:val="center"/>
                </w:tcPr>
                <w:p w14:paraId="3CE8DA24">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526A3E67">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7F964D50">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65</w:t>
                  </w:r>
                </w:p>
              </w:tc>
            </w:tr>
            <w:tr w14:paraId="2E0C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82" w:type="dxa"/>
                  <w:noWrap w:val="0"/>
                  <w:vAlign w:val="center"/>
                </w:tcPr>
                <w:p w14:paraId="03637C92">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4</w:t>
                  </w:r>
                </w:p>
              </w:tc>
              <w:tc>
                <w:tcPr>
                  <w:tcW w:w="783" w:type="dxa"/>
                  <w:vMerge w:val="continue"/>
                  <w:noWrap w:val="0"/>
                  <w:vAlign w:val="center"/>
                </w:tcPr>
                <w:p w14:paraId="3D2A7318">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1D7D93AE">
                  <w:pPr>
                    <w:keepNext w:val="0"/>
                    <w:keepLines w:val="0"/>
                    <w:pageBreakBefore w:val="0"/>
                    <w:widowControl/>
                    <w:kinsoku/>
                    <w:wordWrap/>
                    <w:overflowPunct/>
                    <w:topLinePunct w:val="0"/>
                    <w:autoSpaceDE/>
                    <w:autoSpaceDN/>
                    <w:bidi w:val="0"/>
                    <w:adjustRightInd/>
                    <w:jc w:val="center"/>
                    <w:textAlignment w:val="auto"/>
                    <w:rPr>
                      <w:rFonts w:hint="eastAsia"/>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杀菌机</w:t>
                  </w:r>
                </w:p>
              </w:tc>
              <w:tc>
                <w:tcPr>
                  <w:tcW w:w="1207" w:type="dxa"/>
                  <w:noWrap w:val="0"/>
                  <w:vAlign w:val="center"/>
                </w:tcPr>
                <w:p w14:paraId="4A59453A">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85</w:t>
                  </w:r>
                </w:p>
              </w:tc>
              <w:tc>
                <w:tcPr>
                  <w:tcW w:w="701" w:type="dxa"/>
                  <w:noWrap w:val="0"/>
                  <w:vAlign w:val="center"/>
                </w:tcPr>
                <w:p w14:paraId="6910CD9F">
                  <w:pPr>
                    <w:keepNext w:val="0"/>
                    <w:keepLines w:val="0"/>
                    <w:pageBreakBefore w:val="0"/>
                    <w:widowControl/>
                    <w:kinsoku/>
                    <w:wordWrap/>
                    <w:overflowPunct/>
                    <w:topLinePunct w:val="0"/>
                    <w:autoSpaceDE/>
                    <w:autoSpaceDN/>
                    <w:bidi w:val="0"/>
                    <w:adjustRightInd/>
                    <w:jc w:val="center"/>
                    <w:textAlignment w:val="auto"/>
                    <w:rPr>
                      <w:rFonts w:hint="eastAsia"/>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45B1CB00">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79A53648">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r>
            <w:tr w14:paraId="42FC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82" w:type="dxa"/>
                  <w:noWrap w:val="0"/>
                  <w:vAlign w:val="center"/>
                </w:tcPr>
                <w:p w14:paraId="0CE357B7">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5</w:t>
                  </w:r>
                </w:p>
              </w:tc>
              <w:tc>
                <w:tcPr>
                  <w:tcW w:w="783" w:type="dxa"/>
                  <w:vMerge w:val="continue"/>
                  <w:noWrap w:val="0"/>
                  <w:vAlign w:val="center"/>
                </w:tcPr>
                <w:p w14:paraId="3A207684">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5F0210E8">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调制器</w:t>
                  </w:r>
                </w:p>
              </w:tc>
              <w:tc>
                <w:tcPr>
                  <w:tcW w:w="1207" w:type="dxa"/>
                  <w:noWrap w:val="0"/>
                  <w:vAlign w:val="center"/>
                </w:tcPr>
                <w:p w14:paraId="60915AB3">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c>
                <w:tcPr>
                  <w:tcW w:w="701" w:type="dxa"/>
                  <w:noWrap w:val="0"/>
                  <w:vAlign w:val="center"/>
                </w:tcPr>
                <w:p w14:paraId="3F73021D">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3</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195A5E67">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0FF99A71">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55</w:t>
                  </w:r>
                </w:p>
              </w:tc>
            </w:tr>
            <w:tr w14:paraId="1167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374EB222">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eastAsia="zh-CN"/>
                    </w:rPr>
                  </w:pPr>
                  <w:r>
                    <w:rPr>
                      <w:rFonts w:hint="eastAsia"/>
                      <w:color w:val="auto"/>
                      <w:kern w:val="0"/>
                      <w:szCs w:val="21"/>
                      <w:highlight w:val="none"/>
                      <w:lang w:val="en-US" w:eastAsia="zh-CN"/>
                    </w:rPr>
                    <w:t>6</w:t>
                  </w:r>
                </w:p>
              </w:tc>
              <w:tc>
                <w:tcPr>
                  <w:tcW w:w="783" w:type="dxa"/>
                  <w:vMerge w:val="continue"/>
                  <w:noWrap w:val="0"/>
                  <w:vAlign w:val="center"/>
                </w:tcPr>
                <w:p w14:paraId="4159CA23">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78A19D87">
                  <w:pPr>
                    <w:keepNext w:val="0"/>
                    <w:keepLines w:val="0"/>
                    <w:pageBreakBefore w:val="0"/>
                    <w:widowControl/>
                    <w:kinsoku/>
                    <w:wordWrap/>
                    <w:overflowPunct/>
                    <w:topLinePunct w:val="0"/>
                    <w:autoSpaceDE/>
                    <w:autoSpaceDN/>
                    <w:bidi w:val="0"/>
                    <w:adjustRightInd/>
                    <w:jc w:val="center"/>
                    <w:textAlignment w:val="auto"/>
                    <w:rPr>
                      <w:rFonts w:hint="eastAsia"/>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灌装机（不同型号）</w:t>
                  </w:r>
                </w:p>
              </w:tc>
              <w:tc>
                <w:tcPr>
                  <w:tcW w:w="1207" w:type="dxa"/>
                  <w:noWrap w:val="0"/>
                  <w:vAlign w:val="center"/>
                </w:tcPr>
                <w:p w14:paraId="7E5AAA5E">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70</w:t>
                  </w:r>
                </w:p>
              </w:tc>
              <w:tc>
                <w:tcPr>
                  <w:tcW w:w="701" w:type="dxa"/>
                  <w:noWrap w:val="0"/>
                  <w:vAlign w:val="center"/>
                </w:tcPr>
                <w:p w14:paraId="2EBA3C36">
                  <w:pPr>
                    <w:keepNext w:val="0"/>
                    <w:keepLines w:val="0"/>
                    <w:pageBreakBefore w:val="0"/>
                    <w:widowControl/>
                    <w:kinsoku/>
                    <w:wordWrap/>
                    <w:overflowPunct/>
                    <w:topLinePunct w:val="0"/>
                    <w:autoSpaceDE/>
                    <w:autoSpaceDN/>
                    <w:bidi w:val="0"/>
                    <w:adjustRightInd/>
                    <w:jc w:val="center"/>
                    <w:textAlignment w:val="auto"/>
                    <w:rPr>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4</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75F6E26B">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3037B6B9">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55</w:t>
                  </w:r>
                </w:p>
              </w:tc>
            </w:tr>
            <w:tr w14:paraId="4720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2" w:type="dxa"/>
                  <w:noWrap w:val="0"/>
                  <w:vAlign w:val="center"/>
                </w:tcPr>
                <w:p w14:paraId="63AABC74">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eastAsia="宋体"/>
                      <w:color w:val="auto"/>
                      <w:kern w:val="0"/>
                      <w:szCs w:val="21"/>
                      <w:highlight w:val="none"/>
                      <w:lang w:val="en-US" w:eastAsia="zh-CN"/>
                    </w:rPr>
                  </w:pPr>
                  <w:r>
                    <w:rPr>
                      <w:rFonts w:hint="eastAsia"/>
                      <w:color w:val="auto"/>
                      <w:kern w:val="0"/>
                      <w:szCs w:val="21"/>
                      <w:highlight w:val="none"/>
                      <w:lang w:val="en-US" w:eastAsia="zh-CN"/>
                    </w:rPr>
                    <w:t>7</w:t>
                  </w:r>
                </w:p>
              </w:tc>
              <w:tc>
                <w:tcPr>
                  <w:tcW w:w="783" w:type="dxa"/>
                  <w:vMerge w:val="continue"/>
                  <w:noWrap w:val="0"/>
                  <w:vAlign w:val="center"/>
                </w:tcPr>
                <w:p w14:paraId="166F333A">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eastAsia"/>
                      <w:color w:val="auto"/>
                      <w:kern w:val="0"/>
                      <w:szCs w:val="21"/>
                      <w:highlight w:val="none"/>
                    </w:rPr>
                  </w:pPr>
                </w:p>
              </w:tc>
              <w:tc>
                <w:tcPr>
                  <w:tcW w:w="1407" w:type="dxa"/>
                  <w:noWrap w:val="0"/>
                  <w:vAlign w:val="center"/>
                </w:tcPr>
                <w:p w14:paraId="1EE89368">
                  <w:pPr>
                    <w:keepNext w:val="0"/>
                    <w:keepLines w:val="0"/>
                    <w:pageBreakBefore w:val="0"/>
                    <w:widowControl/>
                    <w:kinsoku/>
                    <w:wordWrap/>
                    <w:overflowPunct/>
                    <w:topLinePunct w:val="0"/>
                    <w:autoSpaceDE/>
                    <w:autoSpaceDN/>
                    <w:bidi w:val="0"/>
                    <w:adjustRightInd/>
                    <w:jc w:val="center"/>
                    <w:textAlignment w:val="auto"/>
                    <w:rPr>
                      <w:rFonts w:hint="eastAsia"/>
                      <w:color w:val="auto"/>
                      <w:kern w:val="0"/>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纯水设备</w:t>
                  </w:r>
                </w:p>
              </w:tc>
              <w:tc>
                <w:tcPr>
                  <w:tcW w:w="1207" w:type="dxa"/>
                  <w:noWrap w:val="0"/>
                  <w:vAlign w:val="center"/>
                </w:tcPr>
                <w:p w14:paraId="205ABD5D">
                  <w:pPr>
                    <w:keepNext w:val="0"/>
                    <w:keepLines w:val="0"/>
                    <w:pageBreakBefore w:val="0"/>
                    <w:widowControl/>
                    <w:kinsoku/>
                    <w:wordWrap/>
                    <w:overflowPunct/>
                    <w:topLinePunct w:val="0"/>
                    <w:autoSpaceDE/>
                    <w:autoSpaceDN/>
                    <w:bidi w:val="0"/>
                    <w:adjustRightInd/>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80</w:t>
                  </w:r>
                </w:p>
              </w:tc>
              <w:tc>
                <w:tcPr>
                  <w:tcW w:w="701" w:type="dxa"/>
                  <w:noWrap w:val="0"/>
                  <w:vAlign w:val="center"/>
                </w:tcPr>
                <w:p w14:paraId="34B1DF58">
                  <w:pPr>
                    <w:keepNext w:val="0"/>
                    <w:keepLines w:val="0"/>
                    <w:pageBreakBefore w:val="0"/>
                    <w:widowControl/>
                    <w:kinsoku/>
                    <w:wordWrap/>
                    <w:overflowPunct/>
                    <w:topLinePunct w:val="0"/>
                    <w:autoSpaceDE/>
                    <w:autoSpaceDN/>
                    <w:bidi w:val="0"/>
                    <w:adjustRightInd/>
                    <w:jc w:val="center"/>
                    <w:textAlignment w:val="auto"/>
                    <w:rPr>
                      <w:rFonts w:hint="eastAsia"/>
                      <w:color w:val="auto"/>
                      <w:szCs w:val="21"/>
                      <w:highlight w:val="none"/>
                    </w:rPr>
                  </w:pPr>
                  <w:r>
                    <w:rPr>
                      <w:rFonts w:hint="eastAsia" w:ascii="Times New Roman" w:hAnsi="Times New Roman" w:eastAsia="宋体" w:cs="Times New Roman"/>
                      <w:b w:val="0"/>
                      <w:bCs w:val="0"/>
                      <w:color w:val="auto"/>
                      <w:kern w:val="0"/>
                      <w:sz w:val="21"/>
                      <w:szCs w:val="21"/>
                      <w:highlight w:val="none"/>
                      <w:lang w:val="en-US" w:eastAsia="zh-CN" w:bidi="ar"/>
                    </w:rPr>
                    <w:t>1</w:t>
                  </w:r>
                  <w:r>
                    <w:rPr>
                      <w:rFonts w:hint="default" w:ascii="Times New Roman" w:hAnsi="Times New Roman" w:eastAsia="宋体" w:cs="Times New Roman"/>
                      <w:b w:val="0"/>
                      <w:bCs w:val="0"/>
                      <w:color w:val="auto"/>
                      <w:kern w:val="0"/>
                      <w:sz w:val="21"/>
                      <w:szCs w:val="21"/>
                      <w:highlight w:val="none"/>
                      <w:lang w:bidi="ar"/>
                    </w:rPr>
                    <w:t>台</w:t>
                  </w:r>
                </w:p>
              </w:tc>
              <w:tc>
                <w:tcPr>
                  <w:tcW w:w="1210" w:type="dxa"/>
                  <w:vMerge w:val="continue"/>
                  <w:noWrap w:val="0"/>
                  <w:vAlign w:val="center"/>
                </w:tcPr>
                <w:p w14:paraId="4919C516">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color w:val="auto"/>
                      <w:kern w:val="0"/>
                      <w:szCs w:val="21"/>
                      <w:highlight w:val="none"/>
                    </w:rPr>
                  </w:pPr>
                </w:p>
              </w:tc>
              <w:tc>
                <w:tcPr>
                  <w:tcW w:w="1907" w:type="dxa"/>
                  <w:noWrap w:val="0"/>
                  <w:vAlign w:val="center"/>
                </w:tcPr>
                <w:p w14:paraId="1DAE2004">
                  <w:pPr>
                    <w:keepNext w:val="0"/>
                    <w:keepLines w:val="0"/>
                    <w:pageBreakBefore w:val="0"/>
                    <w:widowControl/>
                    <w:kinsoku/>
                    <w:wordWrap/>
                    <w:overflowPunct/>
                    <w:topLinePunct w:val="0"/>
                    <w:autoSpaceDE/>
                    <w:autoSpaceDN/>
                    <w:bidi w:val="0"/>
                    <w:adjustRightInd/>
                    <w:snapToGrid w:val="0"/>
                    <w:spacing w:before="72" w:beforeLines="30" w:after="72" w:afterLines="30"/>
                    <w:jc w:val="center"/>
                    <w:textAlignment w:val="auto"/>
                    <w:rPr>
                      <w:rFonts w:hint="default" w:eastAsia="宋体"/>
                      <w:color w:val="auto"/>
                      <w:kern w:val="0"/>
                      <w:szCs w:val="21"/>
                      <w:highlight w:val="none"/>
                      <w:lang w:val="en-US" w:eastAsia="zh-CN"/>
                    </w:rPr>
                  </w:pPr>
                  <w:r>
                    <w:rPr>
                      <w:rFonts w:hint="eastAsia"/>
                      <w:color w:val="auto"/>
                      <w:kern w:val="0"/>
                      <w:szCs w:val="21"/>
                      <w:highlight w:val="none"/>
                      <w:lang w:val="en-US" w:eastAsia="zh-CN"/>
                    </w:rPr>
                    <w:t>65</w:t>
                  </w:r>
                </w:p>
              </w:tc>
            </w:tr>
          </w:tbl>
          <w:p w14:paraId="58FE0ECB">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color w:val="auto"/>
                <w:spacing w:val="4"/>
                <w:sz w:val="24"/>
                <w:highlight w:val="none"/>
              </w:rPr>
            </w:pPr>
            <w:r>
              <w:rPr>
                <w:rFonts w:hint="eastAsia"/>
                <w:color w:val="auto"/>
                <w:spacing w:val="4"/>
                <w:sz w:val="24"/>
                <w:highlight w:val="none"/>
              </w:rPr>
              <w:t>2、噪声影响分析</w:t>
            </w:r>
          </w:p>
          <w:p w14:paraId="42A5F506">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color w:val="auto"/>
                <w:spacing w:val="4"/>
                <w:sz w:val="24"/>
                <w:highlight w:val="none"/>
              </w:rPr>
            </w:pPr>
            <w:r>
              <w:rPr>
                <w:color w:val="auto"/>
                <w:spacing w:val="4"/>
                <w:sz w:val="24"/>
                <w:highlight w:val="none"/>
              </w:rPr>
              <w:t>根据《环境影响评价技术导则－声环境》（HJ2.4－20</w:t>
            </w:r>
            <w:r>
              <w:rPr>
                <w:rFonts w:hint="eastAsia"/>
                <w:color w:val="auto"/>
                <w:spacing w:val="4"/>
                <w:sz w:val="24"/>
                <w:highlight w:val="none"/>
              </w:rPr>
              <w:t>21</w:t>
            </w:r>
            <w:r>
              <w:rPr>
                <w:color w:val="auto"/>
                <w:spacing w:val="4"/>
                <w:sz w:val="24"/>
                <w:highlight w:val="none"/>
              </w:rPr>
              <w:t>）的规定，该项目营运期噪声预测采用以下预测模式。</w:t>
            </w:r>
          </w:p>
          <w:p w14:paraId="3F39CB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① 室内声源</w:t>
            </w:r>
          </w:p>
          <w:p w14:paraId="04C95E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厂房内有K个噪声</w:t>
            </w:r>
          </w:p>
          <w:p w14:paraId="05CE28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color w:val="auto"/>
                <w:sz w:val="24"/>
                <w:highlight w:val="none"/>
              </w:rPr>
              <w:t>源时，第i个声源在室内靠近围护结构（门、窗、墙体）某点处的A声级：</w:t>
            </w:r>
          </w:p>
          <w:p w14:paraId="25734FDA">
            <w:pPr>
              <w:keepNext w:val="0"/>
              <w:keepLines w:val="0"/>
              <w:pageBreakBefore w:val="0"/>
              <w:widowControl w:val="0"/>
              <w:kinsoku/>
              <w:wordWrap/>
              <w:overflowPunct/>
              <w:topLinePunct w:val="0"/>
              <w:autoSpaceDE/>
              <w:autoSpaceDN/>
              <w:bidi w:val="0"/>
              <w:adjustRightInd w:val="0"/>
              <w:snapToGrid w:val="0"/>
              <w:spacing w:after="157" w:afterLines="50" w:line="470" w:lineRule="exact"/>
              <w:ind w:firstLine="2160" w:firstLineChars="900"/>
              <w:textAlignment w:val="auto"/>
              <w:rPr>
                <w:snapToGrid w:val="0"/>
                <w:color w:val="auto"/>
                <w:sz w:val="24"/>
                <w:highlight w:val="none"/>
              </w:rPr>
            </w:pPr>
            <w:r>
              <w:rPr>
                <w:color w:val="auto"/>
                <w:position w:val="-34"/>
                <w:sz w:val="24"/>
                <w:highlight w:val="none"/>
              </w:rPr>
              <w:pict>
                <v:shape id="Object 165" o:spid="_x0000_s2213" o:spt="75" type="#_x0000_t75" style="position:absolute;left:0pt;margin-left:108pt;margin-top:2.3pt;height:33.5pt;width:114.65pt;z-index:251662336;mso-width-relative:page;mso-height-relative:page;" o:ole="t" filled="f" o:preferrelative="t" stroked="f" coordsize="21600,21600">
                  <v:path/>
                  <v:fill on="f" focussize="0,0"/>
                  <v:stroke on="f"/>
                  <v:imagedata r:id="rId20" o:title=""/>
                  <o:lock v:ext="edit" aspectratio="t"/>
                </v:shape>
                <o:OLEObject Type="Embed" ProgID="" ShapeID="Object 165" DrawAspect="Content" ObjectID="_1468075729" r:id="rId19">
                  <o:LockedField>false</o:LockedField>
                </o:OLEObject>
              </w:pict>
            </w:r>
          </w:p>
          <w:p w14:paraId="0C0DE3D9">
            <w:pPr>
              <w:keepNext w:val="0"/>
              <w:keepLines w:val="0"/>
              <w:pageBreakBefore w:val="0"/>
              <w:widowControl w:val="0"/>
              <w:kinsoku/>
              <w:wordWrap/>
              <w:overflowPunct/>
              <w:topLinePunct w:val="0"/>
              <w:autoSpaceDE/>
              <w:autoSpaceDN/>
              <w:bidi w:val="0"/>
              <w:adjustRightInd w:val="0"/>
              <w:snapToGrid w:val="0"/>
              <w:spacing w:line="470" w:lineRule="exact"/>
              <w:textAlignment w:val="auto"/>
              <w:rPr>
                <w:snapToGrid w:val="0"/>
                <w:color w:val="auto"/>
                <w:sz w:val="24"/>
                <w:highlight w:val="none"/>
              </w:rPr>
            </w:pPr>
            <w:r>
              <w:rPr>
                <w:snapToGrid w:val="0"/>
                <w:color w:val="auto"/>
                <w:sz w:val="24"/>
                <w:highlight w:val="none"/>
              </w:rPr>
              <w:t>式中：</w:t>
            </w:r>
            <w:r>
              <w:rPr>
                <w:i/>
                <w:iCs/>
                <w:snapToGrid w:val="0"/>
                <w:color w:val="auto"/>
                <w:sz w:val="24"/>
                <w:highlight w:val="none"/>
              </w:rPr>
              <w:t>L</w:t>
            </w:r>
            <w:r>
              <w:rPr>
                <w:i/>
                <w:iCs/>
                <w:snapToGrid w:val="0"/>
                <w:color w:val="auto"/>
                <w:sz w:val="24"/>
                <w:highlight w:val="none"/>
                <w:vertAlign w:val="subscript"/>
              </w:rPr>
              <w:t>Wi</w:t>
            </w:r>
            <w:r>
              <w:rPr>
                <w:snapToGrid w:val="0"/>
                <w:color w:val="auto"/>
                <w:sz w:val="24"/>
                <w:highlight w:val="none"/>
                <w:vertAlign w:val="subscript"/>
              </w:rPr>
              <w:t xml:space="preserve"> </w:t>
            </w:r>
            <w:r>
              <w:rPr>
                <w:snapToGrid w:val="0"/>
                <w:color w:val="auto"/>
                <w:sz w:val="24"/>
                <w:highlight w:val="none"/>
              </w:rPr>
              <w:sym w:font="Symbol" w:char="F0BE"/>
            </w:r>
            <w:r>
              <w:rPr>
                <w:snapToGrid w:val="0"/>
                <w:color w:val="auto"/>
                <w:sz w:val="24"/>
                <w:highlight w:val="none"/>
              </w:rPr>
              <w:t xml:space="preserve"> 第</w:t>
            </w:r>
            <w:r>
              <w:rPr>
                <w:i/>
                <w:iCs/>
                <w:snapToGrid w:val="0"/>
                <w:color w:val="auto"/>
                <w:sz w:val="24"/>
                <w:highlight w:val="none"/>
              </w:rPr>
              <w:t>i</w:t>
            </w:r>
            <w:r>
              <w:rPr>
                <w:snapToGrid w:val="0"/>
                <w:color w:val="auto"/>
                <w:sz w:val="24"/>
                <w:highlight w:val="none"/>
              </w:rPr>
              <w:t>个声源的A声功率级；</w:t>
            </w:r>
          </w:p>
          <w:p w14:paraId="7179DDF5">
            <w:pPr>
              <w:pStyle w:val="75"/>
              <w:keepNext w:val="0"/>
              <w:keepLines w:val="0"/>
              <w:pageBreakBefore w:val="0"/>
              <w:widowControl w:val="0"/>
              <w:kinsoku/>
              <w:wordWrap/>
              <w:overflowPunct/>
              <w:topLinePunct w:val="0"/>
              <w:autoSpaceDE/>
              <w:autoSpaceDN/>
              <w:bidi w:val="0"/>
              <w:adjustRightInd w:val="0"/>
              <w:snapToGrid w:val="0"/>
              <w:spacing w:line="470" w:lineRule="exact"/>
              <w:textAlignment w:val="auto"/>
              <w:rPr>
                <w:snapToGrid w:val="0"/>
                <w:color w:val="auto"/>
                <w:highlight w:val="none"/>
              </w:rPr>
            </w:pPr>
            <w:r>
              <w:rPr>
                <w:i/>
                <w:iCs/>
                <w:snapToGrid w:val="0"/>
                <w:color w:val="auto"/>
                <w:highlight w:val="none"/>
              </w:rPr>
              <w:t xml:space="preserve">  Q</w:t>
            </w:r>
            <w:r>
              <w:rPr>
                <w:i/>
                <w:iCs/>
                <w:snapToGrid w:val="0"/>
                <w:color w:val="auto"/>
                <w:highlight w:val="none"/>
                <w:vertAlign w:val="subscript"/>
              </w:rPr>
              <w:t xml:space="preserve">i </w:t>
            </w:r>
            <w:r>
              <w:rPr>
                <w:snapToGrid w:val="0"/>
                <w:color w:val="auto"/>
                <w:highlight w:val="none"/>
              </w:rPr>
              <w:sym w:font="Symbol" w:char="F0BE"/>
            </w:r>
            <w:r>
              <w:rPr>
                <w:snapToGrid w:val="0"/>
                <w:color w:val="auto"/>
                <w:highlight w:val="none"/>
                <w:vertAlign w:val="subscript"/>
              </w:rPr>
              <w:t xml:space="preserve">  </w:t>
            </w:r>
            <w:r>
              <w:rPr>
                <w:snapToGrid w:val="0"/>
                <w:color w:val="auto"/>
                <w:highlight w:val="none"/>
              </w:rPr>
              <w:t>第</w:t>
            </w:r>
            <w:r>
              <w:rPr>
                <w:i/>
                <w:iCs/>
                <w:snapToGrid w:val="0"/>
                <w:color w:val="auto"/>
                <w:highlight w:val="none"/>
              </w:rPr>
              <w:t>i</w:t>
            </w:r>
            <w:r>
              <w:rPr>
                <w:snapToGrid w:val="0"/>
                <w:color w:val="auto"/>
                <w:highlight w:val="none"/>
              </w:rPr>
              <w:t>个声源的方向因子；</w:t>
            </w:r>
          </w:p>
          <w:p w14:paraId="19E6523D">
            <w:pPr>
              <w:keepNext w:val="0"/>
              <w:keepLines w:val="0"/>
              <w:pageBreakBefore w:val="0"/>
              <w:widowControl w:val="0"/>
              <w:kinsoku/>
              <w:wordWrap/>
              <w:overflowPunct/>
              <w:topLinePunct w:val="0"/>
              <w:autoSpaceDE/>
              <w:autoSpaceDN/>
              <w:bidi w:val="0"/>
              <w:adjustRightInd w:val="0"/>
              <w:snapToGrid w:val="0"/>
              <w:spacing w:line="470" w:lineRule="exact"/>
              <w:jc w:val="left"/>
              <w:textAlignment w:val="auto"/>
              <w:rPr>
                <w:snapToGrid w:val="0"/>
                <w:color w:val="auto"/>
                <w:sz w:val="24"/>
                <w:highlight w:val="none"/>
              </w:rPr>
            </w:pPr>
            <w:r>
              <w:rPr>
                <w:i/>
                <w:iCs/>
                <w:snapToGrid w:val="0"/>
                <w:color w:val="auto"/>
                <w:sz w:val="24"/>
                <w:highlight w:val="none"/>
              </w:rPr>
              <w:t xml:space="preserve">      r</w:t>
            </w:r>
            <w:r>
              <w:rPr>
                <w:i/>
                <w:iCs/>
                <w:snapToGrid w:val="0"/>
                <w:color w:val="auto"/>
                <w:sz w:val="24"/>
                <w:highlight w:val="none"/>
                <w:vertAlign w:val="subscript"/>
              </w:rPr>
              <w:t xml:space="preserve">i </w:t>
            </w:r>
            <w:r>
              <w:rPr>
                <w:snapToGrid w:val="0"/>
                <w:color w:val="auto"/>
                <w:sz w:val="24"/>
                <w:highlight w:val="none"/>
              </w:rPr>
              <w:sym w:font="Symbol" w:char="F0BE"/>
            </w:r>
            <w:r>
              <w:rPr>
                <w:snapToGrid w:val="0"/>
                <w:color w:val="auto"/>
                <w:sz w:val="24"/>
                <w:highlight w:val="none"/>
                <w:vertAlign w:val="subscript"/>
              </w:rPr>
              <w:t xml:space="preserve">  </w:t>
            </w:r>
            <w:r>
              <w:rPr>
                <w:snapToGrid w:val="0"/>
                <w:color w:val="auto"/>
                <w:sz w:val="24"/>
                <w:highlight w:val="none"/>
              </w:rPr>
              <w:t>声源</w:t>
            </w:r>
            <w:r>
              <w:rPr>
                <w:i/>
                <w:iCs/>
                <w:snapToGrid w:val="0"/>
                <w:color w:val="auto"/>
                <w:sz w:val="24"/>
                <w:highlight w:val="none"/>
              </w:rPr>
              <w:t>i</w:t>
            </w:r>
            <w:r>
              <w:rPr>
                <w:snapToGrid w:val="0"/>
                <w:color w:val="auto"/>
                <w:sz w:val="24"/>
                <w:highlight w:val="none"/>
              </w:rPr>
              <w:t>至室内靠近围护结构某点的距离；</w:t>
            </w:r>
          </w:p>
          <w:p w14:paraId="4E332019">
            <w:pPr>
              <w:keepNext w:val="0"/>
              <w:keepLines w:val="0"/>
              <w:pageBreakBefore w:val="0"/>
              <w:widowControl w:val="0"/>
              <w:kinsoku/>
              <w:wordWrap/>
              <w:overflowPunct/>
              <w:topLinePunct w:val="0"/>
              <w:autoSpaceDE/>
              <w:autoSpaceDN/>
              <w:bidi w:val="0"/>
              <w:adjustRightInd w:val="0"/>
              <w:snapToGrid w:val="0"/>
              <w:spacing w:line="470" w:lineRule="exact"/>
              <w:jc w:val="left"/>
              <w:textAlignment w:val="auto"/>
              <w:rPr>
                <w:snapToGrid w:val="0"/>
                <w:color w:val="auto"/>
                <w:spacing w:val="4"/>
                <w:sz w:val="24"/>
                <w:highlight w:val="none"/>
              </w:rPr>
            </w:pPr>
            <w:r>
              <w:rPr>
                <w:snapToGrid w:val="0"/>
                <w:color w:val="auto"/>
                <w:sz w:val="24"/>
                <w:highlight w:val="none"/>
              </w:rPr>
              <w:t xml:space="preserve">      </w:t>
            </w:r>
            <w:r>
              <w:rPr>
                <w:i/>
                <w:iCs/>
                <w:snapToGrid w:val="0"/>
                <w:color w:val="auto"/>
                <w:sz w:val="24"/>
                <w:highlight w:val="none"/>
              </w:rPr>
              <w:t>R</w:t>
            </w:r>
            <w:r>
              <w:rPr>
                <w:i/>
                <w:iCs/>
                <w:snapToGrid w:val="0"/>
                <w:color w:val="auto"/>
                <w:sz w:val="24"/>
                <w:highlight w:val="none"/>
                <w:vertAlign w:val="subscript"/>
              </w:rPr>
              <w:t>i</w:t>
            </w:r>
            <w:r>
              <w:rPr>
                <w:snapToGrid w:val="0"/>
                <w:color w:val="auto"/>
                <w:sz w:val="24"/>
                <w:highlight w:val="none"/>
                <w:vertAlign w:val="subscript"/>
              </w:rPr>
              <w:t xml:space="preserve"> </w:t>
            </w:r>
            <w:r>
              <w:rPr>
                <w:snapToGrid w:val="0"/>
                <w:color w:val="auto"/>
                <w:sz w:val="24"/>
                <w:highlight w:val="none"/>
              </w:rPr>
              <w:sym w:font="Symbol" w:char="F0BE"/>
            </w:r>
            <w:r>
              <w:rPr>
                <w:snapToGrid w:val="0"/>
                <w:color w:val="auto"/>
                <w:sz w:val="24"/>
                <w:highlight w:val="none"/>
              </w:rPr>
              <w:t xml:space="preserve"> 第</w:t>
            </w:r>
            <w:r>
              <w:rPr>
                <w:i/>
                <w:iCs/>
                <w:snapToGrid w:val="0"/>
                <w:color w:val="auto"/>
                <w:sz w:val="24"/>
                <w:highlight w:val="none"/>
              </w:rPr>
              <w:t>i</w:t>
            </w:r>
            <w:r>
              <w:rPr>
                <w:snapToGrid w:val="0"/>
                <w:color w:val="auto"/>
                <w:sz w:val="24"/>
                <w:highlight w:val="none"/>
              </w:rPr>
              <w:t>个声源所在厂房的房间常数；</w:t>
            </w:r>
          </w:p>
          <w:p w14:paraId="7DD0C838">
            <w:pPr>
              <w:keepNext w:val="0"/>
              <w:keepLines w:val="0"/>
              <w:pageBreakBefore w:val="0"/>
              <w:widowControl w:val="0"/>
              <w:kinsoku/>
              <w:wordWrap/>
              <w:overflowPunct/>
              <w:topLinePunct w:val="0"/>
              <w:autoSpaceDE/>
              <w:autoSpaceDN/>
              <w:bidi w:val="0"/>
              <w:adjustRightInd w:val="0"/>
              <w:snapToGrid w:val="0"/>
              <w:spacing w:line="470" w:lineRule="exact"/>
              <w:ind w:firstLine="496" w:firstLineChars="200"/>
              <w:jc w:val="left"/>
              <w:textAlignment w:val="auto"/>
              <w:rPr>
                <w:snapToGrid w:val="0"/>
                <w:color w:val="auto"/>
                <w:spacing w:val="4"/>
                <w:sz w:val="24"/>
                <w:highlight w:val="none"/>
              </w:rPr>
            </w:pPr>
            <w:r>
              <w:rPr>
                <w:snapToGrid w:val="0"/>
                <w:color w:val="auto"/>
                <w:spacing w:val="4"/>
                <w:sz w:val="24"/>
                <w:highlight w:val="none"/>
              </w:rPr>
              <w:t>厂房内K个声源在室内靠近围护结构处某点的A声级：</w:t>
            </w:r>
          </w:p>
          <w:p w14:paraId="1B8D6B0E">
            <w:pPr>
              <w:keepNext w:val="0"/>
              <w:keepLines w:val="0"/>
              <w:pageBreakBefore w:val="0"/>
              <w:widowControl w:val="0"/>
              <w:kinsoku/>
              <w:wordWrap/>
              <w:overflowPunct/>
              <w:topLinePunct w:val="0"/>
              <w:autoSpaceDE/>
              <w:autoSpaceDN/>
              <w:bidi w:val="0"/>
              <w:adjustRightInd w:val="0"/>
              <w:snapToGrid w:val="0"/>
              <w:spacing w:line="470" w:lineRule="exact"/>
              <w:ind w:firstLine="496" w:firstLineChars="200"/>
              <w:jc w:val="left"/>
              <w:textAlignment w:val="auto"/>
              <w:rPr>
                <w:snapToGrid w:val="0"/>
                <w:color w:val="auto"/>
                <w:spacing w:val="4"/>
                <w:sz w:val="24"/>
                <w:highlight w:val="none"/>
              </w:rPr>
            </w:pPr>
            <w:r>
              <w:rPr>
                <w:snapToGrid w:val="0"/>
                <w:color w:val="auto"/>
                <w:spacing w:val="4"/>
                <w:sz w:val="24"/>
                <w:highlight w:val="none"/>
              </w:rPr>
              <w:t>厂房外靠近围护结构处某点的A声级：</w:t>
            </w:r>
          </w:p>
          <w:p w14:paraId="2C98A81D">
            <w:pPr>
              <w:keepNext w:val="0"/>
              <w:keepLines w:val="0"/>
              <w:pageBreakBefore w:val="0"/>
              <w:widowControl w:val="0"/>
              <w:kinsoku/>
              <w:wordWrap/>
              <w:overflowPunct/>
              <w:topLinePunct w:val="0"/>
              <w:autoSpaceDE/>
              <w:autoSpaceDN/>
              <w:bidi w:val="0"/>
              <w:adjustRightInd w:val="0"/>
              <w:snapToGrid w:val="0"/>
              <w:spacing w:line="470" w:lineRule="exact"/>
              <w:ind w:firstLine="2760" w:firstLineChars="1150"/>
              <w:textAlignment w:val="auto"/>
              <w:rPr>
                <w:snapToGrid w:val="0"/>
                <w:color w:val="auto"/>
                <w:spacing w:val="4"/>
                <w:sz w:val="24"/>
                <w:highlight w:val="none"/>
              </w:rPr>
            </w:pPr>
            <w:r>
              <w:rPr>
                <w:color w:val="auto"/>
                <w:position w:val="-10"/>
                <w:sz w:val="24"/>
                <w:highlight w:val="none"/>
              </w:rPr>
              <w:object>
                <v:shape id="_x0000_i1028" o:spt="75" type="#_x0000_t75" style="height:18.6pt;width:93.1pt;" o:ole="t" filled="f" o:preferrelative="t" stroked="f" coordsize="21600,21600">
                  <v:path/>
                  <v:fill on="f" focussize="0,0"/>
                  <v:stroke on="f"/>
                  <v:imagedata r:id="rId22" o:title=""/>
                  <o:lock v:ext="edit" aspectratio="t"/>
                  <w10:wrap type="none"/>
                  <w10:anchorlock/>
                </v:shape>
                <o:OLEObject Type="Embed" ProgID="Equation.3" ShapeID="_x0000_i1028" DrawAspect="Content" ObjectID="_1468075730" r:id="rId21">
                  <o:LockedField>false</o:LockedField>
                </o:OLEObject>
              </w:object>
            </w:r>
          </w:p>
          <w:p w14:paraId="17336B0D">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jc w:val="left"/>
              <w:textAlignment w:val="auto"/>
              <w:rPr>
                <w:snapToGrid w:val="0"/>
                <w:color w:val="auto"/>
                <w:sz w:val="24"/>
                <w:highlight w:val="none"/>
              </w:rPr>
            </w:pPr>
            <w:r>
              <w:rPr>
                <w:snapToGrid w:val="0"/>
                <w:color w:val="auto"/>
                <w:sz w:val="24"/>
                <w:highlight w:val="none"/>
              </w:rPr>
              <w:t>把围护结构当作等效室外声源，按室外声源的计算方法，计算该等效室外声源在某个预测点处的声级L。</w:t>
            </w:r>
          </w:p>
          <w:p w14:paraId="33971212">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jc w:val="left"/>
              <w:textAlignment w:val="auto"/>
              <w:rPr>
                <w:snapToGrid w:val="0"/>
                <w:color w:val="auto"/>
                <w:sz w:val="24"/>
                <w:highlight w:val="none"/>
              </w:rPr>
            </w:pPr>
            <w:r>
              <w:rPr>
                <w:snapToGrid w:val="0"/>
                <w:color w:val="auto"/>
                <w:sz w:val="24"/>
                <w:highlight w:val="none"/>
              </w:rPr>
              <w:t>② 噪声在室外传播过程中的衰减计算公式：</w:t>
            </w:r>
          </w:p>
          <w:p w14:paraId="42CF0A05">
            <w:pPr>
              <w:pStyle w:val="75"/>
              <w:keepNext w:val="0"/>
              <w:keepLines w:val="0"/>
              <w:pageBreakBefore w:val="0"/>
              <w:widowControl w:val="0"/>
              <w:kinsoku/>
              <w:wordWrap/>
              <w:overflowPunct/>
              <w:topLinePunct w:val="0"/>
              <w:autoSpaceDE/>
              <w:autoSpaceDN/>
              <w:bidi w:val="0"/>
              <w:adjustRightInd w:val="0"/>
              <w:snapToGrid w:val="0"/>
              <w:spacing w:line="470" w:lineRule="exact"/>
              <w:jc w:val="center"/>
              <w:textAlignment w:val="auto"/>
              <w:rPr>
                <w:color w:val="auto"/>
                <w:highlight w:val="none"/>
              </w:rPr>
            </w:pPr>
            <w:r>
              <w:rPr>
                <w:snapToGrid w:val="0"/>
                <w:color w:val="auto"/>
                <w:highlight w:val="none"/>
              </w:rPr>
              <w:object>
                <v:shape id="_x0000_i1029" o:spt="75" type="#_x0000_t75" style="height:18.6pt;width:199.85pt;" o:ole="t" filled="f" o:preferrelative="t" stroked="f" coordsize="21600,21600">
                  <v:path/>
                  <v:fill on="f" focussize="0,0"/>
                  <v:stroke on="f"/>
                  <v:imagedata r:id="rId24" o:title=""/>
                  <o:lock v:ext="edit" aspectratio="t"/>
                  <w10:wrap type="none"/>
                  <w10:anchorlock/>
                </v:shape>
                <o:OLEObject Type="Embed" ProgID="Equation.3" ShapeID="_x0000_i1029" DrawAspect="Content" ObjectID="_1468075731" r:id="rId23">
                  <o:LockedField>false</o:LockedField>
                </o:OLEObject>
              </w:object>
            </w:r>
          </w:p>
          <w:p w14:paraId="39D1B4F5">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i/>
                <w:iCs/>
                <w:snapToGrid w:val="0"/>
                <w:color w:val="auto"/>
                <w:sz w:val="24"/>
                <w:highlight w:val="none"/>
              </w:rPr>
            </w:pPr>
            <w:r>
              <w:rPr>
                <w:snapToGrid w:val="0"/>
                <w:color w:val="auto"/>
                <w:sz w:val="24"/>
                <w:highlight w:val="none"/>
              </w:rPr>
              <w:t>式中，</w:t>
            </w:r>
            <w:r>
              <w:rPr>
                <w:i/>
                <w:iCs/>
                <w:snapToGrid w:val="0"/>
                <w:color w:val="auto"/>
                <w:sz w:val="24"/>
                <w:highlight w:val="none"/>
              </w:rPr>
              <w:t>L</w:t>
            </w:r>
            <w:r>
              <w:rPr>
                <w:i/>
                <w:iCs/>
                <w:snapToGrid w:val="0"/>
                <w:color w:val="auto"/>
                <w:sz w:val="24"/>
                <w:highlight w:val="none"/>
                <w:vertAlign w:val="subscript"/>
              </w:rPr>
              <w:t>A(r)</w:t>
            </w:r>
            <w:r>
              <w:rPr>
                <w:snapToGrid w:val="0"/>
                <w:color w:val="auto"/>
                <w:sz w:val="24"/>
                <w:highlight w:val="none"/>
              </w:rPr>
              <w:t xml:space="preserve"> </w:t>
            </w:r>
            <w:r>
              <w:rPr>
                <w:snapToGrid w:val="0"/>
                <w:color w:val="auto"/>
                <w:sz w:val="24"/>
                <w:highlight w:val="none"/>
              </w:rPr>
              <w:sym w:font="Symbol" w:char="F0BE"/>
            </w:r>
            <w:r>
              <w:rPr>
                <w:snapToGrid w:val="0"/>
                <w:color w:val="auto"/>
                <w:sz w:val="24"/>
                <w:highlight w:val="none"/>
                <w:vertAlign w:val="subscript"/>
              </w:rPr>
              <w:t xml:space="preserve">  </w:t>
            </w:r>
            <w:r>
              <w:rPr>
                <w:snapToGrid w:val="0"/>
                <w:color w:val="auto"/>
                <w:sz w:val="24"/>
                <w:highlight w:val="none"/>
              </w:rPr>
              <w:t>距等效室外声源</w:t>
            </w:r>
            <w:r>
              <w:rPr>
                <w:i/>
                <w:iCs/>
                <w:snapToGrid w:val="0"/>
                <w:color w:val="auto"/>
                <w:sz w:val="24"/>
                <w:highlight w:val="none"/>
              </w:rPr>
              <w:t>r</w:t>
            </w:r>
            <w:r>
              <w:rPr>
                <w:snapToGrid w:val="0"/>
                <w:color w:val="auto"/>
                <w:sz w:val="24"/>
                <w:highlight w:val="none"/>
              </w:rPr>
              <w:t>处的A声级；</w:t>
            </w:r>
          </w:p>
          <w:p w14:paraId="74032DFE">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i/>
                <w:iCs/>
                <w:snapToGrid w:val="0"/>
                <w:color w:val="auto"/>
                <w:sz w:val="24"/>
                <w:highlight w:val="none"/>
              </w:rPr>
              <w:t xml:space="preserve">     L</w:t>
            </w:r>
            <w:r>
              <w:rPr>
                <w:i/>
                <w:iCs/>
                <w:snapToGrid w:val="0"/>
                <w:color w:val="auto"/>
                <w:sz w:val="24"/>
                <w:highlight w:val="none"/>
                <w:vertAlign w:val="subscript"/>
              </w:rPr>
              <w:t>Aref(ro)</w:t>
            </w:r>
            <w:r>
              <w:rPr>
                <w:snapToGrid w:val="0"/>
                <w:color w:val="auto"/>
                <w:sz w:val="24"/>
                <w:highlight w:val="none"/>
              </w:rPr>
              <w:t xml:space="preserve"> </w:t>
            </w:r>
            <w:r>
              <w:rPr>
                <w:snapToGrid w:val="0"/>
                <w:color w:val="auto"/>
                <w:sz w:val="24"/>
                <w:highlight w:val="none"/>
              </w:rPr>
              <w:sym w:font="Symbol" w:char="F0BE"/>
            </w:r>
            <w:r>
              <w:rPr>
                <w:snapToGrid w:val="0"/>
                <w:color w:val="auto"/>
                <w:sz w:val="24"/>
                <w:highlight w:val="none"/>
                <w:vertAlign w:val="subscript"/>
              </w:rPr>
              <w:t xml:space="preserve">  </w:t>
            </w:r>
            <w:r>
              <w:rPr>
                <w:snapToGrid w:val="0"/>
                <w:color w:val="auto"/>
                <w:sz w:val="24"/>
                <w:highlight w:val="none"/>
              </w:rPr>
              <w:t>参考位置</w:t>
            </w:r>
            <w:r>
              <w:rPr>
                <w:i/>
                <w:iCs/>
                <w:snapToGrid w:val="0"/>
                <w:color w:val="auto"/>
                <w:sz w:val="24"/>
                <w:highlight w:val="none"/>
              </w:rPr>
              <w:t>r</w:t>
            </w:r>
            <w:r>
              <w:rPr>
                <w:i/>
                <w:iCs/>
                <w:snapToGrid w:val="0"/>
                <w:color w:val="auto"/>
                <w:sz w:val="24"/>
                <w:highlight w:val="none"/>
                <w:vertAlign w:val="subscript"/>
              </w:rPr>
              <w:t>0</w:t>
            </w:r>
            <w:r>
              <w:rPr>
                <w:snapToGrid w:val="0"/>
                <w:color w:val="auto"/>
                <w:sz w:val="24"/>
                <w:highlight w:val="none"/>
              </w:rPr>
              <w:t>处计算得到的A声级；</w:t>
            </w:r>
          </w:p>
          <w:p w14:paraId="278ABAD1">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snapToGrid w:val="0"/>
                <w:color w:val="auto"/>
                <w:sz w:val="24"/>
                <w:highlight w:val="none"/>
              </w:rPr>
              <w:t xml:space="preserve">     </w:t>
            </w:r>
            <w:r>
              <w:rPr>
                <w:i/>
                <w:iCs/>
                <w:snapToGrid w:val="0"/>
                <w:color w:val="auto"/>
                <w:sz w:val="24"/>
                <w:highlight w:val="none"/>
              </w:rPr>
              <w:t>A</w:t>
            </w:r>
            <w:r>
              <w:rPr>
                <w:i/>
                <w:iCs/>
                <w:snapToGrid w:val="0"/>
                <w:color w:val="auto"/>
                <w:sz w:val="24"/>
                <w:highlight w:val="none"/>
                <w:vertAlign w:val="subscript"/>
              </w:rPr>
              <w:t>div</w:t>
            </w:r>
            <w:r>
              <w:rPr>
                <w:snapToGrid w:val="0"/>
                <w:color w:val="auto"/>
                <w:sz w:val="24"/>
                <w:highlight w:val="none"/>
              </w:rPr>
              <w:t xml:space="preserve"> </w:t>
            </w:r>
            <w:r>
              <w:rPr>
                <w:snapToGrid w:val="0"/>
                <w:color w:val="auto"/>
                <w:sz w:val="24"/>
                <w:highlight w:val="none"/>
              </w:rPr>
              <w:sym w:font="Symbol" w:char="F0BE"/>
            </w:r>
            <w:r>
              <w:rPr>
                <w:snapToGrid w:val="0"/>
                <w:color w:val="auto"/>
                <w:sz w:val="24"/>
                <w:highlight w:val="none"/>
                <w:vertAlign w:val="subscript"/>
              </w:rPr>
              <w:t xml:space="preserve">  </w:t>
            </w:r>
            <w:r>
              <w:rPr>
                <w:snapToGrid w:val="0"/>
                <w:color w:val="auto"/>
                <w:sz w:val="24"/>
                <w:highlight w:val="none"/>
              </w:rPr>
              <w:t>声源几何发散引起的A声级衰减量；</w:t>
            </w:r>
          </w:p>
          <w:p w14:paraId="5CAE97D7">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i/>
                <w:iCs/>
                <w:snapToGrid w:val="0"/>
                <w:color w:val="auto"/>
                <w:sz w:val="24"/>
                <w:highlight w:val="none"/>
              </w:rPr>
              <w:t xml:space="preserve">     A</w:t>
            </w:r>
            <w:r>
              <w:rPr>
                <w:i/>
                <w:iCs/>
                <w:snapToGrid w:val="0"/>
                <w:color w:val="auto"/>
                <w:sz w:val="24"/>
                <w:highlight w:val="none"/>
                <w:vertAlign w:val="subscript"/>
              </w:rPr>
              <w:t>bav</w:t>
            </w:r>
            <w:r>
              <w:rPr>
                <w:snapToGrid w:val="0"/>
                <w:color w:val="auto"/>
                <w:sz w:val="24"/>
                <w:highlight w:val="none"/>
              </w:rPr>
              <w:t xml:space="preserve"> </w:t>
            </w:r>
            <w:r>
              <w:rPr>
                <w:snapToGrid w:val="0"/>
                <w:color w:val="auto"/>
                <w:sz w:val="24"/>
                <w:highlight w:val="none"/>
              </w:rPr>
              <w:sym w:font="Symbol" w:char="F0BE"/>
            </w:r>
            <w:r>
              <w:rPr>
                <w:snapToGrid w:val="0"/>
                <w:color w:val="auto"/>
                <w:sz w:val="24"/>
                <w:highlight w:val="none"/>
                <w:vertAlign w:val="subscript"/>
              </w:rPr>
              <w:t xml:space="preserve">  </w:t>
            </w:r>
            <w:r>
              <w:rPr>
                <w:snapToGrid w:val="0"/>
                <w:color w:val="auto"/>
                <w:sz w:val="24"/>
                <w:highlight w:val="none"/>
              </w:rPr>
              <w:t>声屏障引起的A声级衰减量；</w:t>
            </w:r>
          </w:p>
          <w:p w14:paraId="11BDE820">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i/>
                <w:iCs/>
                <w:snapToGrid w:val="0"/>
                <w:color w:val="auto"/>
                <w:sz w:val="24"/>
                <w:highlight w:val="none"/>
              </w:rPr>
              <w:t xml:space="preserve">     A</w:t>
            </w:r>
            <w:r>
              <w:rPr>
                <w:i/>
                <w:iCs/>
                <w:snapToGrid w:val="0"/>
                <w:color w:val="auto"/>
                <w:sz w:val="24"/>
                <w:highlight w:val="none"/>
                <w:vertAlign w:val="subscript"/>
              </w:rPr>
              <w:t>atm</w:t>
            </w:r>
            <w:r>
              <w:rPr>
                <w:snapToGrid w:val="0"/>
                <w:color w:val="auto"/>
                <w:sz w:val="24"/>
                <w:highlight w:val="none"/>
              </w:rPr>
              <w:t xml:space="preserve"> </w:t>
            </w:r>
            <w:r>
              <w:rPr>
                <w:snapToGrid w:val="0"/>
                <w:color w:val="auto"/>
                <w:sz w:val="24"/>
                <w:highlight w:val="none"/>
              </w:rPr>
              <w:sym w:font="Symbol" w:char="F0BE"/>
            </w:r>
            <w:r>
              <w:rPr>
                <w:snapToGrid w:val="0"/>
                <w:color w:val="auto"/>
                <w:sz w:val="24"/>
                <w:highlight w:val="none"/>
                <w:vertAlign w:val="subscript"/>
              </w:rPr>
              <w:t xml:space="preserve">  </w:t>
            </w:r>
            <w:r>
              <w:rPr>
                <w:snapToGrid w:val="0"/>
                <w:color w:val="auto"/>
                <w:sz w:val="24"/>
                <w:highlight w:val="none"/>
              </w:rPr>
              <w:t>空气吸收引起的A声级衰减量；</w:t>
            </w:r>
          </w:p>
          <w:p w14:paraId="11CA6F15">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jc w:val="left"/>
              <w:textAlignment w:val="auto"/>
              <w:rPr>
                <w:snapToGrid w:val="0"/>
                <w:color w:val="auto"/>
                <w:sz w:val="24"/>
                <w:highlight w:val="none"/>
              </w:rPr>
            </w:pPr>
            <w:r>
              <w:rPr>
                <w:i/>
                <w:iCs/>
                <w:snapToGrid w:val="0"/>
                <w:color w:val="auto"/>
                <w:sz w:val="24"/>
                <w:highlight w:val="none"/>
              </w:rPr>
              <w:t xml:space="preserve">     A</w:t>
            </w:r>
            <w:r>
              <w:rPr>
                <w:i/>
                <w:iCs/>
                <w:snapToGrid w:val="0"/>
                <w:color w:val="auto"/>
                <w:sz w:val="24"/>
                <w:highlight w:val="none"/>
                <w:vertAlign w:val="subscript"/>
              </w:rPr>
              <w:t>exe</w:t>
            </w:r>
            <w:r>
              <w:rPr>
                <w:snapToGrid w:val="0"/>
                <w:color w:val="auto"/>
                <w:sz w:val="24"/>
                <w:highlight w:val="none"/>
              </w:rPr>
              <w:t xml:space="preserve"> </w:t>
            </w:r>
            <w:r>
              <w:rPr>
                <w:snapToGrid w:val="0"/>
                <w:color w:val="auto"/>
                <w:sz w:val="24"/>
                <w:highlight w:val="none"/>
              </w:rPr>
              <w:sym w:font="Symbol" w:char="F0BE"/>
            </w:r>
            <w:r>
              <w:rPr>
                <w:snapToGrid w:val="0"/>
                <w:color w:val="auto"/>
                <w:sz w:val="24"/>
                <w:highlight w:val="none"/>
                <w:vertAlign w:val="subscript"/>
              </w:rPr>
              <w:t xml:space="preserve">  </w:t>
            </w:r>
            <w:r>
              <w:rPr>
                <w:snapToGrid w:val="0"/>
                <w:color w:val="auto"/>
                <w:sz w:val="24"/>
                <w:highlight w:val="none"/>
              </w:rPr>
              <w:t>附加衰减量。</w:t>
            </w:r>
          </w:p>
          <w:p w14:paraId="1D1DD407">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jc w:val="left"/>
              <w:textAlignment w:val="auto"/>
              <w:rPr>
                <w:snapToGrid w:val="0"/>
                <w:color w:val="auto"/>
                <w:sz w:val="24"/>
                <w:highlight w:val="none"/>
              </w:rPr>
            </w:pPr>
            <w:r>
              <w:rPr>
                <w:snapToGrid w:val="0"/>
                <w:color w:val="auto"/>
                <w:sz w:val="24"/>
                <w:highlight w:val="none"/>
              </w:rPr>
              <w:t>③ 某点的声压级叠加公式：</w:t>
            </w:r>
          </w:p>
          <w:p w14:paraId="25077714">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jc w:val="center"/>
              <w:textAlignment w:val="auto"/>
              <w:rPr>
                <w:i/>
                <w:iCs/>
                <w:snapToGrid w:val="0"/>
                <w:color w:val="auto"/>
                <w:sz w:val="24"/>
                <w:highlight w:val="none"/>
              </w:rPr>
            </w:pPr>
            <w:r>
              <w:rPr>
                <w:i/>
                <w:iCs/>
                <w:snapToGrid w:val="0"/>
                <w:color w:val="auto"/>
                <w:sz w:val="24"/>
                <w:highlight w:val="none"/>
              </w:rPr>
              <w:object>
                <v:shape id="_x0000_i1030" o:spt="75" type="#_x0000_t75" style="height:19.85pt;width:230.9pt;" o:ole="t" filled="f" o:preferrelative="t" stroked="f" coordsize="21600,21600">
                  <v:path/>
                  <v:fill on="f" focussize="0,0"/>
                  <v:stroke on="f"/>
                  <v:imagedata r:id="rId26" o:title=""/>
                  <o:lock v:ext="edit" aspectratio="t"/>
                  <w10:wrap type="none"/>
                  <w10:anchorlock/>
                </v:shape>
                <o:OLEObject Type="Embed" ProgID="Equation.3" ShapeID="_x0000_i1030" DrawAspect="Content" ObjectID="_1468075732" r:id="rId25">
                  <o:LockedField>false</o:LockedField>
                </o:OLEObject>
              </w:object>
            </w:r>
          </w:p>
          <w:p w14:paraId="233AE759">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snapToGrid w:val="0"/>
                <w:color w:val="auto"/>
                <w:sz w:val="24"/>
                <w:highlight w:val="none"/>
              </w:rPr>
              <w:t>式中：</w:t>
            </w:r>
            <w:r>
              <w:rPr>
                <w:i/>
                <w:iCs/>
                <w:snapToGrid w:val="0"/>
                <w:color w:val="auto"/>
                <w:sz w:val="24"/>
                <w:highlight w:val="none"/>
              </w:rPr>
              <w:t>L</w:t>
            </w:r>
            <w:r>
              <w:rPr>
                <w:snapToGrid w:val="0"/>
                <w:color w:val="auto"/>
                <w:sz w:val="24"/>
                <w:highlight w:val="none"/>
                <w:vertAlign w:val="subscript"/>
              </w:rPr>
              <w:t>P总</w:t>
            </w:r>
            <w:r>
              <w:rPr>
                <w:snapToGrid w:val="0"/>
                <w:color w:val="auto"/>
                <w:sz w:val="24"/>
                <w:highlight w:val="none"/>
              </w:rPr>
              <w:t>— 叠加后的A声级，dB(A)；</w:t>
            </w:r>
          </w:p>
          <w:p w14:paraId="003A8705">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i/>
                <w:iCs/>
                <w:snapToGrid w:val="0"/>
                <w:color w:val="auto"/>
                <w:sz w:val="24"/>
                <w:highlight w:val="none"/>
              </w:rPr>
              <w:t xml:space="preserve">  L</w:t>
            </w:r>
            <w:r>
              <w:rPr>
                <w:snapToGrid w:val="0"/>
                <w:color w:val="auto"/>
                <w:sz w:val="24"/>
                <w:highlight w:val="none"/>
                <w:vertAlign w:val="subscript"/>
              </w:rPr>
              <w:t xml:space="preserve">P1 </w:t>
            </w:r>
            <w:r>
              <w:rPr>
                <w:snapToGrid w:val="0"/>
                <w:color w:val="auto"/>
                <w:sz w:val="24"/>
                <w:highlight w:val="none"/>
              </w:rPr>
              <w:t>— 第一个声源至某一点</w:t>
            </w:r>
            <w:r>
              <w:rPr>
                <w:rFonts w:hint="eastAsia"/>
                <w:snapToGrid w:val="0"/>
                <w:color w:val="auto"/>
                <w:sz w:val="24"/>
                <w:highlight w:val="none"/>
                <w:lang w:eastAsia="zh-CN"/>
              </w:rPr>
              <w:t>的</w:t>
            </w:r>
            <w:r>
              <w:rPr>
                <w:snapToGrid w:val="0"/>
                <w:color w:val="auto"/>
                <w:sz w:val="24"/>
                <w:highlight w:val="none"/>
              </w:rPr>
              <w:t>A声级，dB（A）；</w:t>
            </w:r>
          </w:p>
          <w:p w14:paraId="123954D0">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i/>
                <w:iCs/>
                <w:snapToGrid w:val="0"/>
                <w:color w:val="auto"/>
                <w:sz w:val="24"/>
                <w:highlight w:val="none"/>
              </w:rPr>
              <w:t xml:space="preserve">  L</w:t>
            </w:r>
            <w:r>
              <w:rPr>
                <w:snapToGrid w:val="0"/>
                <w:color w:val="auto"/>
                <w:sz w:val="24"/>
                <w:highlight w:val="none"/>
                <w:vertAlign w:val="subscript"/>
              </w:rPr>
              <w:t xml:space="preserve">P2 </w:t>
            </w:r>
            <w:r>
              <w:rPr>
                <w:snapToGrid w:val="0"/>
                <w:color w:val="auto"/>
                <w:sz w:val="24"/>
                <w:highlight w:val="none"/>
              </w:rPr>
              <w:t>— 第二个声源至某一点</w:t>
            </w:r>
            <w:r>
              <w:rPr>
                <w:rFonts w:hint="eastAsia"/>
                <w:snapToGrid w:val="0"/>
                <w:color w:val="auto"/>
                <w:sz w:val="24"/>
                <w:highlight w:val="none"/>
                <w:lang w:eastAsia="zh-CN"/>
              </w:rPr>
              <w:t>的</w:t>
            </w:r>
            <w:r>
              <w:rPr>
                <w:snapToGrid w:val="0"/>
                <w:color w:val="auto"/>
                <w:sz w:val="24"/>
                <w:highlight w:val="none"/>
              </w:rPr>
              <w:t>A声级，dB（A）；</w:t>
            </w:r>
          </w:p>
          <w:p w14:paraId="495AC3E7">
            <w:pPr>
              <w:keepNext w:val="0"/>
              <w:keepLines w:val="0"/>
              <w:pageBreakBefore w:val="0"/>
              <w:widowControl w:val="0"/>
              <w:kinsoku/>
              <w:wordWrap/>
              <w:overflowPunct/>
              <w:topLinePunct w:val="0"/>
              <w:autoSpaceDE/>
              <w:autoSpaceDN/>
              <w:bidi w:val="0"/>
              <w:adjustRightInd w:val="0"/>
              <w:snapToGrid w:val="0"/>
              <w:spacing w:line="470" w:lineRule="exact"/>
              <w:ind w:firstLine="960" w:firstLineChars="400"/>
              <w:textAlignment w:val="auto"/>
              <w:rPr>
                <w:snapToGrid w:val="0"/>
                <w:color w:val="auto"/>
                <w:sz w:val="24"/>
                <w:highlight w:val="none"/>
              </w:rPr>
            </w:pPr>
            <w:r>
              <w:rPr>
                <w:i/>
                <w:iCs/>
                <w:snapToGrid w:val="0"/>
                <w:color w:val="auto"/>
                <w:sz w:val="24"/>
                <w:highlight w:val="none"/>
              </w:rPr>
              <w:t xml:space="preserve">  L</w:t>
            </w:r>
            <w:r>
              <w:rPr>
                <w:snapToGrid w:val="0"/>
                <w:color w:val="auto"/>
                <w:sz w:val="24"/>
                <w:highlight w:val="none"/>
                <w:vertAlign w:val="subscript"/>
              </w:rPr>
              <w:t xml:space="preserve">Pn </w:t>
            </w:r>
            <w:r>
              <w:rPr>
                <w:snapToGrid w:val="0"/>
                <w:color w:val="auto"/>
                <w:sz w:val="24"/>
                <w:highlight w:val="none"/>
              </w:rPr>
              <w:t>— 第</w:t>
            </w:r>
            <w:r>
              <w:rPr>
                <w:i/>
                <w:iCs/>
                <w:snapToGrid w:val="0"/>
                <w:color w:val="auto"/>
                <w:sz w:val="24"/>
                <w:highlight w:val="none"/>
              </w:rPr>
              <w:t>n</w:t>
            </w:r>
            <w:r>
              <w:rPr>
                <w:snapToGrid w:val="0"/>
                <w:color w:val="auto"/>
                <w:sz w:val="24"/>
                <w:highlight w:val="none"/>
              </w:rPr>
              <w:t>个声源至某一点</w:t>
            </w:r>
            <w:r>
              <w:rPr>
                <w:rFonts w:hint="eastAsia"/>
                <w:snapToGrid w:val="0"/>
                <w:color w:val="auto"/>
                <w:sz w:val="24"/>
                <w:highlight w:val="none"/>
                <w:lang w:eastAsia="zh-CN"/>
              </w:rPr>
              <w:t>的</w:t>
            </w:r>
            <w:r>
              <w:rPr>
                <w:snapToGrid w:val="0"/>
                <w:color w:val="auto"/>
                <w:sz w:val="24"/>
                <w:highlight w:val="none"/>
              </w:rPr>
              <w:t>A声级，dB（A）。</w:t>
            </w:r>
          </w:p>
          <w:p w14:paraId="1BA971A3">
            <w:pPr>
              <w:keepNext w:val="0"/>
              <w:keepLines w:val="0"/>
              <w:pageBreakBefore w:val="0"/>
              <w:widowControl w:val="0"/>
              <w:kinsoku/>
              <w:wordWrap/>
              <w:overflowPunct/>
              <w:topLinePunct w:val="0"/>
              <w:autoSpaceDE/>
              <w:autoSpaceDN/>
              <w:bidi w:val="0"/>
              <w:adjustRightInd w:val="0"/>
              <w:snapToGrid w:val="0"/>
              <w:spacing w:line="470" w:lineRule="exact"/>
              <w:ind w:firstLine="496" w:firstLineChars="200"/>
              <w:jc w:val="left"/>
              <w:textAlignment w:val="auto"/>
              <w:rPr>
                <w:color w:val="auto"/>
                <w:spacing w:val="4"/>
                <w:sz w:val="24"/>
                <w:highlight w:val="none"/>
              </w:rPr>
            </w:pPr>
            <w:r>
              <w:rPr>
                <w:rFonts w:hint="eastAsia"/>
                <w:color w:val="auto"/>
                <w:spacing w:val="4"/>
                <w:sz w:val="24"/>
                <w:highlight w:val="none"/>
              </w:rPr>
              <w:t>3、</w:t>
            </w:r>
            <w:r>
              <w:rPr>
                <w:color w:val="auto"/>
                <w:spacing w:val="4"/>
                <w:sz w:val="24"/>
                <w:highlight w:val="none"/>
              </w:rPr>
              <w:t>噪声预测结果</w:t>
            </w:r>
          </w:p>
          <w:p w14:paraId="2D6A284F">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color w:val="auto"/>
                <w:sz w:val="24"/>
                <w:highlight w:val="none"/>
              </w:rPr>
            </w:pPr>
            <w:r>
              <w:rPr>
                <w:snapToGrid w:val="0"/>
                <w:color w:val="auto"/>
                <w:sz w:val="24"/>
                <w:highlight w:val="none"/>
              </w:rPr>
              <w:t>项目厂界噪声影响贡献值预测结果见表</w:t>
            </w:r>
            <w:r>
              <w:rPr>
                <w:rFonts w:hint="eastAsia"/>
                <w:snapToGrid w:val="0"/>
                <w:color w:val="auto"/>
                <w:sz w:val="24"/>
                <w:highlight w:val="none"/>
              </w:rPr>
              <w:t>4-</w:t>
            </w:r>
            <w:r>
              <w:rPr>
                <w:rFonts w:hint="eastAsia"/>
                <w:snapToGrid w:val="0"/>
                <w:color w:val="auto"/>
                <w:sz w:val="24"/>
                <w:highlight w:val="none"/>
                <w:lang w:val="en-US" w:eastAsia="zh-CN"/>
              </w:rPr>
              <w:t>9</w:t>
            </w:r>
            <w:r>
              <w:rPr>
                <w:rFonts w:hint="eastAsia"/>
                <w:snapToGrid w:val="0"/>
                <w:color w:val="auto"/>
                <w:sz w:val="24"/>
                <w:highlight w:val="none"/>
              </w:rPr>
              <w:t>，</w:t>
            </w:r>
            <w:r>
              <w:rPr>
                <w:rFonts w:hint="eastAsia"/>
                <w:snapToGrid w:val="0"/>
                <w:color w:val="auto"/>
                <w:sz w:val="24"/>
                <w:highlight w:val="none"/>
                <w:lang w:eastAsia="zh-CN"/>
              </w:rPr>
              <w:t>最近敏感点处噪声计算结果见表</w:t>
            </w:r>
            <w:r>
              <w:rPr>
                <w:rFonts w:hint="eastAsia"/>
                <w:snapToGrid w:val="0"/>
                <w:color w:val="auto"/>
                <w:sz w:val="24"/>
                <w:highlight w:val="none"/>
                <w:lang w:val="en-US" w:eastAsia="zh-CN"/>
              </w:rPr>
              <w:t>4-10，</w:t>
            </w:r>
            <w:r>
              <w:rPr>
                <w:color w:val="auto"/>
                <w:sz w:val="24"/>
                <w:highlight w:val="none"/>
              </w:rPr>
              <w:t>项目噪声等声值线图见下图。</w:t>
            </w:r>
          </w:p>
          <w:p w14:paraId="3463E68F">
            <w:pPr>
              <w:pStyle w:val="7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eastAsia="宋体"/>
                <w:b/>
                <w:color w:val="auto"/>
                <w:kern w:val="2"/>
                <w:sz w:val="21"/>
                <w:highlight w:val="none"/>
              </w:rPr>
            </w:pPr>
            <w:r>
              <w:rPr>
                <w:color w:val="auto"/>
                <w:highlight w:val="none"/>
              </w:rPr>
              <w:drawing>
                <wp:inline distT="0" distB="0" distL="114300" distR="114300">
                  <wp:extent cx="5043805" cy="4021455"/>
                  <wp:effectExtent l="0" t="0" r="4445" b="17145"/>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7"/>
                          <a:stretch>
                            <a:fillRect/>
                          </a:stretch>
                        </pic:blipFill>
                        <pic:spPr>
                          <a:xfrm>
                            <a:off x="0" y="0"/>
                            <a:ext cx="5043805" cy="4021455"/>
                          </a:xfrm>
                          <a:prstGeom prst="rect">
                            <a:avLst/>
                          </a:prstGeom>
                          <a:noFill/>
                          <a:ln>
                            <a:noFill/>
                          </a:ln>
                        </pic:spPr>
                      </pic:pic>
                    </a:graphicData>
                  </a:graphic>
                </wp:inline>
              </w:drawing>
            </w:r>
          </w:p>
          <w:p w14:paraId="1A263CE5">
            <w:pPr>
              <w:pStyle w:val="7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eastAsia="宋体"/>
                <w:b/>
                <w:color w:val="auto"/>
                <w:kern w:val="2"/>
                <w:sz w:val="21"/>
                <w:highlight w:val="none"/>
              </w:rPr>
            </w:pPr>
            <w:r>
              <w:rPr>
                <w:rFonts w:hint="eastAsia" w:eastAsia="宋体"/>
                <w:b/>
                <w:color w:val="auto"/>
                <w:kern w:val="2"/>
                <w:sz w:val="21"/>
                <w:highlight w:val="none"/>
              </w:rPr>
              <w:t>图4-1  项目噪声贡献值预测结果图</w:t>
            </w:r>
          </w:p>
          <w:p w14:paraId="485F387F">
            <w:pPr>
              <w:pStyle w:val="76"/>
              <w:keepNext w:val="0"/>
              <w:keepLines w:val="0"/>
              <w:pageBreakBefore w:val="0"/>
              <w:widowControl w:val="0"/>
              <w:kinsoku/>
              <w:wordWrap/>
              <w:overflowPunct/>
              <w:topLinePunct w:val="0"/>
              <w:autoSpaceDE w:val="0"/>
              <w:autoSpaceDN w:val="0"/>
              <w:bidi w:val="0"/>
              <w:adjustRightInd w:val="0"/>
              <w:snapToGrid/>
              <w:spacing w:before="157" w:beforeLines="50" w:line="240" w:lineRule="auto"/>
              <w:textAlignment w:val="auto"/>
              <w:rPr>
                <w:rFonts w:eastAsia="宋体"/>
                <w:b/>
                <w:color w:val="auto"/>
                <w:kern w:val="2"/>
                <w:sz w:val="21"/>
                <w:highlight w:val="none"/>
              </w:rPr>
            </w:pPr>
            <w:r>
              <w:rPr>
                <w:rFonts w:eastAsia="宋体"/>
                <w:b/>
                <w:color w:val="auto"/>
                <w:kern w:val="2"/>
                <w:sz w:val="21"/>
                <w:highlight w:val="none"/>
              </w:rPr>
              <w:t>表</w:t>
            </w:r>
            <w:r>
              <w:rPr>
                <w:rFonts w:hint="eastAsia" w:eastAsia="宋体"/>
                <w:b/>
                <w:color w:val="auto"/>
                <w:kern w:val="2"/>
                <w:sz w:val="21"/>
                <w:highlight w:val="none"/>
              </w:rPr>
              <w:t>4-</w:t>
            </w:r>
            <w:r>
              <w:rPr>
                <w:rFonts w:hint="eastAsia" w:eastAsia="宋体"/>
                <w:b/>
                <w:color w:val="auto"/>
                <w:kern w:val="2"/>
                <w:sz w:val="21"/>
                <w:highlight w:val="none"/>
                <w:lang w:val="en-US" w:eastAsia="zh-CN"/>
              </w:rPr>
              <w:t>9</w:t>
            </w:r>
            <w:r>
              <w:rPr>
                <w:rFonts w:eastAsia="宋体"/>
                <w:b/>
                <w:color w:val="auto"/>
                <w:kern w:val="2"/>
                <w:sz w:val="21"/>
                <w:highlight w:val="none"/>
              </w:rPr>
              <w:t xml:space="preserve">  </w:t>
            </w:r>
            <w:r>
              <w:rPr>
                <w:rFonts w:hint="eastAsia" w:eastAsia="宋体"/>
                <w:b/>
                <w:color w:val="auto"/>
                <w:kern w:val="2"/>
                <w:sz w:val="21"/>
                <w:highlight w:val="none"/>
              </w:rPr>
              <w:t>本项目</w:t>
            </w:r>
            <w:r>
              <w:rPr>
                <w:rFonts w:eastAsia="宋体"/>
                <w:b/>
                <w:color w:val="auto"/>
                <w:kern w:val="2"/>
                <w:sz w:val="21"/>
                <w:highlight w:val="none"/>
              </w:rPr>
              <w:t>厂界</w:t>
            </w:r>
            <w:r>
              <w:rPr>
                <w:rFonts w:hint="eastAsia" w:eastAsia="宋体"/>
                <w:b/>
                <w:color w:val="auto"/>
                <w:kern w:val="2"/>
                <w:sz w:val="21"/>
                <w:highlight w:val="none"/>
              </w:rPr>
              <w:t>噪声贡献值</w:t>
            </w:r>
            <w:r>
              <w:rPr>
                <w:rFonts w:eastAsia="宋体"/>
                <w:b/>
                <w:color w:val="auto"/>
                <w:kern w:val="2"/>
                <w:sz w:val="21"/>
                <w:highlight w:val="none"/>
              </w:rPr>
              <w:t>预测结果表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825"/>
              <w:gridCol w:w="2116"/>
              <w:gridCol w:w="2893"/>
            </w:tblGrid>
            <w:tr w14:paraId="4909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96" w:type="dxa"/>
                  <w:noWrap w:val="0"/>
                  <w:tcMar>
                    <w:top w:w="0" w:type="dxa"/>
                    <w:left w:w="108" w:type="dxa"/>
                    <w:bottom w:w="0" w:type="dxa"/>
                    <w:right w:w="108" w:type="dxa"/>
                  </w:tcMar>
                  <w:vAlign w:val="center"/>
                </w:tcPr>
                <w:p w14:paraId="436C0469">
                  <w:pPr>
                    <w:pStyle w:val="77"/>
                    <w:spacing w:before="72" w:beforeLines="30" w:after="72" w:afterLines="30" w:line="240" w:lineRule="auto"/>
                    <w:rPr>
                      <w:rFonts w:hint="eastAsia" w:eastAsia="宋体"/>
                      <w:color w:val="auto"/>
                      <w:kern w:val="2"/>
                      <w:highlight w:val="none"/>
                      <w:lang w:eastAsia="zh-CN"/>
                    </w:rPr>
                  </w:pPr>
                  <w:r>
                    <w:rPr>
                      <w:rFonts w:hint="eastAsia"/>
                      <w:color w:val="auto"/>
                      <w:kern w:val="2"/>
                      <w:highlight w:val="none"/>
                    </w:rPr>
                    <w:t>生产</w:t>
                  </w:r>
                  <w:r>
                    <w:rPr>
                      <w:rFonts w:hint="eastAsia"/>
                      <w:color w:val="auto"/>
                      <w:kern w:val="2"/>
                      <w:highlight w:val="none"/>
                      <w:lang w:eastAsia="zh-CN"/>
                    </w:rPr>
                    <w:t>车间</w:t>
                  </w:r>
                </w:p>
              </w:tc>
              <w:tc>
                <w:tcPr>
                  <w:tcW w:w="1825" w:type="dxa"/>
                  <w:noWrap w:val="0"/>
                  <w:tcMar>
                    <w:top w:w="0" w:type="dxa"/>
                    <w:left w:w="108" w:type="dxa"/>
                    <w:bottom w:w="0" w:type="dxa"/>
                    <w:right w:w="108" w:type="dxa"/>
                  </w:tcMar>
                  <w:vAlign w:val="center"/>
                </w:tcPr>
                <w:p w14:paraId="79301FE4">
                  <w:pPr>
                    <w:pStyle w:val="77"/>
                    <w:spacing w:before="72" w:beforeLines="30" w:after="72" w:afterLines="30" w:line="240" w:lineRule="auto"/>
                    <w:rPr>
                      <w:color w:val="auto"/>
                      <w:kern w:val="2"/>
                      <w:highlight w:val="none"/>
                    </w:rPr>
                  </w:pPr>
                  <w:r>
                    <w:rPr>
                      <w:color w:val="auto"/>
                      <w:kern w:val="2"/>
                      <w:highlight w:val="none"/>
                    </w:rPr>
                    <w:t>受声点位置</w:t>
                  </w:r>
                </w:p>
              </w:tc>
              <w:tc>
                <w:tcPr>
                  <w:tcW w:w="2116" w:type="dxa"/>
                  <w:noWrap w:val="0"/>
                  <w:tcMar>
                    <w:top w:w="0" w:type="dxa"/>
                    <w:left w:w="108" w:type="dxa"/>
                    <w:bottom w:w="0" w:type="dxa"/>
                    <w:right w:w="108" w:type="dxa"/>
                  </w:tcMar>
                  <w:vAlign w:val="center"/>
                </w:tcPr>
                <w:p w14:paraId="371F3216">
                  <w:pPr>
                    <w:pStyle w:val="77"/>
                    <w:spacing w:before="72" w:beforeLines="30" w:after="72" w:afterLines="30" w:line="240" w:lineRule="auto"/>
                    <w:rPr>
                      <w:rFonts w:hint="eastAsia"/>
                      <w:color w:val="auto"/>
                      <w:kern w:val="2"/>
                      <w:highlight w:val="none"/>
                    </w:rPr>
                  </w:pPr>
                  <w:r>
                    <w:rPr>
                      <w:rFonts w:hint="eastAsia"/>
                      <w:color w:val="auto"/>
                      <w:kern w:val="2"/>
                      <w:highlight w:val="none"/>
                    </w:rPr>
                    <w:t>贡献值</w:t>
                  </w:r>
                </w:p>
              </w:tc>
              <w:tc>
                <w:tcPr>
                  <w:tcW w:w="2893" w:type="dxa"/>
                  <w:noWrap w:val="0"/>
                  <w:tcMar>
                    <w:top w:w="0" w:type="dxa"/>
                    <w:left w:w="108" w:type="dxa"/>
                    <w:bottom w:w="0" w:type="dxa"/>
                    <w:right w:w="108" w:type="dxa"/>
                  </w:tcMar>
                  <w:vAlign w:val="center"/>
                </w:tcPr>
                <w:p w14:paraId="3E81791A">
                  <w:pPr>
                    <w:pStyle w:val="77"/>
                    <w:spacing w:before="72" w:beforeLines="30" w:after="72" w:afterLines="30" w:line="240" w:lineRule="auto"/>
                    <w:rPr>
                      <w:rFonts w:hint="eastAsia"/>
                      <w:color w:val="auto"/>
                      <w:kern w:val="2"/>
                      <w:highlight w:val="none"/>
                    </w:rPr>
                  </w:pPr>
                  <w:r>
                    <w:rPr>
                      <w:rFonts w:hint="eastAsia"/>
                      <w:color w:val="auto"/>
                      <w:kern w:val="2"/>
                      <w:highlight w:val="none"/>
                    </w:rPr>
                    <w:t>达标情况</w:t>
                  </w:r>
                </w:p>
              </w:tc>
            </w:tr>
            <w:tr w14:paraId="425C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96" w:type="dxa"/>
                  <w:vMerge w:val="restart"/>
                  <w:noWrap w:val="0"/>
                  <w:tcMar>
                    <w:top w:w="0" w:type="dxa"/>
                    <w:left w:w="108" w:type="dxa"/>
                    <w:bottom w:w="0" w:type="dxa"/>
                    <w:right w:w="108" w:type="dxa"/>
                  </w:tcMar>
                  <w:vAlign w:val="center"/>
                </w:tcPr>
                <w:p w14:paraId="5A8534A4">
                  <w:pPr>
                    <w:pStyle w:val="77"/>
                    <w:spacing w:before="72" w:beforeLines="30" w:after="72" w:afterLines="30" w:line="240" w:lineRule="auto"/>
                    <w:rPr>
                      <w:rFonts w:hint="default" w:eastAsia="宋体"/>
                      <w:color w:val="auto"/>
                      <w:kern w:val="2"/>
                      <w:highlight w:val="none"/>
                      <w:lang w:val="en-US" w:eastAsia="zh-CN"/>
                    </w:rPr>
                  </w:pPr>
                  <w:r>
                    <w:rPr>
                      <w:rFonts w:hint="eastAsia"/>
                      <w:color w:val="auto"/>
                      <w:kern w:val="2"/>
                      <w:highlight w:val="none"/>
                      <w:lang w:val="en-US" w:eastAsia="zh-CN"/>
                    </w:rPr>
                    <w:t>1#生产车间、2#生产车间</w:t>
                  </w:r>
                </w:p>
              </w:tc>
              <w:tc>
                <w:tcPr>
                  <w:tcW w:w="1825" w:type="dxa"/>
                  <w:noWrap w:val="0"/>
                  <w:tcMar>
                    <w:top w:w="0" w:type="dxa"/>
                    <w:left w:w="108" w:type="dxa"/>
                    <w:bottom w:w="0" w:type="dxa"/>
                    <w:right w:w="108" w:type="dxa"/>
                  </w:tcMar>
                  <w:vAlign w:val="center"/>
                </w:tcPr>
                <w:p w14:paraId="7A9B362D">
                  <w:pPr>
                    <w:pStyle w:val="77"/>
                    <w:adjustRightInd/>
                    <w:spacing w:before="72" w:beforeLines="30" w:after="72" w:afterLines="30" w:line="240" w:lineRule="auto"/>
                    <w:rPr>
                      <w:color w:val="auto"/>
                      <w:kern w:val="2"/>
                      <w:highlight w:val="none"/>
                    </w:rPr>
                  </w:pPr>
                  <w:r>
                    <w:rPr>
                      <w:color w:val="auto"/>
                      <w:kern w:val="2"/>
                      <w:highlight w:val="none"/>
                    </w:rPr>
                    <w:t>南厂界</w:t>
                  </w:r>
                </w:p>
              </w:tc>
              <w:tc>
                <w:tcPr>
                  <w:tcW w:w="2116" w:type="dxa"/>
                  <w:noWrap w:val="0"/>
                  <w:tcMar>
                    <w:top w:w="0" w:type="dxa"/>
                    <w:left w:w="108" w:type="dxa"/>
                    <w:bottom w:w="0" w:type="dxa"/>
                    <w:right w:w="108" w:type="dxa"/>
                  </w:tcMar>
                  <w:vAlign w:val="center"/>
                </w:tcPr>
                <w:p w14:paraId="7DCEB956">
                  <w:pPr>
                    <w:pStyle w:val="77"/>
                    <w:spacing w:before="72" w:beforeLines="30" w:after="72" w:afterLines="30" w:line="240" w:lineRule="auto"/>
                    <w:rPr>
                      <w:rFonts w:hint="default" w:eastAsia="宋体"/>
                      <w:color w:val="auto"/>
                      <w:kern w:val="2"/>
                      <w:highlight w:val="none"/>
                      <w:lang w:val="en-US" w:eastAsia="zh-CN"/>
                    </w:rPr>
                  </w:pPr>
                  <w:r>
                    <w:rPr>
                      <w:rFonts w:hint="eastAsia"/>
                      <w:color w:val="auto"/>
                      <w:kern w:val="2"/>
                      <w:highlight w:val="none"/>
                      <w:lang w:val="en-US" w:eastAsia="zh-CN"/>
                    </w:rPr>
                    <w:t>50.7</w:t>
                  </w:r>
                </w:p>
              </w:tc>
              <w:tc>
                <w:tcPr>
                  <w:tcW w:w="2893" w:type="dxa"/>
                  <w:noWrap w:val="0"/>
                  <w:tcMar>
                    <w:top w:w="0" w:type="dxa"/>
                    <w:left w:w="108" w:type="dxa"/>
                    <w:bottom w:w="0" w:type="dxa"/>
                    <w:right w:w="108" w:type="dxa"/>
                  </w:tcMar>
                  <w:vAlign w:val="center"/>
                </w:tcPr>
                <w:p w14:paraId="3085E197">
                  <w:pPr>
                    <w:pStyle w:val="77"/>
                    <w:adjustRightInd/>
                    <w:spacing w:before="72" w:beforeLines="30" w:after="72" w:afterLines="30" w:line="240" w:lineRule="auto"/>
                    <w:rPr>
                      <w:rFonts w:hint="eastAsia"/>
                      <w:color w:val="auto"/>
                      <w:kern w:val="2"/>
                      <w:highlight w:val="none"/>
                    </w:rPr>
                  </w:pPr>
                  <w:r>
                    <w:rPr>
                      <w:rFonts w:hint="eastAsia"/>
                      <w:color w:val="auto"/>
                      <w:kern w:val="2"/>
                      <w:highlight w:val="none"/>
                    </w:rPr>
                    <w:t>达标</w:t>
                  </w:r>
                </w:p>
              </w:tc>
            </w:tr>
            <w:tr w14:paraId="235D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096" w:type="dxa"/>
                  <w:vMerge w:val="continue"/>
                  <w:noWrap w:val="0"/>
                  <w:tcMar>
                    <w:top w:w="0" w:type="dxa"/>
                    <w:left w:w="108" w:type="dxa"/>
                    <w:bottom w:w="0" w:type="dxa"/>
                    <w:right w:w="108" w:type="dxa"/>
                  </w:tcMar>
                  <w:vAlign w:val="center"/>
                </w:tcPr>
                <w:p w14:paraId="5FAA8341">
                  <w:pPr>
                    <w:pStyle w:val="77"/>
                    <w:spacing w:before="72" w:beforeLines="30" w:after="72" w:afterLines="30" w:line="240" w:lineRule="auto"/>
                    <w:rPr>
                      <w:color w:val="auto"/>
                      <w:kern w:val="2"/>
                      <w:highlight w:val="none"/>
                    </w:rPr>
                  </w:pPr>
                </w:p>
              </w:tc>
              <w:tc>
                <w:tcPr>
                  <w:tcW w:w="1825" w:type="dxa"/>
                  <w:noWrap w:val="0"/>
                  <w:tcMar>
                    <w:top w:w="0" w:type="dxa"/>
                    <w:left w:w="108" w:type="dxa"/>
                    <w:bottom w:w="0" w:type="dxa"/>
                    <w:right w:w="108" w:type="dxa"/>
                  </w:tcMar>
                  <w:vAlign w:val="center"/>
                </w:tcPr>
                <w:p w14:paraId="4F30530D">
                  <w:pPr>
                    <w:pStyle w:val="77"/>
                    <w:adjustRightInd/>
                    <w:spacing w:before="72" w:beforeLines="30" w:after="72" w:afterLines="30" w:line="240" w:lineRule="auto"/>
                    <w:rPr>
                      <w:color w:val="auto"/>
                      <w:kern w:val="2"/>
                      <w:highlight w:val="none"/>
                    </w:rPr>
                  </w:pPr>
                  <w:r>
                    <w:rPr>
                      <w:color w:val="auto"/>
                      <w:kern w:val="2"/>
                      <w:highlight w:val="none"/>
                    </w:rPr>
                    <w:t>北厂界</w:t>
                  </w:r>
                </w:p>
              </w:tc>
              <w:tc>
                <w:tcPr>
                  <w:tcW w:w="2116" w:type="dxa"/>
                  <w:noWrap w:val="0"/>
                  <w:tcMar>
                    <w:top w:w="0" w:type="dxa"/>
                    <w:left w:w="108" w:type="dxa"/>
                    <w:bottom w:w="0" w:type="dxa"/>
                    <w:right w:w="108" w:type="dxa"/>
                  </w:tcMar>
                  <w:vAlign w:val="center"/>
                </w:tcPr>
                <w:p w14:paraId="69561DBD">
                  <w:pPr>
                    <w:pStyle w:val="77"/>
                    <w:spacing w:before="72" w:beforeLines="30" w:after="72" w:afterLines="30" w:line="240" w:lineRule="auto"/>
                    <w:rPr>
                      <w:rFonts w:hint="default" w:eastAsia="宋体"/>
                      <w:color w:val="auto"/>
                      <w:kern w:val="2"/>
                      <w:highlight w:val="none"/>
                      <w:lang w:val="en-US" w:eastAsia="zh-CN"/>
                    </w:rPr>
                  </w:pPr>
                  <w:r>
                    <w:rPr>
                      <w:rFonts w:hint="eastAsia"/>
                      <w:color w:val="auto"/>
                      <w:kern w:val="2"/>
                      <w:highlight w:val="none"/>
                      <w:lang w:val="en-US" w:eastAsia="zh-CN"/>
                    </w:rPr>
                    <w:t>60.3</w:t>
                  </w:r>
                </w:p>
              </w:tc>
              <w:tc>
                <w:tcPr>
                  <w:tcW w:w="2893" w:type="dxa"/>
                  <w:noWrap w:val="0"/>
                  <w:tcMar>
                    <w:top w:w="0" w:type="dxa"/>
                    <w:left w:w="108" w:type="dxa"/>
                    <w:bottom w:w="0" w:type="dxa"/>
                    <w:right w:w="108" w:type="dxa"/>
                  </w:tcMar>
                  <w:vAlign w:val="center"/>
                </w:tcPr>
                <w:p w14:paraId="3543B073">
                  <w:pPr>
                    <w:pStyle w:val="77"/>
                    <w:adjustRightInd/>
                    <w:spacing w:before="72" w:beforeLines="30" w:after="72" w:afterLines="30" w:line="240" w:lineRule="auto"/>
                    <w:rPr>
                      <w:rFonts w:hint="eastAsia"/>
                      <w:color w:val="auto"/>
                      <w:kern w:val="2"/>
                      <w:highlight w:val="none"/>
                    </w:rPr>
                  </w:pPr>
                  <w:r>
                    <w:rPr>
                      <w:rFonts w:hint="eastAsia"/>
                      <w:color w:val="auto"/>
                      <w:kern w:val="2"/>
                      <w:highlight w:val="none"/>
                    </w:rPr>
                    <w:t>达标</w:t>
                  </w:r>
                </w:p>
              </w:tc>
            </w:tr>
            <w:tr w14:paraId="5A1A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96" w:type="dxa"/>
                  <w:vMerge w:val="continue"/>
                  <w:noWrap w:val="0"/>
                  <w:tcMar>
                    <w:top w:w="0" w:type="dxa"/>
                    <w:left w:w="108" w:type="dxa"/>
                    <w:bottom w:w="0" w:type="dxa"/>
                    <w:right w:w="108" w:type="dxa"/>
                  </w:tcMar>
                  <w:vAlign w:val="center"/>
                </w:tcPr>
                <w:p w14:paraId="280F6773">
                  <w:pPr>
                    <w:pStyle w:val="77"/>
                    <w:spacing w:before="72" w:beforeLines="30" w:after="72" w:afterLines="30" w:line="240" w:lineRule="auto"/>
                    <w:rPr>
                      <w:color w:val="auto"/>
                      <w:kern w:val="2"/>
                      <w:highlight w:val="none"/>
                    </w:rPr>
                  </w:pPr>
                </w:p>
              </w:tc>
              <w:tc>
                <w:tcPr>
                  <w:tcW w:w="1825" w:type="dxa"/>
                  <w:noWrap w:val="0"/>
                  <w:tcMar>
                    <w:top w:w="0" w:type="dxa"/>
                    <w:left w:w="108" w:type="dxa"/>
                    <w:bottom w:w="0" w:type="dxa"/>
                    <w:right w:w="108" w:type="dxa"/>
                  </w:tcMar>
                  <w:vAlign w:val="center"/>
                </w:tcPr>
                <w:p w14:paraId="4C688AD7">
                  <w:pPr>
                    <w:pStyle w:val="77"/>
                    <w:adjustRightInd/>
                    <w:spacing w:before="72" w:beforeLines="30" w:after="72" w:afterLines="30" w:line="240" w:lineRule="auto"/>
                    <w:rPr>
                      <w:rFonts w:hint="eastAsia"/>
                      <w:color w:val="auto"/>
                      <w:kern w:val="2"/>
                      <w:highlight w:val="none"/>
                    </w:rPr>
                  </w:pPr>
                  <w:r>
                    <w:rPr>
                      <w:rFonts w:hint="eastAsia"/>
                      <w:color w:val="auto"/>
                      <w:kern w:val="2"/>
                      <w:highlight w:val="none"/>
                    </w:rPr>
                    <w:t>东</w:t>
                  </w:r>
                  <w:r>
                    <w:rPr>
                      <w:color w:val="auto"/>
                      <w:kern w:val="2"/>
                      <w:highlight w:val="none"/>
                    </w:rPr>
                    <w:t>厂界</w:t>
                  </w:r>
                </w:p>
              </w:tc>
              <w:tc>
                <w:tcPr>
                  <w:tcW w:w="2116" w:type="dxa"/>
                  <w:noWrap w:val="0"/>
                  <w:tcMar>
                    <w:top w:w="0" w:type="dxa"/>
                    <w:left w:w="108" w:type="dxa"/>
                    <w:bottom w:w="0" w:type="dxa"/>
                    <w:right w:w="108" w:type="dxa"/>
                  </w:tcMar>
                  <w:vAlign w:val="center"/>
                </w:tcPr>
                <w:p w14:paraId="56AAE000">
                  <w:pPr>
                    <w:pStyle w:val="77"/>
                    <w:spacing w:before="72" w:beforeLines="30" w:after="72" w:afterLines="30" w:line="240" w:lineRule="auto"/>
                    <w:rPr>
                      <w:rFonts w:hint="default" w:eastAsia="宋体"/>
                      <w:color w:val="auto"/>
                      <w:kern w:val="2"/>
                      <w:highlight w:val="none"/>
                      <w:lang w:val="en-US" w:eastAsia="zh-CN"/>
                    </w:rPr>
                  </w:pPr>
                  <w:r>
                    <w:rPr>
                      <w:rFonts w:hint="eastAsia"/>
                      <w:color w:val="auto"/>
                      <w:kern w:val="2"/>
                      <w:highlight w:val="none"/>
                      <w:lang w:val="en-US" w:eastAsia="zh-CN"/>
                    </w:rPr>
                    <w:t>56.9</w:t>
                  </w:r>
                </w:p>
              </w:tc>
              <w:tc>
                <w:tcPr>
                  <w:tcW w:w="2893" w:type="dxa"/>
                  <w:noWrap w:val="0"/>
                  <w:tcMar>
                    <w:top w:w="0" w:type="dxa"/>
                    <w:left w:w="108" w:type="dxa"/>
                    <w:bottom w:w="0" w:type="dxa"/>
                    <w:right w:w="108" w:type="dxa"/>
                  </w:tcMar>
                  <w:vAlign w:val="center"/>
                </w:tcPr>
                <w:p w14:paraId="5E7D3721">
                  <w:pPr>
                    <w:pStyle w:val="77"/>
                    <w:adjustRightInd/>
                    <w:spacing w:before="72" w:beforeLines="30" w:after="72" w:afterLines="30" w:line="240" w:lineRule="auto"/>
                    <w:rPr>
                      <w:rFonts w:hint="eastAsia"/>
                      <w:color w:val="auto"/>
                      <w:kern w:val="2"/>
                      <w:highlight w:val="none"/>
                    </w:rPr>
                  </w:pPr>
                  <w:r>
                    <w:rPr>
                      <w:rFonts w:hint="eastAsia"/>
                      <w:color w:val="auto"/>
                      <w:kern w:val="2"/>
                      <w:highlight w:val="none"/>
                    </w:rPr>
                    <w:t>达标</w:t>
                  </w:r>
                </w:p>
              </w:tc>
            </w:tr>
            <w:tr w14:paraId="75FB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96" w:type="dxa"/>
                  <w:vMerge w:val="continue"/>
                  <w:noWrap w:val="0"/>
                  <w:tcMar>
                    <w:top w:w="0" w:type="dxa"/>
                    <w:left w:w="108" w:type="dxa"/>
                    <w:bottom w:w="0" w:type="dxa"/>
                    <w:right w:w="108" w:type="dxa"/>
                  </w:tcMar>
                  <w:vAlign w:val="center"/>
                </w:tcPr>
                <w:p w14:paraId="6BDF2C33">
                  <w:pPr>
                    <w:pStyle w:val="77"/>
                    <w:spacing w:before="72" w:beforeLines="30" w:after="72" w:afterLines="30" w:line="240" w:lineRule="auto"/>
                    <w:rPr>
                      <w:color w:val="auto"/>
                      <w:kern w:val="2"/>
                      <w:highlight w:val="none"/>
                    </w:rPr>
                  </w:pPr>
                </w:p>
              </w:tc>
              <w:tc>
                <w:tcPr>
                  <w:tcW w:w="1825" w:type="dxa"/>
                  <w:noWrap w:val="0"/>
                  <w:tcMar>
                    <w:top w:w="0" w:type="dxa"/>
                    <w:left w:w="108" w:type="dxa"/>
                    <w:bottom w:w="0" w:type="dxa"/>
                    <w:right w:w="108" w:type="dxa"/>
                  </w:tcMar>
                  <w:vAlign w:val="center"/>
                </w:tcPr>
                <w:p w14:paraId="26338F94">
                  <w:pPr>
                    <w:pStyle w:val="77"/>
                    <w:adjustRightInd/>
                    <w:spacing w:before="72" w:beforeLines="30" w:after="72" w:afterLines="30" w:line="240" w:lineRule="auto"/>
                    <w:rPr>
                      <w:rFonts w:hint="eastAsia"/>
                      <w:color w:val="auto"/>
                      <w:kern w:val="2"/>
                      <w:highlight w:val="none"/>
                    </w:rPr>
                  </w:pPr>
                  <w:r>
                    <w:rPr>
                      <w:rFonts w:hint="eastAsia"/>
                      <w:color w:val="auto"/>
                      <w:kern w:val="2"/>
                      <w:highlight w:val="none"/>
                    </w:rPr>
                    <w:t>西</w:t>
                  </w:r>
                  <w:r>
                    <w:rPr>
                      <w:color w:val="auto"/>
                      <w:kern w:val="2"/>
                      <w:highlight w:val="none"/>
                    </w:rPr>
                    <w:t>厂界</w:t>
                  </w:r>
                </w:p>
              </w:tc>
              <w:tc>
                <w:tcPr>
                  <w:tcW w:w="2116" w:type="dxa"/>
                  <w:noWrap w:val="0"/>
                  <w:tcMar>
                    <w:top w:w="0" w:type="dxa"/>
                    <w:left w:w="108" w:type="dxa"/>
                    <w:bottom w:w="0" w:type="dxa"/>
                    <w:right w:w="108" w:type="dxa"/>
                  </w:tcMar>
                  <w:vAlign w:val="center"/>
                </w:tcPr>
                <w:p w14:paraId="5F1F3B3A">
                  <w:pPr>
                    <w:pStyle w:val="77"/>
                    <w:spacing w:before="72" w:beforeLines="30" w:after="72" w:afterLines="30" w:line="240" w:lineRule="auto"/>
                    <w:rPr>
                      <w:rFonts w:hint="default" w:eastAsia="宋体"/>
                      <w:color w:val="auto"/>
                      <w:kern w:val="2"/>
                      <w:highlight w:val="none"/>
                      <w:lang w:val="en-US" w:eastAsia="zh-CN"/>
                    </w:rPr>
                  </w:pPr>
                  <w:r>
                    <w:rPr>
                      <w:rFonts w:hint="eastAsia"/>
                      <w:color w:val="auto"/>
                      <w:kern w:val="2"/>
                      <w:highlight w:val="none"/>
                      <w:lang w:val="en-US" w:eastAsia="zh-CN"/>
                    </w:rPr>
                    <w:t>55.5</w:t>
                  </w:r>
                </w:p>
              </w:tc>
              <w:tc>
                <w:tcPr>
                  <w:tcW w:w="2893" w:type="dxa"/>
                  <w:noWrap w:val="0"/>
                  <w:tcMar>
                    <w:top w:w="0" w:type="dxa"/>
                    <w:left w:w="108" w:type="dxa"/>
                    <w:bottom w:w="0" w:type="dxa"/>
                    <w:right w:w="108" w:type="dxa"/>
                  </w:tcMar>
                  <w:vAlign w:val="center"/>
                </w:tcPr>
                <w:p w14:paraId="2FE92052">
                  <w:pPr>
                    <w:pStyle w:val="77"/>
                    <w:adjustRightInd/>
                    <w:spacing w:before="72" w:beforeLines="30" w:after="72" w:afterLines="30" w:line="240" w:lineRule="auto"/>
                    <w:rPr>
                      <w:color w:val="auto"/>
                      <w:kern w:val="2"/>
                      <w:highlight w:val="none"/>
                    </w:rPr>
                  </w:pPr>
                  <w:r>
                    <w:rPr>
                      <w:rFonts w:hint="eastAsia"/>
                      <w:color w:val="auto"/>
                      <w:kern w:val="2"/>
                      <w:highlight w:val="none"/>
                    </w:rPr>
                    <w:t>达标</w:t>
                  </w:r>
                </w:p>
              </w:tc>
            </w:tr>
            <w:tr w14:paraId="1DE5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930" w:type="dxa"/>
                  <w:gridSpan w:val="4"/>
                  <w:noWrap w:val="0"/>
                  <w:tcMar>
                    <w:top w:w="0" w:type="dxa"/>
                    <w:left w:w="108" w:type="dxa"/>
                    <w:bottom w:w="0" w:type="dxa"/>
                    <w:right w:w="108" w:type="dxa"/>
                  </w:tcMar>
                  <w:vAlign w:val="center"/>
                </w:tcPr>
                <w:p w14:paraId="072F2507">
                  <w:pPr>
                    <w:pStyle w:val="77"/>
                    <w:adjustRightInd/>
                    <w:spacing w:before="72" w:beforeLines="30" w:after="72" w:afterLines="30" w:line="240" w:lineRule="auto"/>
                    <w:jc w:val="left"/>
                    <w:rPr>
                      <w:rFonts w:hint="eastAsia" w:eastAsia="宋体"/>
                      <w:color w:val="auto"/>
                      <w:kern w:val="2"/>
                      <w:szCs w:val="21"/>
                      <w:highlight w:val="none"/>
                      <w:lang w:eastAsia="zh-CN"/>
                    </w:rPr>
                  </w:pPr>
                  <w:r>
                    <w:rPr>
                      <w:color w:val="auto"/>
                      <w:kern w:val="2"/>
                      <w:szCs w:val="21"/>
                      <w:highlight w:val="none"/>
                    </w:rPr>
                    <w:t>GB</w:t>
                  </w:r>
                  <w:r>
                    <w:rPr>
                      <w:color w:val="auto"/>
                      <w:szCs w:val="21"/>
                      <w:highlight w:val="none"/>
                    </w:rPr>
                    <w:t xml:space="preserve"> </w:t>
                  </w:r>
                  <w:r>
                    <w:rPr>
                      <w:rFonts w:hint="eastAsia"/>
                      <w:color w:val="auto"/>
                      <w:szCs w:val="21"/>
                      <w:highlight w:val="none"/>
                    </w:rPr>
                    <w:t>12348</w:t>
                  </w:r>
                  <w:r>
                    <w:rPr>
                      <w:color w:val="auto"/>
                      <w:szCs w:val="21"/>
                      <w:highlight w:val="none"/>
                    </w:rPr>
                    <w:t>-2008</w:t>
                  </w:r>
                  <w:r>
                    <w:rPr>
                      <w:color w:val="auto"/>
                      <w:kern w:val="2"/>
                      <w:highlight w:val="none"/>
                    </w:rPr>
                    <w:t>中</w:t>
                  </w:r>
                  <w:r>
                    <w:rPr>
                      <w:rFonts w:hint="eastAsia"/>
                      <w:color w:val="auto"/>
                      <w:kern w:val="2"/>
                      <w:highlight w:val="none"/>
                      <w:lang w:val="en-US" w:eastAsia="zh-CN"/>
                    </w:rPr>
                    <w:t>3</w:t>
                  </w:r>
                  <w:r>
                    <w:rPr>
                      <w:color w:val="auto"/>
                      <w:kern w:val="2"/>
                      <w:highlight w:val="none"/>
                    </w:rPr>
                    <w:t>类标准值：昼间6</w:t>
                  </w:r>
                  <w:r>
                    <w:rPr>
                      <w:rFonts w:hint="eastAsia"/>
                      <w:color w:val="auto"/>
                      <w:kern w:val="2"/>
                      <w:highlight w:val="none"/>
                      <w:lang w:val="en-US" w:eastAsia="zh-CN"/>
                    </w:rPr>
                    <w:t>5</w:t>
                  </w:r>
                  <w:r>
                    <w:rPr>
                      <w:color w:val="auto"/>
                      <w:kern w:val="2"/>
                      <w:highlight w:val="none"/>
                    </w:rPr>
                    <w:t>dB(A)</w:t>
                  </w:r>
                  <w:r>
                    <w:rPr>
                      <w:rFonts w:hint="eastAsia"/>
                      <w:color w:val="auto"/>
                      <w:kern w:val="2"/>
                      <w:highlight w:val="none"/>
                    </w:rPr>
                    <w:t>，夜间5</w:t>
                  </w:r>
                  <w:r>
                    <w:rPr>
                      <w:rFonts w:hint="eastAsia"/>
                      <w:color w:val="auto"/>
                      <w:kern w:val="2"/>
                      <w:highlight w:val="none"/>
                      <w:lang w:val="en-US" w:eastAsia="zh-CN"/>
                    </w:rPr>
                    <w:t>5</w:t>
                  </w:r>
                  <w:r>
                    <w:rPr>
                      <w:color w:val="auto"/>
                      <w:kern w:val="2"/>
                      <w:highlight w:val="none"/>
                    </w:rPr>
                    <w:t>dB(A)</w:t>
                  </w:r>
                  <w:r>
                    <w:rPr>
                      <w:rFonts w:hint="eastAsia"/>
                      <w:color w:val="auto"/>
                      <w:kern w:val="2"/>
                      <w:highlight w:val="none"/>
                      <w:lang w:eastAsia="zh-CN"/>
                    </w:rPr>
                    <w:t>；</w:t>
                  </w:r>
                  <w:r>
                    <w:rPr>
                      <w:rFonts w:hint="eastAsia"/>
                      <w:color w:val="auto"/>
                      <w:kern w:val="2"/>
                      <w:highlight w:val="none"/>
                      <w:lang w:val="en-US" w:eastAsia="zh-CN"/>
                    </w:rPr>
                    <w:t>4</w:t>
                  </w:r>
                  <w:r>
                    <w:rPr>
                      <w:color w:val="auto"/>
                      <w:kern w:val="2"/>
                      <w:highlight w:val="none"/>
                    </w:rPr>
                    <w:t>类标准值：昼间</w:t>
                  </w:r>
                  <w:r>
                    <w:rPr>
                      <w:rFonts w:hint="eastAsia"/>
                      <w:color w:val="auto"/>
                      <w:kern w:val="2"/>
                      <w:highlight w:val="none"/>
                      <w:lang w:val="en-US" w:eastAsia="zh-CN"/>
                    </w:rPr>
                    <w:t>70</w:t>
                  </w:r>
                  <w:r>
                    <w:rPr>
                      <w:color w:val="auto"/>
                      <w:kern w:val="2"/>
                      <w:highlight w:val="none"/>
                    </w:rPr>
                    <w:t>dB(A)</w:t>
                  </w:r>
                  <w:r>
                    <w:rPr>
                      <w:rFonts w:hint="eastAsia"/>
                      <w:color w:val="auto"/>
                      <w:kern w:val="2"/>
                      <w:highlight w:val="none"/>
                    </w:rPr>
                    <w:t>，夜间5</w:t>
                  </w:r>
                  <w:r>
                    <w:rPr>
                      <w:rFonts w:hint="eastAsia"/>
                      <w:color w:val="auto"/>
                      <w:kern w:val="2"/>
                      <w:highlight w:val="none"/>
                      <w:lang w:val="en-US" w:eastAsia="zh-CN"/>
                    </w:rPr>
                    <w:t>5</w:t>
                  </w:r>
                  <w:r>
                    <w:rPr>
                      <w:color w:val="auto"/>
                      <w:kern w:val="2"/>
                      <w:highlight w:val="none"/>
                    </w:rPr>
                    <w:t>dB(A)</w:t>
                  </w:r>
                  <w:r>
                    <w:rPr>
                      <w:rFonts w:hint="eastAsia"/>
                      <w:color w:val="auto"/>
                      <w:kern w:val="2"/>
                      <w:highlight w:val="none"/>
                      <w:lang w:eastAsia="zh-CN"/>
                    </w:rPr>
                    <w:t>。</w:t>
                  </w:r>
                </w:p>
              </w:tc>
            </w:tr>
          </w:tbl>
          <w:p w14:paraId="1B736C57">
            <w:pPr>
              <w:adjustRightInd w:val="0"/>
              <w:snapToGrid w:val="0"/>
              <w:spacing w:line="360" w:lineRule="auto"/>
              <w:ind w:firstLine="480" w:firstLineChars="200"/>
              <w:rPr>
                <w:rFonts w:hint="eastAsia" w:eastAsia="宋体"/>
                <w:color w:val="auto"/>
                <w:sz w:val="24"/>
                <w:szCs w:val="21"/>
                <w:highlight w:val="none"/>
                <w:lang w:eastAsia="zh-CN"/>
              </w:rPr>
            </w:pPr>
            <w:r>
              <w:rPr>
                <w:color w:val="auto"/>
                <w:sz w:val="24"/>
                <w:szCs w:val="20"/>
                <w:highlight w:val="none"/>
              </w:rPr>
              <w:t>由上述计算结果可知，本项目运营过程中产生的噪声经基础减</w:t>
            </w:r>
            <w:r>
              <w:rPr>
                <w:rFonts w:hint="eastAsia"/>
                <w:color w:val="auto"/>
                <w:sz w:val="24"/>
                <w:szCs w:val="20"/>
                <w:highlight w:val="none"/>
              </w:rPr>
              <w:t>振</w:t>
            </w:r>
            <w:r>
              <w:rPr>
                <w:color w:val="auto"/>
                <w:sz w:val="24"/>
                <w:szCs w:val="20"/>
                <w:highlight w:val="none"/>
              </w:rPr>
              <w:t>、厂房隔声及距离衰减后，</w:t>
            </w:r>
            <w:r>
              <w:rPr>
                <w:rFonts w:hint="eastAsia"/>
                <w:color w:val="auto"/>
                <w:sz w:val="24"/>
                <w:szCs w:val="20"/>
                <w:highlight w:val="none"/>
                <w:lang w:eastAsia="zh-CN"/>
              </w:rPr>
              <w:t>厂界东侧能满足《工业企业厂界环境噪声排放标准》（GB 12348-2008）表1中的4类区标准；其余3侧厂界环境噪声满足《工业企业厂界环境噪声排放标准》（GB 12348-2008）表1中的3类区标准，</w:t>
            </w:r>
            <w:r>
              <w:rPr>
                <w:color w:val="auto"/>
                <w:sz w:val="24"/>
                <w:highlight w:val="none"/>
              </w:rPr>
              <w:t>对</w:t>
            </w:r>
            <w:r>
              <w:rPr>
                <w:rFonts w:hint="eastAsia"/>
                <w:color w:val="auto"/>
                <w:sz w:val="24"/>
                <w:highlight w:val="none"/>
              </w:rPr>
              <w:t>周边环境</w:t>
            </w:r>
            <w:r>
              <w:rPr>
                <w:color w:val="auto"/>
                <w:sz w:val="24"/>
                <w:highlight w:val="none"/>
              </w:rPr>
              <w:t>影响较小。</w:t>
            </w:r>
          </w:p>
          <w:p w14:paraId="41BBEBCF">
            <w:pPr>
              <w:adjustRightInd w:val="0"/>
              <w:snapToGrid w:val="0"/>
              <w:ind w:firstLine="422" w:firstLineChars="200"/>
              <w:jc w:val="center"/>
              <w:rPr>
                <w:b/>
                <w:color w:val="auto"/>
                <w:szCs w:val="21"/>
                <w:highlight w:val="none"/>
              </w:rPr>
            </w:pPr>
            <w:r>
              <w:rPr>
                <w:b/>
                <w:color w:val="auto"/>
                <w:szCs w:val="21"/>
                <w:highlight w:val="none"/>
              </w:rPr>
              <w:t>表4-</w:t>
            </w:r>
            <w:r>
              <w:rPr>
                <w:rFonts w:hint="eastAsia"/>
                <w:b/>
                <w:color w:val="auto"/>
                <w:szCs w:val="21"/>
                <w:highlight w:val="none"/>
                <w:lang w:val="en-US" w:eastAsia="zh-CN"/>
              </w:rPr>
              <w:t>9</w:t>
            </w:r>
            <w:r>
              <w:rPr>
                <w:b/>
                <w:color w:val="auto"/>
                <w:szCs w:val="21"/>
                <w:highlight w:val="none"/>
              </w:rPr>
              <w:t xml:space="preserve">  项目最近住户（敏感点）噪声叠加结果</w:t>
            </w:r>
          </w:p>
          <w:tbl>
            <w:tblPr>
              <w:tblStyle w:val="28"/>
              <w:tblW w:w="7937"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64"/>
              <w:gridCol w:w="1012"/>
              <w:gridCol w:w="888"/>
              <w:gridCol w:w="1136"/>
              <w:gridCol w:w="814"/>
              <w:gridCol w:w="1083"/>
              <w:gridCol w:w="1140"/>
            </w:tblGrid>
            <w:tr w14:paraId="629B3A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00" w:hRule="exact"/>
              </w:trPr>
              <w:tc>
                <w:tcPr>
                  <w:tcW w:w="1174" w:type="pct"/>
                  <w:vMerge w:val="restart"/>
                  <w:tcBorders>
                    <w:tl2br w:val="nil"/>
                    <w:tr2bl w:val="nil"/>
                  </w:tcBorders>
                  <w:noWrap w:val="0"/>
                  <w:vAlign w:val="center"/>
                </w:tcPr>
                <w:p w14:paraId="3835815F">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预测点</w:t>
                  </w:r>
                </w:p>
              </w:tc>
              <w:tc>
                <w:tcPr>
                  <w:tcW w:w="1196" w:type="pct"/>
                  <w:gridSpan w:val="2"/>
                  <w:tcBorders>
                    <w:tl2br w:val="nil"/>
                    <w:tr2bl w:val="nil"/>
                  </w:tcBorders>
                  <w:noWrap w:val="0"/>
                  <w:vAlign w:val="center"/>
                </w:tcPr>
                <w:p w14:paraId="19ECC147">
                  <w:pPr>
                    <w:pStyle w:val="82"/>
                    <w:adjustRightInd/>
                    <w:spacing w:before="72" w:beforeLines="30" w:after="72" w:afterLines="30" w:line="240" w:lineRule="auto"/>
                    <w:jc w:val="center"/>
                    <w:rPr>
                      <w:rFonts w:ascii="Times New Roman"/>
                      <w:color w:val="auto"/>
                      <w:sz w:val="21"/>
                      <w:szCs w:val="21"/>
                      <w:highlight w:val="none"/>
                    </w:rPr>
                  </w:pPr>
                  <w:r>
                    <w:rPr>
                      <w:rFonts w:hint="eastAsia" w:ascii="Times New Roman"/>
                      <w:color w:val="auto"/>
                      <w:sz w:val="21"/>
                      <w:szCs w:val="21"/>
                      <w:highlight w:val="none"/>
                    </w:rPr>
                    <w:t>预测</w:t>
                  </w:r>
                  <w:r>
                    <w:rPr>
                      <w:rFonts w:ascii="Times New Roman"/>
                      <w:color w:val="auto"/>
                      <w:sz w:val="21"/>
                      <w:szCs w:val="21"/>
                      <w:highlight w:val="none"/>
                    </w:rPr>
                    <w:t>值 dB（A）</w:t>
                  </w:r>
                </w:p>
              </w:tc>
              <w:tc>
                <w:tcPr>
                  <w:tcW w:w="1228" w:type="pct"/>
                  <w:gridSpan w:val="2"/>
                  <w:tcBorders>
                    <w:tl2br w:val="nil"/>
                    <w:tr2bl w:val="nil"/>
                  </w:tcBorders>
                  <w:noWrap w:val="0"/>
                  <w:vAlign w:val="center"/>
                </w:tcPr>
                <w:p w14:paraId="6E3A9F15">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背景值dB（A）</w:t>
                  </w:r>
                </w:p>
              </w:tc>
              <w:tc>
                <w:tcPr>
                  <w:tcW w:w="1400" w:type="pct"/>
                  <w:gridSpan w:val="2"/>
                  <w:tcBorders>
                    <w:tl2br w:val="nil"/>
                    <w:tr2bl w:val="nil"/>
                  </w:tcBorders>
                  <w:noWrap w:val="0"/>
                  <w:vAlign w:val="center"/>
                </w:tcPr>
                <w:p w14:paraId="4E2222E4">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叠加值dB（A）</w:t>
                  </w:r>
                </w:p>
              </w:tc>
            </w:tr>
            <w:tr w14:paraId="1AA549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37" w:hRule="exact"/>
              </w:trPr>
              <w:tc>
                <w:tcPr>
                  <w:tcW w:w="1174" w:type="pct"/>
                  <w:vMerge w:val="continue"/>
                  <w:tcBorders>
                    <w:tl2br w:val="nil"/>
                    <w:tr2bl w:val="nil"/>
                  </w:tcBorders>
                  <w:noWrap w:val="0"/>
                  <w:vAlign w:val="center"/>
                </w:tcPr>
                <w:p w14:paraId="2A7EE29C">
                  <w:pPr>
                    <w:pStyle w:val="82"/>
                    <w:adjustRightInd/>
                    <w:spacing w:before="72" w:beforeLines="30" w:after="72" w:afterLines="30" w:line="240" w:lineRule="auto"/>
                    <w:jc w:val="center"/>
                    <w:rPr>
                      <w:rFonts w:ascii="Times New Roman"/>
                      <w:color w:val="auto"/>
                      <w:sz w:val="21"/>
                      <w:szCs w:val="21"/>
                      <w:highlight w:val="none"/>
                    </w:rPr>
                  </w:pPr>
                </w:p>
              </w:tc>
              <w:tc>
                <w:tcPr>
                  <w:tcW w:w="637" w:type="pct"/>
                  <w:tcBorders>
                    <w:tl2br w:val="nil"/>
                    <w:tr2bl w:val="nil"/>
                  </w:tcBorders>
                  <w:noWrap w:val="0"/>
                  <w:vAlign w:val="center"/>
                </w:tcPr>
                <w:p w14:paraId="25381563">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昼间</w:t>
                  </w:r>
                </w:p>
                <w:p w14:paraId="0706B392">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夜间</w:t>
                  </w:r>
                </w:p>
              </w:tc>
              <w:tc>
                <w:tcPr>
                  <w:tcW w:w="559" w:type="pct"/>
                  <w:tcBorders>
                    <w:tl2br w:val="nil"/>
                    <w:tr2bl w:val="nil"/>
                  </w:tcBorders>
                  <w:noWrap w:val="0"/>
                  <w:vAlign w:val="center"/>
                </w:tcPr>
                <w:p w14:paraId="315BFBFA">
                  <w:pPr>
                    <w:pStyle w:val="82"/>
                    <w:adjustRightInd/>
                    <w:spacing w:before="72" w:beforeLines="30" w:after="72" w:afterLines="30" w:line="240" w:lineRule="auto"/>
                    <w:jc w:val="center"/>
                    <w:rPr>
                      <w:rFonts w:hint="eastAsia" w:ascii="Times New Roman" w:eastAsia="宋体"/>
                      <w:color w:val="auto"/>
                      <w:sz w:val="21"/>
                      <w:szCs w:val="21"/>
                      <w:highlight w:val="none"/>
                      <w:lang w:eastAsia="zh-CN"/>
                    </w:rPr>
                  </w:pPr>
                  <w:r>
                    <w:rPr>
                      <w:rFonts w:hint="eastAsia" w:ascii="Times New Roman"/>
                      <w:color w:val="auto"/>
                      <w:sz w:val="21"/>
                      <w:szCs w:val="21"/>
                      <w:highlight w:val="none"/>
                      <w:lang w:eastAsia="zh-CN"/>
                    </w:rPr>
                    <w:t>夜间</w:t>
                  </w:r>
                </w:p>
                <w:p w14:paraId="07BD4ECD">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夜间</w:t>
                  </w:r>
                </w:p>
              </w:tc>
              <w:tc>
                <w:tcPr>
                  <w:tcW w:w="715" w:type="pct"/>
                  <w:tcBorders>
                    <w:tl2br w:val="nil"/>
                    <w:tr2bl w:val="nil"/>
                  </w:tcBorders>
                  <w:noWrap w:val="0"/>
                  <w:vAlign w:val="center"/>
                </w:tcPr>
                <w:p w14:paraId="6F8FAFB8">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昼间</w:t>
                  </w:r>
                </w:p>
              </w:tc>
              <w:tc>
                <w:tcPr>
                  <w:tcW w:w="512" w:type="pct"/>
                  <w:tcBorders>
                    <w:tl2br w:val="nil"/>
                    <w:tr2bl w:val="nil"/>
                  </w:tcBorders>
                  <w:noWrap w:val="0"/>
                  <w:vAlign w:val="center"/>
                </w:tcPr>
                <w:p w14:paraId="7E2032A4">
                  <w:pPr>
                    <w:pStyle w:val="82"/>
                    <w:adjustRightInd/>
                    <w:spacing w:before="72" w:beforeLines="30" w:after="72" w:afterLines="30" w:line="240" w:lineRule="auto"/>
                    <w:jc w:val="center"/>
                    <w:rPr>
                      <w:rFonts w:ascii="Times New Roman"/>
                      <w:color w:val="auto"/>
                      <w:sz w:val="21"/>
                      <w:szCs w:val="21"/>
                      <w:highlight w:val="none"/>
                    </w:rPr>
                  </w:pPr>
                  <w:r>
                    <w:rPr>
                      <w:rFonts w:hint="eastAsia" w:ascii="Times New Roman"/>
                      <w:color w:val="auto"/>
                      <w:sz w:val="21"/>
                      <w:szCs w:val="21"/>
                      <w:highlight w:val="none"/>
                      <w:lang w:eastAsia="zh-CN"/>
                    </w:rPr>
                    <w:t>夜间</w:t>
                  </w:r>
                </w:p>
              </w:tc>
              <w:tc>
                <w:tcPr>
                  <w:tcW w:w="682" w:type="pct"/>
                  <w:tcBorders>
                    <w:tl2br w:val="nil"/>
                    <w:tr2bl w:val="nil"/>
                  </w:tcBorders>
                  <w:noWrap w:val="0"/>
                  <w:vAlign w:val="center"/>
                </w:tcPr>
                <w:p w14:paraId="6391AC61">
                  <w:pPr>
                    <w:pStyle w:val="82"/>
                    <w:adjustRightInd/>
                    <w:spacing w:before="72" w:beforeLines="30" w:after="72" w:afterLines="30" w:line="240" w:lineRule="auto"/>
                    <w:jc w:val="center"/>
                    <w:rPr>
                      <w:rFonts w:ascii="Times New Roman"/>
                      <w:color w:val="auto"/>
                      <w:sz w:val="21"/>
                      <w:szCs w:val="21"/>
                      <w:highlight w:val="none"/>
                    </w:rPr>
                  </w:pPr>
                  <w:r>
                    <w:rPr>
                      <w:rFonts w:ascii="Times New Roman"/>
                      <w:color w:val="auto"/>
                      <w:sz w:val="21"/>
                      <w:szCs w:val="21"/>
                      <w:highlight w:val="none"/>
                    </w:rPr>
                    <w:t>昼间</w:t>
                  </w:r>
                </w:p>
              </w:tc>
              <w:tc>
                <w:tcPr>
                  <w:tcW w:w="718" w:type="pct"/>
                  <w:tcBorders>
                    <w:tl2br w:val="nil"/>
                    <w:tr2bl w:val="nil"/>
                  </w:tcBorders>
                  <w:noWrap w:val="0"/>
                  <w:vAlign w:val="center"/>
                </w:tcPr>
                <w:p w14:paraId="0461DC98">
                  <w:pPr>
                    <w:pStyle w:val="82"/>
                    <w:adjustRightInd/>
                    <w:spacing w:before="72" w:beforeLines="30" w:after="72" w:afterLines="30" w:line="240" w:lineRule="auto"/>
                    <w:jc w:val="center"/>
                    <w:rPr>
                      <w:rFonts w:ascii="Times New Roman"/>
                      <w:color w:val="auto"/>
                      <w:sz w:val="21"/>
                      <w:szCs w:val="21"/>
                      <w:highlight w:val="none"/>
                    </w:rPr>
                  </w:pPr>
                  <w:r>
                    <w:rPr>
                      <w:rFonts w:hint="eastAsia" w:ascii="Times New Roman"/>
                      <w:color w:val="auto"/>
                      <w:sz w:val="21"/>
                      <w:szCs w:val="21"/>
                      <w:highlight w:val="none"/>
                      <w:lang w:eastAsia="zh-CN"/>
                    </w:rPr>
                    <w:t>夜间</w:t>
                  </w:r>
                </w:p>
              </w:tc>
            </w:tr>
            <w:tr w14:paraId="05ECD2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1" w:hRule="exact"/>
              </w:trPr>
              <w:tc>
                <w:tcPr>
                  <w:tcW w:w="1174" w:type="pct"/>
                  <w:tcBorders>
                    <w:tl2br w:val="nil"/>
                    <w:tr2bl w:val="nil"/>
                  </w:tcBorders>
                  <w:noWrap w:val="0"/>
                  <w:vAlign w:val="center"/>
                </w:tcPr>
                <w:p w14:paraId="0F36F335">
                  <w:pPr>
                    <w:pStyle w:val="82"/>
                    <w:adjustRightInd/>
                    <w:spacing w:before="72" w:beforeLines="30" w:after="72" w:afterLines="30" w:line="240" w:lineRule="auto"/>
                    <w:jc w:val="center"/>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eastAsia="zh-CN"/>
                    </w:rPr>
                    <w:t>西</w:t>
                  </w:r>
                  <w:r>
                    <w:rPr>
                      <w:rFonts w:ascii="Times New Roman"/>
                      <w:color w:val="auto"/>
                      <w:sz w:val="21"/>
                      <w:szCs w:val="21"/>
                      <w:highlight w:val="none"/>
                    </w:rPr>
                    <w:t>侧</w:t>
                  </w:r>
                  <w:r>
                    <w:rPr>
                      <w:rFonts w:hint="eastAsia" w:ascii="Times New Roman"/>
                      <w:color w:val="auto"/>
                      <w:sz w:val="21"/>
                      <w:szCs w:val="21"/>
                      <w:highlight w:val="none"/>
                      <w:lang w:eastAsia="zh-CN"/>
                    </w:rPr>
                    <w:t>最近</w:t>
                  </w:r>
                  <w:r>
                    <w:rPr>
                      <w:rFonts w:ascii="Times New Roman"/>
                      <w:color w:val="auto"/>
                      <w:sz w:val="21"/>
                      <w:szCs w:val="21"/>
                      <w:highlight w:val="none"/>
                    </w:rPr>
                    <w:t>敏感点</w:t>
                  </w:r>
                  <w:r>
                    <w:rPr>
                      <w:rFonts w:hint="eastAsia" w:ascii="Times New Roman"/>
                      <w:color w:val="auto"/>
                      <w:sz w:val="21"/>
                      <w:szCs w:val="21"/>
                      <w:highlight w:val="none"/>
                      <w:lang w:val="en-US" w:eastAsia="zh-CN"/>
                    </w:rPr>
                    <w:t>1F</w:t>
                  </w:r>
                </w:p>
              </w:tc>
              <w:tc>
                <w:tcPr>
                  <w:tcW w:w="637" w:type="pct"/>
                  <w:tcBorders>
                    <w:tl2br w:val="nil"/>
                    <w:tr2bl w:val="nil"/>
                  </w:tcBorders>
                  <w:noWrap w:val="0"/>
                  <w:vAlign w:val="center"/>
                </w:tcPr>
                <w:p w14:paraId="76016D4F">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49.2</w:t>
                  </w:r>
                </w:p>
              </w:tc>
              <w:tc>
                <w:tcPr>
                  <w:tcW w:w="888" w:type="dxa"/>
                  <w:tcBorders>
                    <w:tl2br w:val="nil"/>
                    <w:tr2bl w:val="nil"/>
                  </w:tcBorders>
                  <w:noWrap w:val="0"/>
                  <w:vAlign w:val="center"/>
                </w:tcPr>
                <w:p w14:paraId="2E47DD0E">
                  <w:pPr>
                    <w:widowControl/>
                    <w:jc w:val="center"/>
                    <w:rPr>
                      <w:color w:val="auto"/>
                      <w:szCs w:val="21"/>
                      <w:highlight w:val="none"/>
                    </w:rPr>
                  </w:pPr>
                  <w:r>
                    <w:rPr>
                      <w:rFonts w:hint="eastAsia" w:eastAsia="宋体"/>
                      <w:color w:val="auto"/>
                      <w:szCs w:val="21"/>
                      <w:highlight w:val="none"/>
                      <w:lang w:val="en-US" w:eastAsia="zh-CN"/>
                    </w:rPr>
                    <w:t>49.2</w:t>
                  </w:r>
                </w:p>
              </w:tc>
              <w:tc>
                <w:tcPr>
                  <w:tcW w:w="715" w:type="pct"/>
                  <w:tcBorders>
                    <w:tl2br w:val="nil"/>
                    <w:tr2bl w:val="nil"/>
                  </w:tcBorders>
                  <w:noWrap w:val="0"/>
                  <w:vAlign w:val="center"/>
                </w:tcPr>
                <w:p w14:paraId="260FCCAA">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56</w:t>
                  </w:r>
                </w:p>
              </w:tc>
              <w:tc>
                <w:tcPr>
                  <w:tcW w:w="512" w:type="pct"/>
                  <w:tcBorders>
                    <w:tl2br w:val="nil"/>
                    <w:tr2bl w:val="nil"/>
                  </w:tcBorders>
                  <w:noWrap w:val="0"/>
                  <w:vAlign w:val="center"/>
                </w:tcPr>
                <w:p w14:paraId="7F8BB0AC">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45</w:t>
                  </w:r>
                </w:p>
              </w:tc>
              <w:tc>
                <w:tcPr>
                  <w:tcW w:w="682" w:type="pct"/>
                  <w:tcBorders>
                    <w:tl2br w:val="nil"/>
                    <w:tr2bl w:val="nil"/>
                  </w:tcBorders>
                  <w:noWrap w:val="0"/>
                  <w:vAlign w:val="center"/>
                </w:tcPr>
                <w:p w14:paraId="6C0CA402">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56.8</w:t>
                  </w:r>
                </w:p>
              </w:tc>
              <w:tc>
                <w:tcPr>
                  <w:tcW w:w="718" w:type="pct"/>
                  <w:tcBorders>
                    <w:tl2br w:val="nil"/>
                    <w:tr2bl w:val="nil"/>
                  </w:tcBorders>
                  <w:noWrap w:val="0"/>
                  <w:vAlign w:val="center"/>
                </w:tcPr>
                <w:p w14:paraId="21AC8B25">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50.6</w:t>
                  </w:r>
                </w:p>
              </w:tc>
            </w:tr>
            <w:tr w14:paraId="78E0AB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1" w:hRule="exact"/>
              </w:trPr>
              <w:tc>
                <w:tcPr>
                  <w:tcW w:w="1174" w:type="pct"/>
                  <w:tcBorders>
                    <w:tl2br w:val="nil"/>
                    <w:tr2bl w:val="nil"/>
                  </w:tcBorders>
                  <w:noWrap w:val="0"/>
                  <w:vAlign w:val="center"/>
                </w:tcPr>
                <w:p w14:paraId="4C5FEA10">
                  <w:pPr>
                    <w:adjustRightInd/>
                    <w:spacing w:before="72" w:beforeLines="30" w:after="72" w:afterLines="30" w:line="240" w:lineRule="auto"/>
                    <w:jc w:val="center"/>
                    <w:rPr>
                      <w:rFonts w:hint="eastAsia" w:ascii="Times New Roman"/>
                      <w:color w:val="auto"/>
                      <w:sz w:val="21"/>
                      <w:szCs w:val="21"/>
                      <w:highlight w:val="none"/>
                      <w:lang w:eastAsia="zh-CN"/>
                    </w:rPr>
                  </w:pPr>
                  <w:r>
                    <w:rPr>
                      <w:rFonts w:hint="eastAsia" w:ascii="Times New Roman"/>
                      <w:color w:val="auto"/>
                      <w:sz w:val="21"/>
                      <w:szCs w:val="21"/>
                      <w:highlight w:val="none"/>
                      <w:lang w:eastAsia="zh-CN"/>
                    </w:rPr>
                    <w:t>西</w:t>
                  </w:r>
                  <w:r>
                    <w:rPr>
                      <w:rFonts w:ascii="Times New Roman"/>
                      <w:color w:val="auto"/>
                      <w:sz w:val="21"/>
                      <w:szCs w:val="21"/>
                      <w:highlight w:val="none"/>
                    </w:rPr>
                    <w:t>侧</w:t>
                  </w:r>
                  <w:r>
                    <w:rPr>
                      <w:rFonts w:hint="eastAsia" w:ascii="Times New Roman"/>
                      <w:color w:val="auto"/>
                      <w:sz w:val="21"/>
                      <w:szCs w:val="21"/>
                      <w:highlight w:val="none"/>
                      <w:lang w:eastAsia="zh-CN"/>
                    </w:rPr>
                    <w:t>最近</w:t>
                  </w:r>
                  <w:r>
                    <w:rPr>
                      <w:rFonts w:ascii="Times New Roman"/>
                      <w:color w:val="auto"/>
                      <w:sz w:val="21"/>
                      <w:szCs w:val="21"/>
                      <w:highlight w:val="none"/>
                    </w:rPr>
                    <w:t>敏感点</w:t>
                  </w:r>
                  <w:r>
                    <w:rPr>
                      <w:rFonts w:hint="eastAsia" w:ascii="Times New Roman"/>
                      <w:color w:val="auto"/>
                      <w:sz w:val="21"/>
                      <w:szCs w:val="21"/>
                      <w:highlight w:val="none"/>
                      <w:lang w:val="en-US" w:eastAsia="zh-CN"/>
                    </w:rPr>
                    <w:t>3F</w:t>
                  </w:r>
                </w:p>
              </w:tc>
              <w:tc>
                <w:tcPr>
                  <w:tcW w:w="1012" w:type="dxa"/>
                  <w:tcBorders>
                    <w:tl2br w:val="nil"/>
                    <w:tr2bl w:val="nil"/>
                  </w:tcBorders>
                  <w:noWrap w:val="0"/>
                  <w:vAlign w:val="center"/>
                </w:tcPr>
                <w:p w14:paraId="03D24A79">
                  <w:pPr>
                    <w:widowControl/>
                    <w:jc w:val="center"/>
                    <w:rPr>
                      <w:rFonts w:hint="eastAsia" w:eastAsia="宋体"/>
                      <w:color w:val="auto"/>
                      <w:szCs w:val="21"/>
                      <w:highlight w:val="none"/>
                      <w:lang w:val="en-US" w:eastAsia="zh-CN"/>
                    </w:rPr>
                  </w:pPr>
                  <w:r>
                    <w:rPr>
                      <w:rFonts w:hint="eastAsia" w:eastAsia="宋体"/>
                      <w:color w:val="auto"/>
                      <w:szCs w:val="21"/>
                      <w:highlight w:val="none"/>
                      <w:lang w:val="en-US" w:eastAsia="zh-CN"/>
                    </w:rPr>
                    <w:t>49.2</w:t>
                  </w:r>
                </w:p>
              </w:tc>
              <w:tc>
                <w:tcPr>
                  <w:tcW w:w="888" w:type="dxa"/>
                  <w:tcBorders>
                    <w:tl2br w:val="nil"/>
                    <w:tr2bl w:val="nil"/>
                  </w:tcBorders>
                  <w:noWrap w:val="0"/>
                  <w:vAlign w:val="center"/>
                </w:tcPr>
                <w:p w14:paraId="5A274C30">
                  <w:pPr>
                    <w:widowControl/>
                    <w:jc w:val="center"/>
                    <w:rPr>
                      <w:rFonts w:hint="eastAsia" w:eastAsia="宋体"/>
                      <w:color w:val="auto"/>
                      <w:szCs w:val="21"/>
                      <w:highlight w:val="none"/>
                      <w:lang w:val="en-US" w:eastAsia="zh-CN"/>
                    </w:rPr>
                  </w:pPr>
                  <w:r>
                    <w:rPr>
                      <w:rFonts w:hint="eastAsia" w:eastAsia="宋体"/>
                      <w:color w:val="auto"/>
                      <w:szCs w:val="21"/>
                      <w:highlight w:val="none"/>
                      <w:lang w:val="en-US" w:eastAsia="zh-CN"/>
                    </w:rPr>
                    <w:t>49.2</w:t>
                  </w:r>
                </w:p>
              </w:tc>
              <w:tc>
                <w:tcPr>
                  <w:tcW w:w="715" w:type="pct"/>
                  <w:tcBorders>
                    <w:tl2br w:val="nil"/>
                    <w:tr2bl w:val="nil"/>
                  </w:tcBorders>
                  <w:noWrap w:val="0"/>
                  <w:vAlign w:val="center"/>
                </w:tcPr>
                <w:p w14:paraId="452800A0">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59</w:t>
                  </w:r>
                </w:p>
              </w:tc>
              <w:tc>
                <w:tcPr>
                  <w:tcW w:w="512" w:type="pct"/>
                  <w:tcBorders>
                    <w:tl2br w:val="nil"/>
                    <w:tr2bl w:val="nil"/>
                  </w:tcBorders>
                  <w:noWrap w:val="0"/>
                  <w:vAlign w:val="center"/>
                </w:tcPr>
                <w:p w14:paraId="642B96DE">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46</w:t>
                  </w:r>
                </w:p>
              </w:tc>
              <w:tc>
                <w:tcPr>
                  <w:tcW w:w="682" w:type="pct"/>
                  <w:tcBorders>
                    <w:tl2br w:val="nil"/>
                    <w:tr2bl w:val="nil"/>
                  </w:tcBorders>
                  <w:noWrap w:val="0"/>
                  <w:vAlign w:val="center"/>
                </w:tcPr>
                <w:p w14:paraId="4963824E">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59.4</w:t>
                  </w:r>
                </w:p>
              </w:tc>
              <w:tc>
                <w:tcPr>
                  <w:tcW w:w="718" w:type="pct"/>
                  <w:tcBorders>
                    <w:tl2br w:val="nil"/>
                    <w:tr2bl w:val="nil"/>
                  </w:tcBorders>
                  <w:noWrap w:val="0"/>
                  <w:vAlign w:val="center"/>
                </w:tcPr>
                <w:p w14:paraId="6AF9C953">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50.9</w:t>
                  </w:r>
                </w:p>
              </w:tc>
            </w:tr>
            <w:tr w14:paraId="5C613B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24" w:hRule="exact"/>
              </w:trPr>
              <w:tc>
                <w:tcPr>
                  <w:tcW w:w="1174" w:type="pct"/>
                  <w:tcBorders>
                    <w:tl2br w:val="nil"/>
                    <w:tr2bl w:val="nil"/>
                  </w:tcBorders>
                  <w:noWrap w:val="0"/>
                  <w:vAlign w:val="center"/>
                </w:tcPr>
                <w:p w14:paraId="3C2DFC1A">
                  <w:pPr>
                    <w:adjustRightInd/>
                    <w:spacing w:before="72" w:beforeLines="30" w:after="72" w:afterLines="30" w:line="240" w:lineRule="auto"/>
                    <w:jc w:val="center"/>
                    <w:rPr>
                      <w:rFonts w:hint="eastAsia" w:ascii="Times New Roman"/>
                      <w:color w:val="auto"/>
                      <w:sz w:val="21"/>
                      <w:szCs w:val="21"/>
                      <w:highlight w:val="none"/>
                      <w:lang w:eastAsia="zh-CN"/>
                    </w:rPr>
                  </w:pPr>
                  <w:r>
                    <w:rPr>
                      <w:rFonts w:hint="eastAsia" w:ascii="Times New Roman"/>
                      <w:color w:val="auto"/>
                      <w:sz w:val="21"/>
                      <w:szCs w:val="21"/>
                      <w:highlight w:val="none"/>
                      <w:lang w:eastAsia="zh-CN"/>
                    </w:rPr>
                    <w:t>西</w:t>
                  </w:r>
                  <w:r>
                    <w:rPr>
                      <w:rFonts w:ascii="Times New Roman"/>
                      <w:color w:val="auto"/>
                      <w:sz w:val="21"/>
                      <w:szCs w:val="21"/>
                      <w:highlight w:val="none"/>
                    </w:rPr>
                    <w:t>侧</w:t>
                  </w:r>
                  <w:r>
                    <w:rPr>
                      <w:rFonts w:hint="eastAsia" w:ascii="Times New Roman"/>
                      <w:color w:val="auto"/>
                      <w:sz w:val="21"/>
                      <w:szCs w:val="21"/>
                      <w:highlight w:val="none"/>
                      <w:lang w:eastAsia="zh-CN"/>
                    </w:rPr>
                    <w:t>最近</w:t>
                  </w:r>
                  <w:r>
                    <w:rPr>
                      <w:rFonts w:ascii="Times New Roman"/>
                      <w:color w:val="auto"/>
                      <w:sz w:val="21"/>
                      <w:szCs w:val="21"/>
                      <w:highlight w:val="none"/>
                    </w:rPr>
                    <w:t>敏感点</w:t>
                  </w:r>
                  <w:r>
                    <w:rPr>
                      <w:rFonts w:hint="eastAsia" w:ascii="Times New Roman"/>
                      <w:color w:val="auto"/>
                      <w:sz w:val="21"/>
                      <w:szCs w:val="21"/>
                      <w:highlight w:val="none"/>
                      <w:lang w:val="en-US" w:eastAsia="zh-CN"/>
                    </w:rPr>
                    <w:t>6F</w:t>
                  </w:r>
                </w:p>
              </w:tc>
              <w:tc>
                <w:tcPr>
                  <w:tcW w:w="1012" w:type="dxa"/>
                  <w:tcBorders>
                    <w:tl2br w:val="nil"/>
                    <w:tr2bl w:val="nil"/>
                  </w:tcBorders>
                  <w:noWrap w:val="0"/>
                  <w:vAlign w:val="center"/>
                </w:tcPr>
                <w:p w14:paraId="08C2BB19">
                  <w:pPr>
                    <w:widowControl/>
                    <w:jc w:val="center"/>
                    <w:rPr>
                      <w:rFonts w:hint="eastAsia" w:eastAsia="宋体"/>
                      <w:color w:val="auto"/>
                      <w:szCs w:val="21"/>
                      <w:highlight w:val="none"/>
                      <w:lang w:val="en-US" w:eastAsia="zh-CN"/>
                    </w:rPr>
                  </w:pPr>
                  <w:r>
                    <w:rPr>
                      <w:rFonts w:hint="eastAsia" w:eastAsia="宋体"/>
                      <w:color w:val="auto"/>
                      <w:szCs w:val="21"/>
                      <w:highlight w:val="none"/>
                      <w:lang w:val="en-US" w:eastAsia="zh-CN"/>
                    </w:rPr>
                    <w:t>49.2</w:t>
                  </w:r>
                </w:p>
              </w:tc>
              <w:tc>
                <w:tcPr>
                  <w:tcW w:w="888" w:type="dxa"/>
                  <w:tcBorders>
                    <w:tl2br w:val="nil"/>
                    <w:tr2bl w:val="nil"/>
                  </w:tcBorders>
                  <w:noWrap w:val="0"/>
                  <w:vAlign w:val="center"/>
                </w:tcPr>
                <w:p w14:paraId="63201BDE">
                  <w:pPr>
                    <w:widowControl/>
                    <w:jc w:val="center"/>
                    <w:rPr>
                      <w:rFonts w:hint="eastAsia" w:eastAsia="宋体"/>
                      <w:color w:val="auto"/>
                      <w:szCs w:val="21"/>
                      <w:highlight w:val="none"/>
                      <w:lang w:val="en-US" w:eastAsia="zh-CN"/>
                    </w:rPr>
                  </w:pPr>
                  <w:r>
                    <w:rPr>
                      <w:rFonts w:hint="eastAsia" w:eastAsia="宋体"/>
                      <w:color w:val="auto"/>
                      <w:szCs w:val="21"/>
                      <w:highlight w:val="none"/>
                      <w:lang w:val="en-US" w:eastAsia="zh-CN"/>
                    </w:rPr>
                    <w:t>49.2</w:t>
                  </w:r>
                </w:p>
              </w:tc>
              <w:tc>
                <w:tcPr>
                  <w:tcW w:w="715" w:type="pct"/>
                  <w:tcBorders>
                    <w:tl2br w:val="nil"/>
                    <w:tr2bl w:val="nil"/>
                  </w:tcBorders>
                  <w:noWrap w:val="0"/>
                  <w:vAlign w:val="center"/>
                </w:tcPr>
                <w:p w14:paraId="13A1E364">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57</w:t>
                  </w:r>
                </w:p>
              </w:tc>
              <w:tc>
                <w:tcPr>
                  <w:tcW w:w="512" w:type="pct"/>
                  <w:tcBorders>
                    <w:tl2br w:val="nil"/>
                    <w:tr2bl w:val="nil"/>
                  </w:tcBorders>
                  <w:noWrap w:val="0"/>
                  <w:vAlign w:val="center"/>
                </w:tcPr>
                <w:p w14:paraId="36A5BDF4">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48</w:t>
                  </w:r>
                </w:p>
              </w:tc>
              <w:tc>
                <w:tcPr>
                  <w:tcW w:w="682" w:type="pct"/>
                  <w:tcBorders>
                    <w:tl2br w:val="nil"/>
                    <w:tr2bl w:val="nil"/>
                  </w:tcBorders>
                  <w:noWrap w:val="0"/>
                  <w:vAlign w:val="center"/>
                </w:tcPr>
                <w:p w14:paraId="42FACE27">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56.7</w:t>
                  </w:r>
                </w:p>
              </w:tc>
              <w:tc>
                <w:tcPr>
                  <w:tcW w:w="718" w:type="pct"/>
                  <w:tcBorders>
                    <w:tl2br w:val="nil"/>
                    <w:tr2bl w:val="nil"/>
                  </w:tcBorders>
                  <w:noWrap w:val="0"/>
                  <w:vAlign w:val="center"/>
                </w:tcPr>
                <w:p w14:paraId="5242D369">
                  <w:pPr>
                    <w:widowControl/>
                    <w:jc w:val="center"/>
                    <w:rPr>
                      <w:rFonts w:hint="default" w:eastAsia="宋体"/>
                      <w:color w:val="auto"/>
                      <w:szCs w:val="21"/>
                      <w:highlight w:val="none"/>
                      <w:lang w:val="en-US" w:eastAsia="zh-CN"/>
                    </w:rPr>
                  </w:pPr>
                  <w:r>
                    <w:rPr>
                      <w:rFonts w:hint="eastAsia" w:eastAsia="宋体"/>
                      <w:color w:val="auto"/>
                      <w:szCs w:val="21"/>
                      <w:highlight w:val="none"/>
                      <w:lang w:val="en-US" w:eastAsia="zh-CN"/>
                    </w:rPr>
                    <w:t>51.6</w:t>
                  </w:r>
                </w:p>
              </w:tc>
            </w:tr>
            <w:tr w14:paraId="4E0B28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84" w:hRule="exact"/>
              </w:trPr>
              <w:tc>
                <w:tcPr>
                  <w:tcW w:w="1174" w:type="pct"/>
                  <w:tcBorders>
                    <w:tl2br w:val="nil"/>
                    <w:tr2bl w:val="nil"/>
                  </w:tcBorders>
                  <w:noWrap w:val="0"/>
                  <w:vAlign w:val="center"/>
                </w:tcPr>
                <w:p w14:paraId="0AAF5100">
                  <w:pPr>
                    <w:pStyle w:val="82"/>
                    <w:adjustRightInd/>
                    <w:spacing w:before="72" w:beforeLines="30" w:after="72" w:afterLines="30" w:line="240" w:lineRule="auto"/>
                    <w:jc w:val="center"/>
                    <w:rPr>
                      <w:rFonts w:hint="eastAsia" w:ascii="Times New Roman"/>
                      <w:color w:val="auto"/>
                      <w:sz w:val="21"/>
                      <w:szCs w:val="21"/>
                      <w:highlight w:val="none"/>
                      <w:lang w:eastAsia="zh-CN"/>
                    </w:rPr>
                  </w:pPr>
                  <w:r>
                    <w:rPr>
                      <w:rFonts w:hint="eastAsia" w:ascii="Times New Roman"/>
                      <w:color w:val="auto"/>
                      <w:sz w:val="21"/>
                      <w:szCs w:val="21"/>
                      <w:highlight w:val="none"/>
                      <w:lang w:eastAsia="zh-CN"/>
                    </w:rPr>
                    <w:t>南侧敏感点</w:t>
                  </w:r>
                </w:p>
              </w:tc>
              <w:tc>
                <w:tcPr>
                  <w:tcW w:w="637" w:type="pct"/>
                  <w:tcBorders>
                    <w:tl2br w:val="nil"/>
                    <w:tr2bl w:val="nil"/>
                  </w:tcBorders>
                  <w:noWrap w:val="0"/>
                  <w:vAlign w:val="center"/>
                </w:tcPr>
                <w:p w14:paraId="0FE885DF">
                  <w:pPr>
                    <w:widowControl/>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47.8</w:t>
                  </w:r>
                </w:p>
              </w:tc>
              <w:tc>
                <w:tcPr>
                  <w:tcW w:w="888" w:type="dxa"/>
                  <w:tcBorders>
                    <w:tl2br w:val="nil"/>
                    <w:tr2bl w:val="nil"/>
                  </w:tcBorders>
                  <w:noWrap w:val="0"/>
                  <w:vAlign w:val="center"/>
                </w:tcPr>
                <w:p w14:paraId="3CF2E775">
                  <w:pPr>
                    <w:widowControl/>
                    <w:jc w:val="center"/>
                    <w:rPr>
                      <w:rFonts w:hint="eastAsia"/>
                      <w:color w:val="auto"/>
                      <w:kern w:val="0"/>
                      <w:szCs w:val="21"/>
                      <w:highlight w:val="none"/>
                      <w:lang w:bidi="ar"/>
                    </w:rPr>
                  </w:pPr>
                  <w:r>
                    <w:rPr>
                      <w:rFonts w:hint="eastAsia"/>
                      <w:color w:val="auto"/>
                      <w:kern w:val="0"/>
                      <w:szCs w:val="21"/>
                      <w:highlight w:val="none"/>
                      <w:lang w:val="en-US" w:eastAsia="zh-CN" w:bidi="ar"/>
                    </w:rPr>
                    <w:t>47.8</w:t>
                  </w:r>
                </w:p>
              </w:tc>
              <w:tc>
                <w:tcPr>
                  <w:tcW w:w="715" w:type="pct"/>
                  <w:tcBorders>
                    <w:tl2br w:val="nil"/>
                    <w:tr2bl w:val="nil"/>
                  </w:tcBorders>
                  <w:noWrap w:val="0"/>
                  <w:vAlign w:val="center"/>
                </w:tcPr>
                <w:p w14:paraId="6A5B5C56">
                  <w:pPr>
                    <w:widowControl/>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58</w:t>
                  </w:r>
                </w:p>
              </w:tc>
              <w:tc>
                <w:tcPr>
                  <w:tcW w:w="512" w:type="pct"/>
                  <w:tcBorders>
                    <w:tl2br w:val="nil"/>
                    <w:tr2bl w:val="nil"/>
                  </w:tcBorders>
                  <w:noWrap w:val="0"/>
                  <w:vAlign w:val="center"/>
                </w:tcPr>
                <w:p w14:paraId="5964AC22">
                  <w:pPr>
                    <w:widowControl/>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48</w:t>
                  </w:r>
                </w:p>
              </w:tc>
              <w:tc>
                <w:tcPr>
                  <w:tcW w:w="682" w:type="pct"/>
                  <w:tcBorders>
                    <w:tl2br w:val="nil"/>
                    <w:tr2bl w:val="nil"/>
                  </w:tcBorders>
                  <w:noWrap w:val="0"/>
                  <w:vAlign w:val="center"/>
                </w:tcPr>
                <w:p w14:paraId="3C8B19F0">
                  <w:pPr>
                    <w:widowControl/>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58.4</w:t>
                  </w:r>
                </w:p>
              </w:tc>
              <w:tc>
                <w:tcPr>
                  <w:tcW w:w="718" w:type="pct"/>
                  <w:tcBorders>
                    <w:tl2br w:val="nil"/>
                    <w:tr2bl w:val="nil"/>
                  </w:tcBorders>
                  <w:noWrap w:val="0"/>
                  <w:vAlign w:val="center"/>
                </w:tcPr>
                <w:p w14:paraId="54C25CCA">
                  <w:pPr>
                    <w:widowControl/>
                    <w:jc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50.9</w:t>
                  </w:r>
                </w:p>
              </w:tc>
            </w:tr>
            <w:tr w14:paraId="26420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46" w:hRule="exact"/>
              </w:trPr>
              <w:tc>
                <w:tcPr>
                  <w:tcW w:w="1174" w:type="pct"/>
                  <w:tcBorders>
                    <w:tl2br w:val="nil"/>
                    <w:tr2bl w:val="nil"/>
                  </w:tcBorders>
                  <w:noWrap w:val="0"/>
                  <w:vAlign w:val="center"/>
                </w:tcPr>
                <w:p w14:paraId="161D80B8">
                  <w:pPr>
                    <w:snapToGrid w:val="0"/>
                    <w:jc w:val="center"/>
                    <w:rPr>
                      <w:color w:val="auto"/>
                      <w:szCs w:val="21"/>
                      <w:highlight w:val="none"/>
                    </w:rPr>
                  </w:pPr>
                  <w:r>
                    <w:rPr>
                      <w:color w:val="auto"/>
                      <w:szCs w:val="21"/>
                      <w:highlight w:val="none"/>
                    </w:rPr>
                    <w:t>（GB 3096-2008）</w:t>
                  </w:r>
                  <w:r>
                    <w:rPr>
                      <w:rFonts w:hint="eastAsia"/>
                      <w:color w:val="auto"/>
                      <w:szCs w:val="21"/>
                      <w:highlight w:val="none"/>
                      <w:lang w:val="en-US" w:eastAsia="zh-CN"/>
                    </w:rPr>
                    <w:t>3</w:t>
                  </w:r>
                  <w:r>
                    <w:rPr>
                      <w:color w:val="auto"/>
                      <w:szCs w:val="21"/>
                      <w:highlight w:val="none"/>
                    </w:rPr>
                    <w:t>类标准</w:t>
                  </w:r>
                </w:p>
              </w:tc>
              <w:tc>
                <w:tcPr>
                  <w:tcW w:w="3825" w:type="pct"/>
                  <w:gridSpan w:val="6"/>
                  <w:tcBorders>
                    <w:tl2br w:val="nil"/>
                    <w:tr2bl w:val="nil"/>
                  </w:tcBorders>
                  <w:noWrap w:val="0"/>
                  <w:vAlign w:val="center"/>
                </w:tcPr>
                <w:p w14:paraId="63057DE3">
                  <w:pPr>
                    <w:snapToGrid w:val="0"/>
                    <w:jc w:val="center"/>
                    <w:rPr>
                      <w:rFonts w:hint="eastAsia" w:eastAsia="宋体"/>
                      <w:color w:val="auto"/>
                      <w:szCs w:val="21"/>
                      <w:highlight w:val="none"/>
                      <w:lang w:eastAsia="zh-CN"/>
                    </w:rPr>
                  </w:pPr>
                  <w:r>
                    <w:rPr>
                      <w:color w:val="auto"/>
                      <w:szCs w:val="21"/>
                      <w:highlight w:val="none"/>
                    </w:rPr>
                    <w:t>昼间</w:t>
                  </w:r>
                  <w:r>
                    <w:rPr>
                      <w:rFonts w:hint="eastAsia"/>
                      <w:color w:val="auto"/>
                      <w:szCs w:val="21"/>
                      <w:highlight w:val="none"/>
                      <w:lang w:eastAsia="zh-CN"/>
                    </w:rPr>
                    <w:t>：</w:t>
                  </w:r>
                  <w:r>
                    <w:rPr>
                      <w:color w:val="auto"/>
                      <w:szCs w:val="21"/>
                      <w:highlight w:val="none"/>
                    </w:rPr>
                    <w:t>6</w:t>
                  </w:r>
                  <w:r>
                    <w:rPr>
                      <w:rFonts w:hint="eastAsia"/>
                      <w:color w:val="auto"/>
                      <w:szCs w:val="21"/>
                      <w:highlight w:val="none"/>
                      <w:lang w:val="en-US" w:eastAsia="zh-CN"/>
                    </w:rPr>
                    <w:t>5</w:t>
                  </w:r>
                  <w:r>
                    <w:rPr>
                      <w:color w:val="auto"/>
                      <w:szCs w:val="21"/>
                      <w:highlight w:val="none"/>
                    </w:rPr>
                    <w:t>dB(A)</w:t>
                  </w:r>
                  <w:r>
                    <w:rPr>
                      <w:rFonts w:hint="eastAsia"/>
                      <w:color w:val="auto"/>
                      <w:szCs w:val="21"/>
                      <w:highlight w:val="none"/>
                      <w:lang w:eastAsia="zh-CN"/>
                    </w:rPr>
                    <w:t>，夜间</w:t>
                  </w:r>
                  <w:r>
                    <w:rPr>
                      <w:rFonts w:hint="eastAsia"/>
                      <w:color w:val="auto"/>
                      <w:szCs w:val="21"/>
                      <w:highlight w:val="none"/>
                      <w:lang w:val="en-US" w:eastAsia="zh-CN"/>
                    </w:rPr>
                    <w:t>55</w:t>
                  </w:r>
                  <w:r>
                    <w:rPr>
                      <w:color w:val="auto"/>
                      <w:szCs w:val="21"/>
                      <w:highlight w:val="none"/>
                    </w:rPr>
                    <w:t>dB(A)</w:t>
                  </w:r>
                </w:p>
              </w:tc>
            </w:tr>
          </w:tbl>
          <w:p w14:paraId="3B625406">
            <w:pPr>
              <w:pStyle w:val="12"/>
              <w:spacing w:line="360" w:lineRule="auto"/>
              <w:ind w:firstLine="480" w:firstLineChars="200"/>
              <w:rPr>
                <w:color w:val="auto"/>
                <w:highlight w:val="none"/>
              </w:rPr>
            </w:pPr>
            <w:r>
              <w:rPr>
                <w:color w:val="auto"/>
                <w:highlight w:val="none"/>
              </w:rPr>
              <w:t>由上述噪声叠加结果可知，项目运营期内最近敏感点处噪声叠加值</w:t>
            </w:r>
            <w:r>
              <w:rPr>
                <w:rFonts w:hint="eastAsia"/>
                <w:color w:val="auto"/>
                <w:highlight w:val="none"/>
                <w:lang w:eastAsia="zh-CN"/>
              </w:rPr>
              <w:t>满足</w:t>
            </w:r>
            <w:r>
              <w:rPr>
                <w:color w:val="auto"/>
                <w:highlight w:val="none"/>
              </w:rPr>
              <w:t>《声环境质量标准》(GB 3096-2008)中的</w:t>
            </w:r>
            <w:r>
              <w:rPr>
                <w:rFonts w:hint="eastAsia"/>
                <w:color w:val="auto"/>
                <w:highlight w:val="none"/>
                <w:lang w:val="en-US" w:eastAsia="zh-CN"/>
              </w:rPr>
              <w:t>3</w:t>
            </w:r>
            <w:r>
              <w:rPr>
                <w:color w:val="auto"/>
                <w:highlight w:val="none"/>
              </w:rPr>
              <w:t>类标准。</w:t>
            </w:r>
          </w:p>
          <w:p w14:paraId="07E550FA">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4、监测计划</w:t>
            </w:r>
          </w:p>
          <w:p w14:paraId="133EA910">
            <w:pPr>
              <w:adjustRightInd w:val="0"/>
              <w:snapToGrid w:val="0"/>
              <w:spacing w:line="360" w:lineRule="auto"/>
              <w:ind w:firstLine="480" w:firstLineChars="200"/>
              <w:rPr>
                <w:color w:val="auto"/>
                <w:sz w:val="24"/>
                <w:highlight w:val="none"/>
              </w:rPr>
            </w:pPr>
            <w:r>
              <w:rPr>
                <w:color w:val="auto"/>
                <w:sz w:val="24"/>
                <w:highlight w:val="none"/>
              </w:rPr>
              <w:t>项目噪声环境监测计划见</w:t>
            </w:r>
            <w:r>
              <w:rPr>
                <w:rFonts w:hint="eastAsia"/>
                <w:color w:val="auto"/>
                <w:sz w:val="24"/>
                <w:highlight w:val="none"/>
                <w:lang w:eastAsia="zh-CN"/>
              </w:rPr>
              <w:t>下</w:t>
            </w:r>
            <w:r>
              <w:rPr>
                <w:color w:val="auto"/>
                <w:sz w:val="24"/>
                <w:highlight w:val="none"/>
              </w:rPr>
              <w:t>表所示。</w:t>
            </w:r>
          </w:p>
          <w:p w14:paraId="0C0EB05F">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4-1</w:t>
            </w:r>
            <w:r>
              <w:rPr>
                <w:rFonts w:hint="eastAsia"/>
                <w:b/>
                <w:color w:val="auto"/>
                <w:szCs w:val="21"/>
                <w:highlight w:val="none"/>
                <w:lang w:val="en-US" w:eastAsia="zh-CN"/>
              </w:rPr>
              <w:t>0</w:t>
            </w:r>
            <w:r>
              <w:rPr>
                <w:rFonts w:hint="eastAsia"/>
                <w:b/>
                <w:color w:val="auto"/>
                <w:szCs w:val="21"/>
                <w:highlight w:val="none"/>
              </w:rPr>
              <w:t xml:space="preserve">  环境噪声</w:t>
            </w:r>
            <w:r>
              <w:rPr>
                <w:b/>
                <w:color w:val="auto"/>
                <w:szCs w:val="21"/>
                <w:highlight w:val="none"/>
              </w:rPr>
              <w:t>监测计划</w:t>
            </w:r>
          </w:p>
          <w:tbl>
            <w:tblPr>
              <w:tblStyle w:val="28"/>
              <w:tblW w:w="798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401"/>
              <w:gridCol w:w="1366"/>
              <w:gridCol w:w="1266"/>
              <w:gridCol w:w="2844"/>
            </w:tblGrid>
            <w:tr w14:paraId="39C4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91" w:type="pct"/>
                  <w:noWrap w:val="0"/>
                  <w:vAlign w:val="center"/>
                </w:tcPr>
                <w:p w14:paraId="0E70DFB3">
                  <w:pPr>
                    <w:spacing w:before="72" w:beforeLines="30" w:after="72" w:afterLines="30"/>
                    <w:jc w:val="center"/>
                    <w:rPr>
                      <w:caps/>
                      <w:color w:val="auto"/>
                      <w:szCs w:val="21"/>
                      <w:highlight w:val="none"/>
                    </w:rPr>
                  </w:pPr>
                  <w:r>
                    <w:rPr>
                      <w:caps/>
                      <w:color w:val="auto"/>
                      <w:szCs w:val="21"/>
                      <w:highlight w:val="none"/>
                    </w:rPr>
                    <w:t>监测项目</w:t>
                  </w:r>
                </w:p>
              </w:tc>
              <w:tc>
                <w:tcPr>
                  <w:tcW w:w="877" w:type="pct"/>
                  <w:noWrap w:val="0"/>
                  <w:vAlign w:val="center"/>
                </w:tcPr>
                <w:p w14:paraId="7B847874">
                  <w:pPr>
                    <w:spacing w:before="72" w:beforeLines="30" w:after="72" w:afterLines="30"/>
                    <w:jc w:val="center"/>
                    <w:rPr>
                      <w:caps/>
                      <w:color w:val="auto"/>
                      <w:szCs w:val="21"/>
                      <w:highlight w:val="none"/>
                    </w:rPr>
                  </w:pPr>
                  <w:r>
                    <w:rPr>
                      <w:rFonts w:hint="eastAsia"/>
                      <w:caps/>
                      <w:color w:val="auto"/>
                      <w:szCs w:val="21"/>
                      <w:highlight w:val="none"/>
                    </w:rPr>
                    <w:t>监测点位</w:t>
                  </w:r>
                </w:p>
              </w:tc>
              <w:tc>
                <w:tcPr>
                  <w:tcW w:w="855" w:type="pct"/>
                  <w:noWrap w:val="0"/>
                  <w:vAlign w:val="center"/>
                </w:tcPr>
                <w:p w14:paraId="46DEDE8F">
                  <w:pPr>
                    <w:spacing w:before="72" w:beforeLines="30" w:after="72" w:afterLines="30"/>
                    <w:jc w:val="center"/>
                    <w:rPr>
                      <w:caps/>
                      <w:color w:val="auto"/>
                      <w:szCs w:val="21"/>
                      <w:highlight w:val="none"/>
                    </w:rPr>
                  </w:pPr>
                  <w:r>
                    <w:rPr>
                      <w:caps/>
                      <w:color w:val="auto"/>
                      <w:szCs w:val="21"/>
                      <w:highlight w:val="none"/>
                    </w:rPr>
                    <w:t>监测</w:t>
                  </w:r>
                  <w:r>
                    <w:rPr>
                      <w:rFonts w:hint="eastAsia"/>
                      <w:caps/>
                      <w:color w:val="auto"/>
                      <w:szCs w:val="21"/>
                      <w:highlight w:val="none"/>
                    </w:rPr>
                    <w:t>项目</w:t>
                  </w:r>
                </w:p>
              </w:tc>
              <w:tc>
                <w:tcPr>
                  <w:tcW w:w="793" w:type="pct"/>
                  <w:noWrap w:val="0"/>
                  <w:vAlign w:val="center"/>
                </w:tcPr>
                <w:p w14:paraId="00F11F22">
                  <w:pPr>
                    <w:spacing w:before="72" w:beforeLines="30" w:after="72" w:afterLines="30"/>
                    <w:jc w:val="center"/>
                    <w:rPr>
                      <w:caps/>
                      <w:color w:val="auto"/>
                      <w:szCs w:val="21"/>
                      <w:highlight w:val="none"/>
                    </w:rPr>
                  </w:pPr>
                  <w:r>
                    <w:rPr>
                      <w:caps/>
                      <w:color w:val="auto"/>
                      <w:szCs w:val="21"/>
                      <w:highlight w:val="none"/>
                    </w:rPr>
                    <w:t>监测频率</w:t>
                  </w:r>
                </w:p>
              </w:tc>
              <w:tc>
                <w:tcPr>
                  <w:tcW w:w="1781" w:type="pct"/>
                  <w:noWrap w:val="0"/>
                  <w:vAlign w:val="center"/>
                </w:tcPr>
                <w:p w14:paraId="3C0BA0A8">
                  <w:pPr>
                    <w:spacing w:before="48" w:beforeLines="20" w:after="48" w:afterLines="20"/>
                    <w:jc w:val="center"/>
                    <w:rPr>
                      <w:rFonts w:hint="eastAsia"/>
                      <w:caps/>
                      <w:color w:val="auto"/>
                      <w:szCs w:val="21"/>
                      <w:highlight w:val="none"/>
                    </w:rPr>
                  </w:pPr>
                  <w:r>
                    <w:rPr>
                      <w:rFonts w:hint="eastAsia"/>
                      <w:caps/>
                      <w:color w:val="auto"/>
                      <w:szCs w:val="21"/>
                      <w:highlight w:val="none"/>
                    </w:rPr>
                    <w:t>执行标准</w:t>
                  </w:r>
                </w:p>
              </w:tc>
            </w:tr>
            <w:tr w14:paraId="739F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91" w:type="pct"/>
                  <w:vMerge w:val="restart"/>
                  <w:noWrap w:val="0"/>
                  <w:vAlign w:val="center"/>
                </w:tcPr>
                <w:p w14:paraId="1CD2818F">
                  <w:pPr>
                    <w:spacing w:before="72" w:beforeLines="30" w:after="72" w:afterLines="30"/>
                    <w:jc w:val="center"/>
                    <w:rPr>
                      <w:color w:val="auto"/>
                      <w:szCs w:val="21"/>
                      <w:highlight w:val="none"/>
                    </w:rPr>
                  </w:pPr>
                  <w:r>
                    <w:rPr>
                      <w:rFonts w:hint="eastAsia"/>
                      <w:color w:val="auto"/>
                      <w:highlight w:val="none"/>
                    </w:rPr>
                    <w:t>噪声</w:t>
                  </w:r>
                </w:p>
              </w:tc>
              <w:tc>
                <w:tcPr>
                  <w:tcW w:w="877" w:type="pct"/>
                  <w:noWrap w:val="0"/>
                  <w:vAlign w:val="center"/>
                </w:tcPr>
                <w:p w14:paraId="595FEA81">
                  <w:pPr>
                    <w:spacing w:before="72" w:beforeLines="30" w:after="72" w:afterLines="30"/>
                    <w:jc w:val="center"/>
                    <w:rPr>
                      <w:rFonts w:hint="eastAsia"/>
                      <w:color w:val="auto"/>
                      <w:szCs w:val="21"/>
                      <w:highlight w:val="none"/>
                    </w:rPr>
                  </w:pPr>
                  <w:r>
                    <w:rPr>
                      <w:rFonts w:hint="eastAsia"/>
                      <w:color w:val="auto"/>
                      <w:szCs w:val="21"/>
                      <w:highlight w:val="none"/>
                    </w:rPr>
                    <w:t>厂界四周</w:t>
                  </w:r>
                </w:p>
              </w:tc>
              <w:tc>
                <w:tcPr>
                  <w:tcW w:w="855" w:type="pct"/>
                  <w:noWrap w:val="0"/>
                  <w:vAlign w:val="center"/>
                </w:tcPr>
                <w:p w14:paraId="55C826FB">
                  <w:pPr>
                    <w:spacing w:before="72" w:beforeLines="30" w:after="72" w:afterLines="30"/>
                    <w:jc w:val="center"/>
                    <w:rPr>
                      <w:color w:val="auto"/>
                      <w:szCs w:val="21"/>
                      <w:highlight w:val="none"/>
                    </w:rPr>
                  </w:pPr>
                  <w:r>
                    <w:rPr>
                      <w:rFonts w:hint="eastAsia"/>
                      <w:color w:val="auto"/>
                      <w:szCs w:val="21"/>
                      <w:highlight w:val="none"/>
                    </w:rPr>
                    <w:t>噪声</w:t>
                  </w:r>
                  <w:r>
                    <w:rPr>
                      <w:color w:val="auto"/>
                      <w:highlight w:val="none"/>
                    </w:rPr>
                    <w:t>Leq(A)</w:t>
                  </w:r>
                </w:p>
              </w:tc>
              <w:tc>
                <w:tcPr>
                  <w:tcW w:w="793" w:type="pct"/>
                  <w:noWrap w:val="0"/>
                  <w:vAlign w:val="center"/>
                </w:tcPr>
                <w:p w14:paraId="409E41AA">
                  <w:pPr>
                    <w:spacing w:before="72" w:beforeLines="30" w:after="72" w:afterLines="30"/>
                    <w:jc w:val="center"/>
                    <w:rPr>
                      <w:color w:val="auto"/>
                      <w:szCs w:val="21"/>
                      <w:highlight w:val="none"/>
                    </w:rPr>
                  </w:pPr>
                  <w:r>
                    <w:rPr>
                      <w:color w:val="auto"/>
                      <w:szCs w:val="21"/>
                      <w:highlight w:val="none"/>
                    </w:rPr>
                    <w:t>1次</w:t>
                  </w:r>
                  <w:r>
                    <w:rPr>
                      <w:rFonts w:hint="eastAsia"/>
                      <w:color w:val="auto"/>
                      <w:szCs w:val="21"/>
                      <w:highlight w:val="none"/>
                    </w:rPr>
                    <w:t>/季度</w:t>
                  </w:r>
                </w:p>
              </w:tc>
              <w:tc>
                <w:tcPr>
                  <w:tcW w:w="1781" w:type="pct"/>
                  <w:noWrap w:val="0"/>
                  <w:vAlign w:val="center"/>
                </w:tcPr>
                <w:p w14:paraId="7656FB04">
                  <w:pPr>
                    <w:adjustRightInd w:val="0"/>
                    <w:snapToGrid w:val="0"/>
                    <w:jc w:val="center"/>
                    <w:rPr>
                      <w:color w:val="auto"/>
                      <w:szCs w:val="21"/>
                      <w:highlight w:val="none"/>
                    </w:rPr>
                  </w:pPr>
                  <w:r>
                    <w:rPr>
                      <w:color w:val="auto"/>
                      <w:highlight w:val="none"/>
                    </w:rPr>
                    <w:t>《工业企业厂界环境噪声排放标准》</w:t>
                  </w:r>
                  <w:r>
                    <w:rPr>
                      <w:rFonts w:hint="eastAsia"/>
                      <w:color w:val="auto"/>
                      <w:highlight w:val="none"/>
                    </w:rPr>
                    <w:t>（</w:t>
                  </w:r>
                  <w:r>
                    <w:rPr>
                      <w:color w:val="auto"/>
                      <w:highlight w:val="none"/>
                    </w:rPr>
                    <w:t>GB12348－2008</w:t>
                  </w:r>
                  <w:r>
                    <w:rPr>
                      <w:rFonts w:hint="eastAsia"/>
                      <w:color w:val="auto"/>
                      <w:highlight w:val="none"/>
                    </w:rPr>
                    <w:t>）</w:t>
                  </w:r>
                  <w:r>
                    <w:rPr>
                      <w:color w:val="auto"/>
                      <w:highlight w:val="none"/>
                    </w:rPr>
                    <w:t>中的</w:t>
                  </w:r>
                  <w:r>
                    <w:rPr>
                      <w:rFonts w:hint="eastAsia"/>
                      <w:color w:val="auto"/>
                      <w:highlight w:val="none"/>
                      <w:lang w:eastAsia="zh-CN"/>
                    </w:rPr>
                    <w:t>相关</w:t>
                  </w:r>
                  <w:r>
                    <w:rPr>
                      <w:color w:val="auto"/>
                      <w:highlight w:val="none"/>
                    </w:rPr>
                    <w:t>标准</w:t>
                  </w:r>
                </w:p>
              </w:tc>
            </w:tr>
            <w:tr w14:paraId="10E9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691" w:type="pct"/>
                  <w:vMerge w:val="continue"/>
                  <w:noWrap w:val="0"/>
                  <w:vAlign w:val="center"/>
                </w:tcPr>
                <w:p w14:paraId="29650AE6">
                  <w:pPr>
                    <w:spacing w:before="72" w:beforeLines="30" w:after="72" w:afterLines="30"/>
                    <w:jc w:val="center"/>
                    <w:rPr>
                      <w:rFonts w:hint="eastAsia"/>
                      <w:color w:val="auto"/>
                      <w:highlight w:val="none"/>
                    </w:rPr>
                  </w:pPr>
                </w:p>
              </w:tc>
              <w:tc>
                <w:tcPr>
                  <w:tcW w:w="877" w:type="pct"/>
                  <w:noWrap w:val="0"/>
                  <w:vAlign w:val="center"/>
                </w:tcPr>
                <w:p w14:paraId="6D0CAC94">
                  <w:pPr>
                    <w:spacing w:before="72" w:beforeLines="30" w:after="72" w:afterLines="30"/>
                    <w:jc w:val="center"/>
                    <w:rPr>
                      <w:rFonts w:hint="eastAsia" w:eastAsia="宋体"/>
                      <w:color w:val="auto"/>
                      <w:szCs w:val="21"/>
                      <w:highlight w:val="none"/>
                      <w:lang w:eastAsia="zh-CN"/>
                    </w:rPr>
                  </w:pPr>
                  <w:r>
                    <w:rPr>
                      <w:rFonts w:hint="eastAsia"/>
                      <w:color w:val="auto"/>
                      <w:szCs w:val="21"/>
                      <w:highlight w:val="none"/>
                      <w:lang w:eastAsia="zh-CN"/>
                    </w:rPr>
                    <w:t>周边最近敏感点</w:t>
                  </w:r>
                </w:p>
              </w:tc>
              <w:tc>
                <w:tcPr>
                  <w:tcW w:w="1366" w:type="dxa"/>
                  <w:noWrap w:val="0"/>
                  <w:vAlign w:val="center"/>
                </w:tcPr>
                <w:p w14:paraId="7336AED3">
                  <w:pPr>
                    <w:spacing w:before="72" w:beforeLines="30" w:after="72" w:afterLines="30"/>
                    <w:jc w:val="center"/>
                    <w:rPr>
                      <w:rFonts w:hint="eastAsia"/>
                      <w:color w:val="auto"/>
                      <w:szCs w:val="21"/>
                      <w:highlight w:val="none"/>
                    </w:rPr>
                  </w:pPr>
                  <w:r>
                    <w:rPr>
                      <w:rFonts w:hint="eastAsia"/>
                      <w:color w:val="auto"/>
                      <w:szCs w:val="21"/>
                      <w:highlight w:val="none"/>
                    </w:rPr>
                    <w:t>噪声</w:t>
                  </w:r>
                  <w:r>
                    <w:rPr>
                      <w:color w:val="auto"/>
                      <w:highlight w:val="none"/>
                    </w:rPr>
                    <w:t>Leq(A)</w:t>
                  </w:r>
                </w:p>
              </w:tc>
              <w:tc>
                <w:tcPr>
                  <w:tcW w:w="1266" w:type="dxa"/>
                  <w:noWrap w:val="0"/>
                  <w:vAlign w:val="center"/>
                </w:tcPr>
                <w:p w14:paraId="7DFBD06C">
                  <w:pPr>
                    <w:spacing w:before="72" w:beforeLines="30" w:after="72" w:afterLines="30"/>
                    <w:jc w:val="center"/>
                    <w:rPr>
                      <w:color w:val="auto"/>
                      <w:szCs w:val="21"/>
                      <w:highlight w:val="none"/>
                    </w:rPr>
                  </w:pPr>
                  <w:r>
                    <w:rPr>
                      <w:color w:val="auto"/>
                      <w:szCs w:val="21"/>
                      <w:highlight w:val="none"/>
                    </w:rPr>
                    <w:t>1次</w:t>
                  </w:r>
                  <w:r>
                    <w:rPr>
                      <w:rFonts w:hint="eastAsia"/>
                      <w:color w:val="auto"/>
                      <w:szCs w:val="21"/>
                      <w:highlight w:val="none"/>
                    </w:rPr>
                    <w:t>/季度</w:t>
                  </w:r>
                </w:p>
              </w:tc>
              <w:tc>
                <w:tcPr>
                  <w:tcW w:w="2844" w:type="dxa"/>
                  <w:noWrap w:val="0"/>
                  <w:vAlign w:val="center"/>
                </w:tcPr>
                <w:p w14:paraId="08F5112E">
                  <w:pPr>
                    <w:adjustRightInd w:val="0"/>
                    <w:snapToGrid w:val="0"/>
                    <w:jc w:val="center"/>
                    <w:rPr>
                      <w:rFonts w:hint="eastAsia" w:eastAsia="宋体"/>
                      <w:color w:val="auto"/>
                      <w:highlight w:val="none"/>
                      <w:lang w:eastAsia="zh-CN"/>
                    </w:rPr>
                  </w:pPr>
                  <w:r>
                    <w:rPr>
                      <w:rFonts w:hint="eastAsia"/>
                      <w:color w:val="auto"/>
                      <w:highlight w:val="none"/>
                    </w:rPr>
                    <w:t>《声环境质量标准》(GB3096-2008)中3类功能区</w:t>
                  </w:r>
                  <w:r>
                    <w:rPr>
                      <w:rFonts w:hint="eastAsia"/>
                      <w:color w:val="auto"/>
                      <w:highlight w:val="none"/>
                      <w:lang w:eastAsia="zh-CN"/>
                    </w:rPr>
                    <w:t>标准</w:t>
                  </w:r>
                </w:p>
              </w:tc>
            </w:tr>
          </w:tbl>
          <w:p w14:paraId="3FA3EAAB">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bCs/>
                <w:color w:val="auto"/>
                <w:sz w:val="24"/>
                <w:highlight w:val="none"/>
              </w:rPr>
            </w:pPr>
            <w:r>
              <w:rPr>
                <w:rFonts w:hint="eastAsia"/>
                <w:b/>
                <w:bCs/>
                <w:color w:val="auto"/>
                <w:sz w:val="24"/>
                <w:highlight w:val="none"/>
              </w:rPr>
              <w:t>四</w:t>
            </w:r>
            <w:r>
              <w:rPr>
                <w:b/>
                <w:bCs/>
                <w:color w:val="auto"/>
                <w:sz w:val="24"/>
                <w:highlight w:val="none"/>
              </w:rPr>
              <w:t>、固体废物</w:t>
            </w:r>
          </w:p>
          <w:p w14:paraId="77FB164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kern w:val="0"/>
                <w:sz w:val="24"/>
                <w:highlight w:val="none"/>
              </w:rPr>
            </w:pPr>
            <w:r>
              <w:rPr>
                <w:rFonts w:hint="eastAsia"/>
                <w:color w:val="auto"/>
                <w:sz w:val="24"/>
                <w:highlight w:val="none"/>
              </w:rPr>
              <w:t>项目运营期</w:t>
            </w:r>
            <w:r>
              <w:rPr>
                <w:color w:val="auto"/>
                <w:sz w:val="24"/>
                <w:highlight w:val="none"/>
              </w:rPr>
              <w:t>主要固体废弃物</w:t>
            </w:r>
            <w:r>
              <w:rPr>
                <w:color w:val="auto"/>
                <w:kern w:val="0"/>
                <w:sz w:val="24"/>
                <w:highlight w:val="none"/>
              </w:rPr>
              <w:t>包括</w:t>
            </w:r>
            <w:r>
              <w:rPr>
                <w:rFonts w:hint="eastAsia"/>
                <w:color w:val="auto"/>
                <w:kern w:val="0"/>
                <w:sz w:val="24"/>
                <w:highlight w:val="none"/>
                <w:lang w:eastAsia="zh-CN"/>
              </w:rPr>
              <w:t>果核</w:t>
            </w:r>
            <w:r>
              <w:rPr>
                <w:rFonts w:hint="eastAsia"/>
                <w:color w:val="auto"/>
                <w:kern w:val="0"/>
                <w:sz w:val="24"/>
                <w:highlight w:val="none"/>
              </w:rPr>
              <w:t>、</w:t>
            </w:r>
            <w:r>
              <w:rPr>
                <w:rFonts w:hint="eastAsia"/>
                <w:color w:val="auto"/>
                <w:kern w:val="0"/>
                <w:sz w:val="24"/>
                <w:highlight w:val="none"/>
                <w:lang w:eastAsia="zh-CN"/>
              </w:rPr>
              <w:t>色选杂质</w:t>
            </w:r>
            <w:r>
              <w:rPr>
                <w:rFonts w:hint="eastAsia"/>
                <w:color w:val="auto"/>
                <w:kern w:val="0"/>
                <w:sz w:val="24"/>
                <w:highlight w:val="none"/>
              </w:rPr>
              <w:t>、废</w:t>
            </w:r>
            <w:r>
              <w:rPr>
                <w:rFonts w:hint="eastAsia"/>
                <w:color w:val="auto"/>
                <w:kern w:val="0"/>
                <w:sz w:val="24"/>
                <w:highlight w:val="none"/>
                <w:lang w:eastAsia="zh-CN"/>
              </w:rPr>
              <w:t>包装</w:t>
            </w:r>
            <w:r>
              <w:rPr>
                <w:rFonts w:hint="eastAsia"/>
                <w:color w:val="auto"/>
                <w:kern w:val="0"/>
                <w:sz w:val="24"/>
                <w:highlight w:val="none"/>
              </w:rPr>
              <w:t>、</w:t>
            </w:r>
            <w:r>
              <w:rPr>
                <w:rFonts w:hint="eastAsia"/>
                <w:color w:val="auto"/>
                <w:kern w:val="0"/>
                <w:sz w:val="24"/>
                <w:highlight w:val="none"/>
                <w:lang w:eastAsia="zh-CN"/>
              </w:rPr>
              <w:t>检验废液、</w:t>
            </w:r>
            <w:r>
              <w:rPr>
                <w:rFonts w:hint="eastAsia"/>
                <w:color w:val="auto"/>
                <w:kern w:val="0"/>
                <w:sz w:val="24"/>
                <w:highlight w:val="none"/>
              </w:rPr>
              <w:t>职工生活垃圾等。</w:t>
            </w:r>
          </w:p>
          <w:p w14:paraId="114CA50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1、固废产生情况</w:t>
            </w:r>
          </w:p>
          <w:p w14:paraId="37AB63BC">
            <w:pPr>
              <w:pStyle w:val="44"/>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olor w:val="auto"/>
                <w:kern w:val="0"/>
                <w:highlight w:val="none"/>
                <w:lang w:eastAsia="zh-CN"/>
              </w:rPr>
            </w:pPr>
            <w:r>
              <w:rPr>
                <w:rFonts w:ascii="Times New Roman" w:hAnsi="Times New Roman"/>
                <w:color w:val="auto"/>
                <w:kern w:val="0"/>
                <w:highlight w:val="none"/>
              </w:rPr>
              <w:t>（</w:t>
            </w:r>
            <w:r>
              <w:rPr>
                <w:rFonts w:hint="eastAsia" w:ascii="Times New Roman" w:hAnsi="Times New Roman"/>
                <w:color w:val="auto"/>
                <w:kern w:val="0"/>
                <w:highlight w:val="none"/>
                <w:lang w:val="en-US" w:eastAsia="zh-CN"/>
              </w:rPr>
              <w:t>1</w:t>
            </w:r>
            <w:r>
              <w:rPr>
                <w:rFonts w:ascii="Times New Roman" w:hAnsi="Times New Roman"/>
                <w:color w:val="auto"/>
                <w:kern w:val="0"/>
                <w:highlight w:val="none"/>
              </w:rPr>
              <w:t>）</w:t>
            </w:r>
            <w:r>
              <w:rPr>
                <w:rFonts w:hint="eastAsia" w:ascii="Times New Roman" w:hAnsi="Times New Roman"/>
                <w:color w:val="auto"/>
                <w:kern w:val="0"/>
                <w:highlight w:val="none"/>
                <w:lang w:eastAsia="zh-CN"/>
              </w:rPr>
              <w:t>山茱萸果核</w:t>
            </w:r>
          </w:p>
          <w:p w14:paraId="7A3A188C">
            <w:pPr>
              <w:pStyle w:val="44"/>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color w:val="auto"/>
                <w:kern w:val="0"/>
                <w:highlight w:val="none"/>
              </w:rPr>
            </w:pPr>
            <w:r>
              <w:rPr>
                <w:rFonts w:hint="eastAsia" w:ascii="Times New Roman" w:hAnsi="Times New Roman"/>
                <w:color w:val="auto"/>
                <w:kern w:val="0"/>
                <w:highlight w:val="none"/>
              </w:rPr>
              <w:t>项目</w:t>
            </w:r>
            <w:r>
              <w:rPr>
                <w:rFonts w:hint="eastAsia" w:ascii="Times New Roman" w:hAnsi="Times New Roman"/>
                <w:color w:val="auto"/>
                <w:kern w:val="0"/>
                <w:highlight w:val="none"/>
                <w:lang w:eastAsia="zh-CN"/>
              </w:rPr>
              <w:t>山茱萸去核</w:t>
            </w:r>
            <w:r>
              <w:rPr>
                <w:rFonts w:hint="eastAsia" w:ascii="Times New Roman" w:hAnsi="Times New Roman"/>
                <w:color w:val="auto"/>
                <w:kern w:val="0"/>
                <w:highlight w:val="none"/>
              </w:rPr>
              <w:t>工序</w:t>
            </w:r>
            <w:r>
              <w:rPr>
                <w:rFonts w:hint="eastAsia" w:ascii="Times New Roman" w:hAnsi="Times New Roman"/>
                <w:color w:val="auto"/>
                <w:kern w:val="0"/>
                <w:highlight w:val="none"/>
                <w:lang w:eastAsia="zh-CN"/>
              </w:rPr>
              <w:t>会</w:t>
            </w:r>
            <w:r>
              <w:rPr>
                <w:rFonts w:hint="eastAsia" w:ascii="Times New Roman" w:hAnsi="Times New Roman"/>
                <w:color w:val="auto"/>
                <w:kern w:val="0"/>
                <w:highlight w:val="none"/>
              </w:rPr>
              <w:t>产生废弃果核，根据建设单位生产经验，产生量约为</w:t>
            </w:r>
            <w:r>
              <w:rPr>
                <w:rFonts w:hint="eastAsia" w:ascii="Times New Roman" w:hAnsi="Times New Roman"/>
                <w:color w:val="auto"/>
                <w:kern w:val="0"/>
                <w:highlight w:val="none"/>
                <w:lang w:eastAsia="zh-CN"/>
              </w:rPr>
              <w:t>鲜果的</w:t>
            </w:r>
            <w:r>
              <w:rPr>
                <w:rFonts w:hint="eastAsia" w:ascii="Times New Roman" w:hAnsi="Times New Roman"/>
                <w:color w:val="auto"/>
                <w:kern w:val="0"/>
                <w:highlight w:val="none"/>
                <w:lang w:val="en-US" w:eastAsia="zh-CN"/>
              </w:rPr>
              <w:t>15%</w:t>
            </w:r>
            <w:r>
              <w:rPr>
                <w:rFonts w:hint="eastAsia" w:ascii="Times New Roman" w:hAnsi="Times New Roman"/>
                <w:color w:val="auto"/>
                <w:kern w:val="0"/>
                <w:highlight w:val="none"/>
              </w:rPr>
              <w:t>，</w:t>
            </w:r>
            <w:r>
              <w:rPr>
                <w:rFonts w:hint="eastAsia" w:ascii="Times New Roman" w:hAnsi="Times New Roman"/>
                <w:color w:val="auto"/>
                <w:kern w:val="0"/>
                <w:highlight w:val="none"/>
                <w:lang w:eastAsia="zh-CN"/>
              </w:rPr>
              <w:t>则果核产生量为</w:t>
            </w:r>
            <w:r>
              <w:rPr>
                <w:rFonts w:hint="eastAsia" w:ascii="Times New Roman" w:hAnsi="Times New Roman"/>
                <w:color w:val="auto"/>
                <w:kern w:val="0"/>
                <w:highlight w:val="none"/>
                <w:lang w:val="en-US" w:eastAsia="zh-CN"/>
              </w:rPr>
              <w:t>750t/a，</w:t>
            </w:r>
            <w:r>
              <w:rPr>
                <w:rFonts w:hint="eastAsia" w:ascii="Times New Roman" w:hAnsi="Times New Roman"/>
                <w:color w:val="auto"/>
                <w:kern w:val="0"/>
                <w:highlight w:val="none"/>
              </w:rPr>
              <w:t>由周边农户清运用于制作农田肥料</w:t>
            </w:r>
            <w:r>
              <w:rPr>
                <w:rFonts w:ascii="Times New Roman" w:hAnsi="Times New Roman"/>
                <w:color w:val="auto"/>
                <w:kern w:val="0"/>
                <w:highlight w:val="none"/>
              </w:rPr>
              <w:t>。</w:t>
            </w:r>
          </w:p>
          <w:p w14:paraId="240AAEB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color w:val="auto"/>
                <w:kern w:val="0"/>
                <w:sz w:val="24"/>
                <w:highlight w:val="none"/>
                <w:lang w:eastAsia="zh-CN"/>
              </w:rPr>
            </w:pPr>
            <w:r>
              <w:rPr>
                <w:rFonts w:hint="eastAsia"/>
                <w:color w:val="auto"/>
                <w:kern w:val="0"/>
                <w:sz w:val="24"/>
                <w:highlight w:val="none"/>
              </w:rPr>
              <w:t>（</w:t>
            </w:r>
            <w:r>
              <w:rPr>
                <w:rFonts w:hint="eastAsia"/>
                <w:color w:val="auto"/>
                <w:kern w:val="0"/>
                <w:sz w:val="24"/>
                <w:highlight w:val="none"/>
                <w:lang w:val="en-US" w:eastAsia="zh-CN"/>
              </w:rPr>
              <w:t>2</w:t>
            </w:r>
            <w:r>
              <w:rPr>
                <w:rFonts w:hint="eastAsia"/>
                <w:color w:val="auto"/>
                <w:kern w:val="0"/>
                <w:sz w:val="24"/>
                <w:highlight w:val="none"/>
              </w:rPr>
              <w:t>）</w:t>
            </w:r>
            <w:r>
              <w:rPr>
                <w:rFonts w:hint="eastAsia"/>
                <w:color w:val="auto"/>
                <w:kern w:val="0"/>
                <w:sz w:val="24"/>
                <w:highlight w:val="none"/>
                <w:lang w:eastAsia="zh-CN"/>
              </w:rPr>
              <w:t>色选杂质</w:t>
            </w:r>
          </w:p>
          <w:p w14:paraId="220C507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本项目</w:t>
            </w:r>
            <w:r>
              <w:rPr>
                <w:rFonts w:hint="eastAsia"/>
                <w:color w:val="auto"/>
                <w:kern w:val="0"/>
                <w:sz w:val="24"/>
                <w:highlight w:val="none"/>
                <w:lang w:eastAsia="zh-CN"/>
              </w:rPr>
              <w:t>山茱萸</w:t>
            </w:r>
            <w:r>
              <w:rPr>
                <w:rFonts w:hint="eastAsia"/>
                <w:color w:val="auto"/>
                <w:kern w:val="0"/>
                <w:sz w:val="24"/>
                <w:highlight w:val="none"/>
              </w:rPr>
              <w:t>干果加工工艺中色选工段选出的变质果产生量为</w:t>
            </w:r>
            <w:r>
              <w:rPr>
                <w:rFonts w:hint="eastAsia"/>
                <w:color w:val="auto"/>
                <w:kern w:val="0"/>
                <w:sz w:val="24"/>
                <w:highlight w:val="none"/>
                <w:lang w:eastAsia="zh-CN"/>
              </w:rPr>
              <w:t>原料的</w:t>
            </w:r>
            <w:r>
              <w:rPr>
                <w:rFonts w:hint="eastAsia"/>
                <w:color w:val="auto"/>
                <w:kern w:val="0"/>
                <w:sz w:val="24"/>
                <w:highlight w:val="none"/>
                <w:lang w:val="en-US" w:eastAsia="zh-CN"/>
              </w:rPr>
              <w:t>0.1%，2.5</w:t>
            </w:r>
            <w:r>
              <w:rPr>
                <w:rFonts w:hint="eastAsia"/>
                <w:color w:val="auto"/>
                <w:kern w:val="0"/>
                <w:sz w:val="24"/>
                <w:highlight w:val="none"/>
              </w:rPr>
              <w:t>t/a，建设单位将变质果和霉果装入50kg装的标准袋中于一般固废暂存间内暂存，</w:t>
            </w:r>
            <w:r>
              <w:rPr>
                <w:rFonts w:hint="eastAsia"/>
                <w:color w:val="auto"/>
                <w:kern w:val="0"/>
                <w:sz w:val="24"/>
                <w:highlight w:val="none"/>
                <w:lang w:eastAsia="zh-CN"/>
              </w:rPr>
              <w:t>定期</w:t>
            </w:r>
            <w:r>
              <w:rPr>
                <w:rFonts w:hint="eastAsia"/>
                <w:color w:val="auto"/>
                <w:kern w:val="0"/>
                <w:sz w:val="24"/>
                <w:highlight w:val="none"/>
              </w:rPr>
              <w:t>周边农户清运用于制作农田肥料。</w:t>
            </w:r>
          </w:p>
          <w:p w14:paraId="273CD83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宋体"/>
                <w:color w:val="auto"/>
                <w:sz w:val="24"/>
                <w:highlight w:val="none"/>
                <w:lang w:eastAsia="zh-CN"/>
              </w:rPr>
            </w:pPr>
            <w:r>
              <w:rPr>
                <w:rFonts w:hint="eastAsia"/>
                <w:color w:val="auto"/>
                <w:sz w:val="24"/>
                <w:highlight w:val="none"/>
              </w:rPr>
              <w:t>（</w:t>
            </w:r>
            <w:r>
              <w:rPr>
                <w:rFonts w:hint="eastAsia"/>
                <w:color w:val="auto"/>
                <w:sz w:val="24"/>
                <w:highlight w:val="none"/>
                <w:lang w:val="en-US" w:eastAsia="zh-CN"/>
              </w:rPr>
              <w:t>3</w:t>
            </w:r>
            <w:r>
              <w:rPr>
                <w:rFonts w:hint="eastAsia"/>
                <w:color w:val="auto"/>
                <w:sz w:val="24"/>
                <w:highlight w:val="none"/>
              </w:rPr>
              <w:t>）</w:t>
            </w:r>
            <w:r>
              <w:rPr>
                <w:rFonts w:hint="eastAsia"/>
                <w:color w:val="auto"/>
                <w:sz w:val="24"/>
                <w:highlight w:val="none"/>
                <w:lang w:eastAsia="zh-CN"/>
              </w:rPr>
              <w:t>废包装</w:t>
            </w:r>
          </w:p>
          <w:p w14:paraId="001F80D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eastAsia="宋体"/>
                <w:color w:val="auto"/>
                <w:kern w:val="0"/>
                <w:sz w:val="24"/>
                <w:highlight w:val="none"/>
                <w:lang w:val="en-US" w:eastAsia="zh-CN"/>
              </w:rPr>
            </w:pPr>
            <w:r>
              <w:rPr>
                <w:rFonts w:hint="eastAsia"/>
                <w:color w:val="auto"/>
                <w:kern w:val="0"/>
                <w:sz w:val="24"/>
                <w:highlight w:val="none"/>
                <w:lang w:eastAsia="zh-CN"/>
              </w:rPr>
              <w:t>项目采购原料葡萄糖采用袋装，山茱萸干果及饮品采用袋装或瓶装，会产生少量的废包装物，原料葡萄糖</w:t>
            </w:r>
            <w:r>
              <w:rPr>
                <w:rFonts w:hint="eastAsia"/>
                <w:color w:val="auto"/>
                <w:kern w:val="0"/>
                <w:sz w:val="24"/>
                <w:highlight w:val="none"/>
              </w:rPr>
              <w:t>平均每袋25kg，包装袋每个重约0.0</w:t>
            </w:r>
            <w:r>
              <w:rPr>
                <w:rFonts w:hint="eastAsia"/>
                <w:color w:val="auto"/>
                <w:kern w:val="0"/>
                <w:sz w:val="24"/>
                <w:highlight w:val="none"/>
                <w:lang w:val="en-US" w:eastAsia="zh-CN"/>
              </w:rPr>
              <w:t>0</w:t>
            </w:r>
            <w:r>
              <w:rPr>
                <w:rFonts w:hint="eastAsia"/>
                <w:color w:val="auto"/>
                <w:kern w:val="0"/>
                <w:sz w:val="24"/>
                <w:highlight w:val="none"/>
              </w:rPr>
              <w:t>5kg，则废包装袋产生量为</w:t>
            </w:r>
            <w:r>
              <w:rPr>
                <w:rFonts w:hint="eastAsia"/>
                <w:color w:val="auto"/>
                <w:kern w:val="0"/>
                <w:sz w:val="24"/>
                <w:highlight w:val="none"/>
                <w:lang w:val="en-US" w:eastAsia="zh-CN"/>
              </w:rPr>
              <w:t>6</w:t>
            </w:r>
            <w:r>
              <w:rPr>
                <w:rFonts w:hint="eastAsia"/>
                <w:color w:val="auto"/>
                <w:kern w:val="0"/>
                <w:sz w:val="24"/>
                <w:highlight w:val="none"/>
              </w:rPr>
              <w:t>t/a；</w:t>
            </w:r>
            <w:r>
              <w:rPr>
                <w:rFonts w:hint="eastAsia"/>
                <w:color w:val="auto"/>
                <w:kern w:val="0"/>
                <w:sz w:val="24"/>
                <w:highlight w:val="none"/>
                <w:lang w:eastAsia="zh-CN"/>
              </w:rPr>
              <w:t>产品废包装物产生量约</w:t>
            </w:r>
            <w:r>
              <w:rPr>
                <w:rFonts w:hint="eastAsia"/>
                <w:color w:val="auto"/>
                <w:kern w:val="0"/>
                <w:sz w:val="24"/>
                <w:highlight w:val="none"/>
                <w:lang w:val="en-US" w:eastAsia="zh-CN"/>
              </w:rPr>
              <w:t>1t/a。废包装物集中收集后定期外售废旧资源回收单位。</w:t>
            </w:r>
          </w:p>
          <w:p w14:paraId="0F22D4F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olor w:val="auto"/>
                <w:kern w:val="0"/>
                <w:sz w:val="24"/>
                <w:highlight w:val="none"/>
              </w:rPr>
            </w:pPr>
            <w:r>
              <w:rPr>
                <w:rFonts w:hint="eastAsia"/>
                <w:color w:val="auto"/>
                <w:kern w:val="0"/>
                <w:sz w:val="24"/>
                <w:highlight w:val="none"/>
              </w:rPr>
              <w:t>（</w:t>
            </w:r>
            <w:r>
              <w:rPr>
                <w:rFonts w:hint="eastAsia"/>
                <w:color w:val="auto"/>
                <w:kern w:val="0"/>
                <w:sz w:val="24"/>
                <w:highlight w:val="none"/>
                <w:lang w:val="en-US" w:eastAsia="zh-CN"/>
              </w:rPr>
              <w:t>4</w:t>
            </w:r>
            <w:r>
              <w:rPr>
                <w:rFonts w:hint="eastAsia"/>
                <w:color w:val="auto"/>
                <w:kern w:val="0"/>
                <w:sz w:val="24"/>
                <w:highlight w:val="none"/>
              </w:rPr>
              <w:t>）检验废液</w:t>
            </w:r>
          </w:p>
          <w:p w14:paraId="369967D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kern w:val="0"/>
                <w:sz w:val="24"/>
                <w:szCs w:val="24"/>
                <w:highlight w:val="none"/>
              </w:rPr>
            </w:pPr>
            <w:r>
              <w:rPr>
                <w:rFonts w:hint="eastAsia"/>
                <w:color w:val="auto"/>
                <w:kern w:val="0"/>
                <w:sz w:val="24"/>
                <w:szCs w:val="24"/>
                <w:highlight w:val="none"/>
              </w:rPr>
              <w:t>本项目设置化验室1间，本</w:t>
            </w:r>
            <w:r>
              <w:rPr>
                <w:rFonts w:hint="eastAsia"/>
                <w:color w:val="auto"/>
                <w:kern w:val="0"/>
                <w:sz w:val="24"/>
                <w:szCs w:val="24"/>
                <w:highlight w:val="none"/>
                <w:lang w:eastAsia="zh-CN"/>
              </w:rPr>
              <w:t>项目</w:t>
            </w:r>
            <w:r>
              <w:rPr>
                <w:rFonts w:hint="eastAsia"/>
                <w:color w:val="auto"/>
                <w:kern w:val="0"/>
                <w:sz w:val="24"/>
                <w:szCs w:val="24"/>
                <w:highlight w:val="none"/>
              </w:rPr>
              <w:t>产品需进行质量检验，检验过程中会产生检验废液，</w:t>
            </w:r>
            <w:r>
              <w:rPr>
                <w:rFonts w:hint="eastAsia"/>
                <w:color w:val="auto"/>
                <w:sz w:val="24"/>
                <w:szCs w:val="24"/>
                <w:highlight w:val="none"/>
              </w:rPr>
              <w:t>检测项目仅包括需氧菌总数、霉菌、大肠菌群等致病菌等微生物指标</w:t>
            </w:r>
            <w:r>
              <w:rPr>
                <w:rFonts w:hint="eastAsia"/>
                <w:color w:val="auto"/>
                <w:sz w:val="24"/>
                <w:szCs w:val="24"/>
                <w:highlight w:val="none"/>
                <w:lang w:eastAsia="zh-CN"/>
              </w:rPr>
              <w:t>及</w:t>
            </w:r>
            <w:r>
              <w:rPr>
                <w:rFonts w:hint="default" w:ascii="Times New Roman" w:hAnsi="Times New Roman" w:cs="Times New Roman"/>
                <w:bCs/>
                <w:color w:val="auto"/>
                <w:sz w:val="24"/>
                <w:szCs w:val="24"/>
                <w:highlight w:val="none"/>
                <w:lang w:val="en-US" w:eastAsia="zh-CN"/>
              </w:rPr>
              <w:t>糖度、色度、酸度、</w:t>
            </w:r>
            <w:r>
              <w:rPr>
                <w:rFonts w:hint="eastAsia" w:ascii="Times New Roman" w:hAnsi="Times New Roman" w:cs="Times New Roman"/>
                <w:bCs/>
                <w:color w:val="auto"/>
                <w:sz w:val="24"/>
                <w:szCs w:val="24"/>
                <w:highlight w:val="none"/>
                <w:lang w:val="en-US" w:eastAsia="zh-CN"/>
              </w:rPr>
              <w:t>酒精含量、</w:t>
            </w:r>
            <w:r>
              <w:rPr>
                <w:rFonts w:hint="default" w:ascii="Times New Roman" w:hAnsi="Times New Roman" w:cs="Times New Roman"/>
                <w:bCs/>
                <w:color w:val="auto"/>
                <w:sz w:val="24"/>
                <w:szCs w:val="24"/>
                <w:highlight w:val="none"/>
                <w:lang w:val="en-US" w:eastAsia="zh-CN"/>
              </w:rPr>
              <w:t>浊度及细菌指标</w:t>
            </w:r>
            <w:r>
              <w:rPr>
                <w:rFonts w:hint="eastAsia" w:ascii="Times New Roman" w:hAnsi="Times New Roman" w:cs="Times New Roman"/>
                <w:bCs/>
                <w:color w:val="auto"/>
                <w:sz w:val="24"/>
                <w:szCs w:val="24"/>
                <w:highlight w:val="none"/>
                <w:lang w:val="en-US" w:eastAsia="zh-CN"/>
              </w:rPr>
              <w:t>，</w:t>
            </w:r>
            <w:r>
              <w:rPr>
                <w:rFonts w:hint="eastAsia"/>
                <w:color w:val="auto"/>
                <w:sz w:val="24"/>
                <w:szCs w:val="24"/>
                <w:highlight w:val="none"/>
                <w:lang w:eastAsia="zh-CN"/>
              </w:rPr>
              <w:t>根据前文计算结果</w:t>
            </w:r>
            <w:r>
              <w:rPr>
                <w:rFonts w:hint="eastAsia"/>
                <w:color w:val="auto"/>
                <w:sz w:val="24"/>
                <w:szCs w:val="24"/>
                <w:highlight w:val="none"/>
              </w:rPr>
              <w:t>废液产生量为0.</w:t>
            </w:r>
            <w:r>
              <w:rPr>
                <w:rFonts w:hint="eastAsia"/>
                <w:color w:val="auto"/>
                <w:sz w:val="24"/>
                <w:szCs w:val="24"/>
                <w:highlight w:val="none"/>
                <w:lang w:val="en-US" w:eastAsia="zh-CN"/>
              </w:rPr>
              <w:t>12</w:t>
            </w:r>
            <w:r>
              <w:rPr>
                <w:rFonts w:hint="eastAsia"/>
                <w:color w:val="auto"/>
                <w:sz w:val="24"/>
                <w:szCs w:val="24"/>
                <w:highlight w:val="none"/>
              </w:rPr>
              <w:t>t/a。根据《国家危险废物名录》（202</w:t>
            </w:r>
            <w:r>
              <w:rPr>
                <w:rFonts w:hint="eastAsia"/>
                <w:color w:val="auto"/>
                <w:sz w:val="24"/>
                <w:szCs w:val="24"/>
                <w:highlight w:val="none"/>
                <w:lang w:val="en-US" w:eastAsia="zh-CN"/>
              </w:rPr>
              <w:t>5</w:t>
            </w:r>
            <w:r>
              <w:rPr>
                <w:rFonts w:hint="eastAsia"/>
                <w:color w:val="auto"/>
                <w:sz w:val="24"/>
                <w:szCs w:val="24"/>
                <w:highlight w:val="none"/>
              </w:rPr>
              <w:t>年版），检验废液属于危险废物，废物类别为HW49，废物代码为900-047-49。</w:t>
            </w:r>
          </w:p>
          <w:p w14:paraId="15E4EBB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auto"/>
                <w:kern w:val="0"/>
                <w:sz w:val="24"/>
                <w:highlight w:val="none"/>
              </w:rPr>
            </w:pPr>
            <w:r>
              <w:rPr>
                <w:color w:val="auto"/>
                <w:kern w:val="0"/>
                <w:sz w:val="24"/>
                <w:highlight w:val="none"/>
              </w:rPr>
              <w:t>（</w:t>
            </w:r>
            <w:r>
              <w:rPr>
                <w:rFonts w:hint="eastAsia"/>
                <w:color w:val="auto"/>
                <w:kern w:val="0"/>
                <w:sz w:val="24"/>
                <w:highlight w:val="none"/>
                <w:lang w:val="en-US" w:eastAsia="zh-CN"/>
              </w:rPr>
              <w:t>5</w:t>
            </w:r>
            <w:r>
              <w:rPr>
                <w:color w:val="auto"/>
                <w:kern w:val="0"/>
                <w:sz w:val="24"/>
                <w:highlight w:val="none"/>
              </w:rPr>
              <w:t>）生活垃圾</w:t>
            </w:r>
          </w:p>
          <w:p w14:paraId="3197EA0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bCs/>
                <w:color w:val="auto"/>
                <w:sz w:val="24"/>
                <w:highlight w:val="none"/>
              </w:rPr>
            </w:pPr>
            <w:r>
              <w:rPr>
                <w:bCs/>
                <w:color w:val="auto"/>
                <w:sz w:val="24"/>
                <w:highlight w:val="none"/>
              </w:rPr>
              <w:t>本项目</w:t>
            </w:r>
            <w:r>
              <w:rPr>
                <w:rFonts w:hint="eastAsia"/>
                <w:bCs/>
                <w:color w:val="auto"/>
                <w:sz w:val="24"/>
                <w:highlight w:val="none"/>
                <w:lang w:eastAsia="zh-CN"/>
              </w:rPr>
              <w:t>拟定</w:t>
            </w:r>
            <w:r>
              <w:rPr>
                <w:bCs/>
                <w:color w:val="auto"/>
                <w:sz w:val="24"/>
                <w:highlight w:val="none"/>
              </w:rPr>
              <w:t>员工</w:t>
            </w:r>
            <w:r>
              <w:rPr>
                <w:rFonts w:hint="eastAsia"/>
                <w:bCs/>
                <w:color w:val="auto"/>
                <w:sz w:val="24"/>
                <w:highlight w:val="none"/>
                <w:lang w:val="en-US" w:eastAsia="zh-CN"/>
              </w:rPr>
              <w:t>26</w:t>
            </w:r>
            <w:r>
              <w:rPr>
                <w:bCs/>
                <w:color w:val="auto"/>
                <w:sz w:val="24"/>
                <w:highlight w:val="none"/>
              </w:rPr>
              <w:t>人，垃圾产生按0.38 kg/人·天计，则生活垃圾的产生量约为</w:t>
            </w:r>
            <w:r>
              <w:rPr>
                <w:rFonts w:hint="eastAsia"/>
                <w:bCs/>
                <w:color w:val="auto"/>
                <w:sz w:val="24"/>
                <w:highlight w:val="none"/>
              </w:rPr>
              <w:t>0.</w:t>
            </w:r>
            <w:r>
              <w:rPr>
                <w:rFonts w:hint="eastAsia"/>
                <w:bCs/>
                <w:color w:val="auto"/>
                <w:sz w:val="24"/>
                <w:highlight w:val="none"/>
                <w:lang w:val="en-US" w:eastAsia="zh-CN"/>
              </w:rPr>
              <w:t>59</w:t>
            </w:r>
            <w:r>
              <w:rPr>
                <w:bCs/>
                <w:color w:val="auto"/>
                <w:sz w:val="24"/>
                <w:highlight w:val="none"/>
              </w:rPr>
              <w:t>t/a，经统一收集后统一交由园区环卫部门处理。</w:t>
            </w:r>
          </w:p>
          <w:p w14:paraId="29755131">
            <w:pPr>
              <w:pStyle w:val="44"/>
              <w:keepNext w:val="0"/>
              <w:keepLines w:val="0"/>
              <w:pageBreakBefore w:val="0"/>
              <w:widowControl w:val="0"/>
              <w:kinsoku/>
              <w:wordWrap/>
              <w:overflowPunct/>
              <w:topLinePunct w:val="0"/>
              <w:autoSpaceDE w:val="0"/>
              <w:autoSpaceDN w:val="0"/>
              <w:bidi w:val="0"/>
              <w:adjustRightInd w:val="0"/>
              <w:snapToGrid w:val="0"/>
              <w:spacing w:before="157" w:beforeLines="50"/>
              <w:jc w:val="center"/>
              <w:textAlignment w:val="auto"/>
              <w:rPr>
                <w:rFonts w:hint="default" w:ascii="Times New Roman" w:hAnsi="Times New Roman"/>
                <w:b/>
                <w:color w:val="auto"/>
                <w:sz w:val="21"/>
                <w:szCs w:val="21"/>
                <w:highlight w:val="none"/>
              </w:rPr>
            </w:pPr>
            <w:r>
              <w:rPr>
                <w:rFonts w:hint="default" w:ascii="Times New Roman" w:hAnsi="Times New Roman"/>
                <w:b/>
                <w:color w:val="auto"/>
                <w:spacing w:val="-10"/>
                <w:sz w:val="21"/>
                <w:szCs w:val="21"/>
                <w:highlight w:val="none"/>
              </w:rPr>
              <w:t>表</w:t>
            </w:r>
            <w:r>
              <w:rPr>
                <w:rFonts w:ascii="Times New Roman" w:hAnsi="Times New Roman"/>
                <w:b/>
                <w:color w:val="auto"/>
                <w:spacing w:val="-10"/>
                <w:sz w:val="21"/>
                <w:szCs w:val="21"/>
                <w:highlight w:val="none"/>
              </w:rPr>
              <w:t>4-1</w:t>
            </w:r>
            <w:r>
              <w:rPr>
                <w:rFonts w:hint="eastAsia" w:ascii="Times New Roman" w:hAnsi="Times New Roman"/>
                <w:b/>
                <w:color w:val="auto"/>
                <w:spacing w:val="-10"/>
                <w:sz w:val="21"/>
                <w:szCs w:val="21"/>
                <w:highlight w:val="none"/>
                <w:lang w:val="en-US" w:eastAsia="zh-CN"/>
              </w:rPr>
              <w:t>1</w:t>
            </w:r>
            <w:r>
              <w:rPr>
                <w:rFonts w:hint="default" w:ascii="Times New Roman" w:hAnsi="Times New Roman"/>
                <w:b/>
                <w:color w:val="auto"/>
                <w:spacing w:val="-10"/>
                <w:sz w:val="21"/>
                <w:szCs w:val="21"/>
                <w:highlight w:val="none"/>
              </w:rPr>
              <w:t xml:space="preserve">  项目固废产生及处置情况</w:t>
            </w:r>
          </w:p>
          <w:tbl>
            <w:tblPr>
              <w:tblStyle w:val="28"/>
              <w:tblW w:w="794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670"/>
              <w:gridCol w:w="692"/>
              <w:gridCol w:w="671"/>
              <w:gridCol w:w="517"/>
              <w:gridCol w:w="633"/>
              <w:gridCol w:w="850"/>
              <w:gridCol w:w="682"/>
              <w:gridCol w:w="800"/>
              <w:gridCol w:w="1106"/>
              <w:gridCol w:w="816"/>
            </w:tblGrid>
            <w:tr w14:paraId="2079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dxa"/>
                  <w:noWrap w:val="0"/>
                  <w:vAlign w:val="center"/>
                </w:tcPr>
                <w:p w14:paraId="183FE48E">
                  <w:pPr>
                    <w:adjustRightInd w:val="0"/>
                    <w:snapToGrid w:val="0"/>
                    <w:jc w:val="center"/>
                    <w:rPr>
                      <w:bCs/>
                      <w:color w:val="auto"/>
                      <w:szCs w:val="21"/>
                      <w:highlight w:val="none"/>
                    </w:rPr>
                  </w:pPr>
                  <w:r>
                    <w:rPr>
                      <w:bCs/>
                      <w:color w:val="auto"/>
                      <w:szCs w:val="21"/>
                      <w:highlight w:val="none"/>
                    </w:rPr>
                    <w:t>序号</w:t>
                  </w:r>
                </w:p>
              </w:tc>
              <w:tc>
                <w:tcPr>
                  <w:tcW w:w="670" w:type="dxa"/>
                  <w:noWrap w:val="0"/>
                  <w:vAlign w:val="center"/>
                </w:tcPr>
                <w:p w14:paraId="10DE7021">
                  <w:pPr>
                    <w:adjustRightInd w:val="0"/>
                    <w:snapToGrid w:val="0"/>
                    <w:jc w:val="center"/>
                    <w:rPr>
                      <w:bCs/>
                      <w:color w:val="auto"/>
                      <w:szCs w:val="21"/>
                      <w:highlight w:val="none"/>
                    </w:rPr>
                  </w:pPr>
                  <w:r>
                    <w:rPr>
                      <w:bCs/>
                      <w:color w:val="auto"/>
                      <w:szCs w:val="21"/>
                      <w:highlight w:val="none"/>
                    </w:rPr>
                    <w:t>固废名称</w:t>
                  </w:r>
                </w:p>
              </w:tc>
              <w:tc>
                <w:tcPr>
                  <w:tcW w:w="692" w:type="dxa"/>
                  <w:noWrap w:val="0"/>
                  <w:vAlign w:val="center"/>
                </w:tcPr>
                <w:p w14:paraId="4C9BCB28">
                  <w:pPr>
                    <w:adjustRightInd w:val="0"/>
                    <w:snapToGrid w:val="0"/>
                    <w:jc w:val="center"/>
                    <w:rPr>
                      <w:bCs/>
                      <w:color w:val="auto"/>
                      <w:szCs w:val="21"/>
                      <w:highlight w:val="none"/>
                    </w:rPr>
                  </w:pPr>
                  <w:r>
                    <w:rPr>
                      <w:bCs/>
                      <w:color w:val="auto"/>
                      <w:szCs w:val="21"/>
                      <w:highlight w:val="none"/>
                    </w:rPr>
                    <w:t>产生工序</w:t>
                  </w:r>
                </w:p>
              </w:tc>
              <w:tc>
                <w:tcPr>
                  <w:tcW w:w="671" w:type="dxa"/>
                  <w:noWrap w:val="0"/>
                  <w:vAlign w:val="center"/>
                </w:tcPr>
                <w:p w14:paraId="32089AD1">
                  <w:pPr>
                    <w:adjustRightInd w:val="0"/>
                    <w:snapToGrid w:val="0"/>
                    <w:jc w:val="center"/>
                    <w:rPr>
                      <w:bCs/>
                      <w:color w:val="auto"/>
                      <w:szCs w:val="21"/>
                      <w:highlight w:val="none"/>
                    </w:rPr>
                  </w:pPr>
                  <w:r>
                    <w:rPr>
                      <w:bCs/>
                      <w:color w:val="auto"/>
                      <w:szCs w:val="21"/>
                      <w:highlight w:val="none"/>
                    </w:rPr>
                    <w:t>属性</w:t>
                  </w:r>
                </w:p>
              </w:tc>
              <w:tc>
                <w:tcPr>
                  <w:tcW w:w="517" w:type="dxa"/>
                  <w:noWrap w:val="0"/>
                  <w:vAlign w:val="center"/>
                </w:tcPr>
                <w:p w14:paraId="17ADB31B">
                  <w:pPr>
                    <w:adjustRightInd w:val="0"/>
                    <w:snapToGrid w:val="0"/>
                    <w:jc w:val="center"/>
                    <w:rPr>
                      <w:bCs/>
                      <w:color w:val="auto"/>
                      <w:szCs w:val="21"/>
                      <w:highlight w:val="none"/>
                    </w:rPr>
                  </w:pPr>
                  <w:r>
                    <w:rPr>
                      <w:bCs/>
                      <w:color w:val="auto"/>
                      <w:szCs w:val="21"/>
                      <w:highlight w:val="none"/>
                    </w:rPr>
                    <w:t>形态</w:t>
                  </w:r>
                </w:p>
              </w:tc>
              <w:tc>
                <w:tcPr>
                  <w:tcW w:w="633" w:type="dxa"/>
                  <w:noWrap w:val="0"/>
                  <w:vAlign w:val="center"/>
                </w:tcPr>
                <w:p w14:paraId="352F6B7B">
                  <w:pPr>
                    <w:adjustRightInd w:val="0"/>
                    <w:snapToGrid w:val="0"/>
                    <w:jc w:val="center"/>
                    <w:rPr>
                      <w:bCs/>
                      <w:color w:val="auto"/>
                      <w:szCs w:val="21"/>
                      <w:highlight w:val="none"/>
                    </w:rPr>
                  </w:pPr>
                  <w:r>
                    <w:rPr>
                      <w:bCs/>
                      <w:color w:val="auto"/>
                      <w:szCs w:val="21"/>
                      <w:highlight w:val="none"/>
                    </w:rPr>
                    <w:t>危险特性</w:t>
                  </w:r>
                </w:p>
              </w:tc>
              <w:tc>
                <w:tcPr>
                  <w:tcW w:w="850" w:type="dxa"/>
                  <w:noWrap w:val="0"/>
                  <w:vAlign w:val="center"/>
                </w:tcPr>
                <w:p w14:paraId="2BC39867">
                  <w:pPr>
                    <w:adjustRightInd w:val="0"/>
                    <w:snapToGrid w:val="0"/>
                    <w:jc w:val="center"/>
                    <w:rPr>
                      <w:bCs/>
                      <w:color w:val="auto"/>
                      <w:szCs w:val="21"/>
                      <w:highlight w:val="none"/>
                    </w:rPr>
                  </w:pPr>
                  <w:r>
                    <w:rPr>
                      <w:bCs/>
                      <w:color w:val="auto"/>
                      <w:szCs w:val="21"/>
                      <w:highlight w:val="none"/>
                    </w:rPr>
                    <w:t>废物类别</w:t>
                  </w:r>
                </w:p>
              </w:tc>
              <w:tc>
                <w:tcPr>
                  <w:tcW w:w="682" w:type="dxa"/>
                  <w:noWrap w:val="0"/>
                  <w:vAlign w:val="center"/>
                </w:tcPr>
                <w:p w14:paraId="2A45D677">
                  <w:pPr>
                    <w:adjustRightInd w:val="0"/>
                    <w:snapToGrid w:val="0"/>
                    <w:jc w:val="center"/>
                    <w:rPr>
                      <w:bCs/>
                      <w:color w:val="auto"/>
                      <w:szCs w:val="21"/>
                      <w:highlight w:val="none"/>
                    </w:rPr>
                  </w:pPr>
                  <w:r>
                    <w:rPr>
                      <w:bCs/>
                      <w:color w:val="auto"/>
                      <w:szCs w:val="21"/>
                      <w:highlight w:val="none"/>
                    </w:rPr>
                    <w:t>废物代码</w:t>
                  </w:r>
                </w:p>
              </w:tc>
              <w:tc>
                <w:tcPr>
                  <w:tcW w:w="800" w:type="dxa"/>
                  <w:noWrap w:val="0"/>
                  <w:vAlign w:val="center"/>
                </w:tcPr>
                <w:p w14:paraId="65FA4454">
                  <w:pPr>
                    <w:adjustRightInd w:val="0"/>
                    <w:snapToGrid w:val="0"/>
                    <w:jc w:val="center"/>
                    <w:rPr>
                      <w:bCs/>
                      <w:color w:val="auto"/>
                      <w:szCs w:val="21"/>
                      <w:highlight w:val="none"/>
                    </w:rPr>
                  </w:pPr>
                  <w:r>
                    <w:rPr>
                      <w:bCs/>
                      <w:color w:val="auto"/>
                      <w:szCs w:val="21"/>
                      <w:highlight w:val="none"/>
                    </w:rPr>
                    <w:t>产生量</w:t>
                  </w:r>
                  <w:r>
                    <w:rPr>
                      <w:rFonts w:hint="eastAsia"/>
                      <w:bCs/>
                      <w:color w:val="auto"/>
                      <w:szCs w:val="21"/>
                      <w:highlight w:val="none"/>
                    </w:rPr>
                    <w:t>（t/a）</w:t>
                  </w:r>
                </w:p>
              </w:tc>
              <w:tc>
                <w:tcPr>
                  <w:tcW w:w="1106" w:type="dxa"/>
                  <w:noWrap w:val="0"/>
                  <w:vAlign w:val="center"/>
                </w:tcPr>
                <w:p w14:paraId="793AE26B">
                  <w:pPr>
                    <w:adjustRightInd w:val="0"/>
                    <w:snapToGrid w:val="0"/>
                    <w:jc w:val="center"/>
                    <w:rPr>
                      <w:bCs/>
                      <w:color w:val="auto"/>
                      <w:szCs w:val="21"/>
                      <w:highlight w:val="none"/>
                    </w:rPr>
                  </w:pPr>
                  <w:r>
                    <w:rPr>
                      <w:bCs/>
                      <w:color w:val="auto"/>
                      <w:szCs w:val="21"/>
                      <w:highlight w:val="none"/>
                    </w:rPr>
                    <w:t>处置方式和去向</w:t>
                  </w:r>
                </w:p>
              </w:tc>
              <w:tc>
                <w:tcPr>
                  <w:tcW w:w="816" w:type="dxa"/>
                  <w:noWrap w:val="0"/>
                  <w:vAlign w:val="center"/>
                </w:tcPr>
                <w:p w14:paraId="55E336F5">
                  <w:pPr>
                    <w:adjustRightInd w:val="0"/>
                    <w:snapToGrid w:val="0"/>
                    <w:jc w:val="center"/>
                    <w:rPr>
                      <w:bCs/>
                      <w:color w:val="auto"/>
                      <w:szCs w:val="21"/>
                      <w:highlight w:val="none"/>
                    </w:rPr>
                  </w:pPr>
                  <w:r>
                    <w:rPr>
                      <w:rFonts w:hint="eastAsia"/>
                      <w:bCs/>
                      <w:color w:val="auto"/>
                      <w:szCs w:val="21"/>
                      <w:highlight w:val="none"/>
                    </w:rPr>
                    <w:t>管理要求</w:t>
                  </w:r>
                </w:p>
              </w:tc>
            </w:tr>
            <w:tr w14:paraId="5F72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509" w:type="dxa"/>
                  <w:noWrap w:val="0"/>
                  <w:vAlign w:val="center"/>
                </w:tcPr>
                <w:p w14:paraId="26E6C4E0">
                  <w:pPr>
                    <w:adjustRightInd w:val="0"/>
                    <w:snapToGrid w:val="0"/>
                    <w:jc w:val="center"/>
                    <w:rPr>
                      <w:bCs/>
                      <w:color w:val="auto"/>
                      <w:szCs w:val="21"/>
                      <w:highlight w:val="none"/>
                    </w:rPr>
                  </w:pPr>
                  <w:r>
                    <w:rPr>
                      <w:rFonts w:hint="eastAsia"/>
                      <w:bCs/>
                      <w:color w:val="auto"/>
                      <w:szCs w:val="21"/>
                      <w:highlight w:val="none"/>
                    </w:rPr>
                    <w:t>1</w:t>
                  </w:r>
                </w:p>
              </w:tc>
              <w:tc>
                <w:tcPr>
                  <w:tcW w:w="670" w:type="dxa"/>
                  <w:noWrap w:val="0"/>
                  <w:vAlign w:val="center"/>
                </w:tcPr>
                <w:p w14:paraId="60ECD708">
                  <w:pPr>
                    <w:adjustRightInd w:val="0"/>
                    <w:snapToGrid w:val="0"/>
                    <w:jc w:val="center"/>
                    <w:rPr>
                      <w:rFonts w:hint="eastAsia"/>
                      <w:bCs/>
                      <w:color w:val="auto"/>
                      <w:kern w:val="2"/>
                      <w:sz w:val="21"/>
                      <w:szCs w:val="21"/>
                      <w:highlight w:val="none"/>
                      <w:lang w:val="en-US" w:eastAsia="zh-CN" w:bidi="ar-SA"/>
                    </w:rPr>
                  </w:pPr>
                  <w:r>
                    <w:rPr>
                      <w:rFonts w:hint="eastAsia"/>
                      <w:bCs/>
                      <w:color w:val="auto"/>
                      <w:kern w:val="2"/>
                      <w:sz w:val="21"/>
                      <w:szCs w:val="21"/>
                      <w:highlight w:val="none"/>
                      <w:lang w:val="en-US" w:eastAsia="zh-CN" w:bidi="ar-SA"/>
                    </w:rPr>
                    <w:t>山茱萸果核</w:t>
                  </w:r>
                </w:p>
              </w:tc>
              <w:tc>
                <w:tcPr>
                  <w:tcW w:w="692" w:type="dxa"/>
                  <w:noWrap w:val="0"/>
                  <w:vAlign w:val="center"/>
                </w:tcPr>
                <w:p w14:paraId="47910188">
                  <w:pPr>
                    <w:adjustRightInd w:val="0"/>
                    <w:snapToGrid w:val="0"/>
                    <w:jc w:val="center"/>
                    <w:rPr>
                      <w:rFonts w:hint="eastAsia" w:eastAsia="宋体"/>
                      <w:bCs/>
                      <w:color w:val="auto"/>
                      <w:kern w:val="2"/>
                      <w:sz w:val="21"/>
                      <w:szCs w:val="21"/>
                      <w:highlight w:val="none"/>
                      <w:lang w:val="en-US" w:eastAsia="zh-CN" w:bidi="ar-SA"/>
                    </w:rPr>
                  </w:pPr>
                  <w:r>
                    <w:rPr>
                      <w:rFonts w:hint="eastAsia"/>
                      <w:bCs/>
                      <w:color w:val="auto"/>
                      <w:szCs w:val="21"/>
                      <w:highlight w:val="none"/>
                      <w:lang w:eastAsia="zh-CN"/>
                    </w:rPr>
                    <w:t>去核</w:t>
                  </w:r>
                </w:p>
              </w:tc>
              <w:tc>
                <w:tcPr>
                  <w:tcW w:w="671" w:type="dxa"/>
                  <w:noWrap w:val="0"/>
                  <w:vAlign w:val="center"/>
                </w:tcPr>
                <w:p w14:paraId="535DC20B">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一般固废</w:t>
                  </w:r>
                </w:p>
              </w:tc>
              <w:tc>
                <w:tcPr>
                  <w:tcW w:w="517" w:type="dxa"/>
                  <w:noWrap w:val="0"/>
                  <w:vAlign w:val="center"/>
                </w:tcPr>
                <w:p w14:paraId="198D80FB">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固态</w:t>
                  </w:r>
                </w:p>
              </w:tc>
              <w:tc>
                <w:tcPr>
                  <w:tcW w:w="633" w:type="dxa"/>
                  <w:noWrap w:val="0"/>
                  <w:vAlign w:val="center"/>
                </w:tcPr>
                <w:p w14:paraId="3BA6955E">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w:t>
                  </w:r>
                </w:p>
              </w:tc>
              <w:tc>
                <w:tcPr>
                  <w:tcW w:w="850" w:type="dxa"/>
                  <w:noWrap w:val="0"/>
                  <w:vAlign w:val="center"/>
                </w:tcPr>
                <w:p w14:paraId="06C4F644">
                  <w:pPr>
                    <w:adjustRightInd w:val="0"/>
                    <w:snapToGrid w:val="0"/>
                    <w:jc w:val="center"/>
                    <w:rPr>
                      <w:rFonts w:hint="eastAsia"/>
                      <w:color w:val="auto"/>
                      <w:kern w:val="2"/>
                      <w:sz w:val="21"/>
                      <w:szCs w:val="21"/>
                      <w:highlight w:val="none"/>
                      <w:lang w:val="en-US" w:eastAsia="zh-CN" w:bidi="ar-SA"/>
                    </w:rPr>
                  </w:pPr>
                  <w:r>
                    <w:rPr>
                      <w:rFonts w:hint="eastAsia"/>
                      <w:bCs/>
                      <w:color w:val="auto"/>
                      <w:szCs w:val="21"/>
                      <w:highlight w:val="none"/>
                    </w:rPr>
                    <w:t>—</w:t>
                  </w:r>
                </w:p>
              </w:tc>
              <w:tc>
                <w:tcPr>
                  <w:tcW w:w="682" w:type="dxa"/>
                  <w:noWrap w:val="0"/>
                  <w:vAlign w:val="center"/>
                </w:tcPr>
                <w:p w14:paraId="60E3C280">
                  <w:pPr>
                    <w:pStyle w:val="57"/>
                    <w:adjustRightInd w:val="0"/>
                    <w:snapToGrid w:val="0"/>
                    <w:ind w:firstLine="0" w:firstLineChars="0"/>
                    <w:jc w:val="center"/>
                    <w:rPr>
                      <w:rFonts w:hint="eastAsia"/>
                      <w:color w:val="auto"/>
                      <w:kern w:val="2"/>
                      <w:sz w:val="21"/>
                      <w:szCs w:val="21"/>
                      <w:highlight w:val="none"/>
                      <w:lang w:val="en-US" w:eastAsia="zh-CN" w:bidi="ar-SA"/>
                    </w:rPr>
                  </w:pPr>
                  <w:r>
                    <w:rPr>
                      <w:rFonts w:hint="eastAsia"/>
                      <w:color w:val="auto"/>
                      <w:szCs w:val="21"/>
                      <w:highlight w:val="none"/>
                    </w:rPr>
                    <w:t>—</w:t>
                  </w:r>
                </w:p>
              </w:tc>
              <w:tc>
                <w:tcPr>
                  <w:tcW w:w="800" w:type="dxa"/>
                  <w:noWrap w:val="0"/>
                  <w:vAlign w:val="center"/>
                </w:tcPr>
                <w:p w14:paraId="1AF34E1E">
                  <w:pPr>
                    <w:adjustRightInd w:val="0"/>
                    <w:snapToGrid w:val="0"/>
                    <w:jc w:val="center"/>
                    <w:rPr>
                      <w:rFonts w:hint="default" w:eastAsia="宋体"/>
                      <w:bCs/>
                      <w:color w:val="auto"/>
                      <w:kern w:val="2"/>
                      <w:sz w:val="21"/>
                      <w:szCs w:val="21"/>
                      <w:highlight w:val="none"/>
                      <w:lang w:val="en-US" w:eastAsia="zh-CN" w:bidi="ar-SA"/>
                    </w:rPr>
                  </w:pPr>
                  <w:r>
                    <w:rPr>
                      <w:rFonts w:hint="eastAsia"/>
                      <w:bCs/>
                      <w:color w:val="auto"/>
                      <w:szCs w:val="21"/>
                      <w:highlight w:val="none"/>
                      <w:lang w:val="en-US" w:eastAsia="zh-CN"/>
                    </w:rPr>
                    <w:t>750</w:t>
                  </w:r>
                </w:p>
              </w:tc>
              <w:tc>
                <w:tcPr>
                  <w:tcW w:w="1106" w:type="dxa"/>
                  <w:noWrap w:val="0"/>
                  <w:vAlign w:val="center"/>
                </w:tcPr>
                <w:p w14:paraId="5F1FC2DE">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集中收集，用于农肥综合利用</w:t>
                  </w:r>
                </w:p>
              </w:tc>
              <w:tc>
                <w:tcPr>
                  <w:tcW w:w="816" w:type="dxa"/>
                  <w:vMerge w:val="restart"/>
                  <w:noWrap w:val="0"/>
                  <w:vAlign w:val="center"/>
                </w:tcPr>
                <w:p w14:paraId="2E7DFAA9">
                  <w:pPr>
                    <w:adjustRightInd w:val="0"/>
                    <w:snapToGrid w:val="0"/>
                    <w:jc w:val="center"/>
                    <w:rPr>
                      <w:rFonts w:hint="eastAsia"/>
                      <w:bCs/>
                      <w:color w:val="auto"/>
                      <w:szCs w:val="21"/>
                      <w:highlight w:val="none"/>
                    </w:rPr>
                  </w:pPr>
                  <w:r>
                    <w:rPr>
                      <w:rFonts w:hint="eastAsia"/>
                      <w:bCs/>
                      <w:color w:val="auto"/>
                      <w:szCs w:val="21"/>
                      <w:highlight w:val="none"/>
                    </w:rPr>
                    <w:t>《一般工业固体废物贮存和填埋污染控制标准》（GB 18599-2020）</w:t>
                  </w:r>
                </w:p>
              </w:tc>
            </w:tr>
            <w:tr w14:paraId="1C31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9" w:type="dxa"/>
                  <w:noWrap w:val="0"/>
                  <w:vAlign w:val="center"/>
                </w:tcPr>
                <w:p w14:paraId="485A345A">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2</w:t>
                  </w:r>
                </w:p>
              </w:tc>
              <w:tc>
                <w:tcPr>
                  <w:tcW w:w="670" w:type="dxa"/>
                  <w:noWrap w:val="0"/>
                  <w:vAlign w:val="center"/>
                </w:tcPr>
                <w:p w14:paraId="1E66E536">
                  <w:pPr>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色选杂质</w:t>
                  </w:r>
                </w:p>
              </w:tc>
              <w:tc>
                <w:tcPr>
                  <w:tcW w:w="692" w:type="dxa"/>
                  <w:noWrap w:val="0"/>
                  <w:vAlign w:val="center"/>
                </w:tcPr>
                <w:p w14:paraId="071BB3F5">
                  <w:pPr>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色选</w:t>
                  </w:r>
                </w:p>
              </w:tc>
              <w:tc>
                <w:tcPr>
                  <w:tcW w:w="671" w:type="dxa"/>
                  <w:noWrap w:val="0"/>
                  <w:vAlign w:val="center"/>
                </w:tcPr>
                <w:p w14:paraId="2B459C1B">
                  <w:pPr>
                    <w:adjustRightInd w:val="0"/>
                    <w:snapToGrid w:val="0"/>
                    <w:jc w:val="center"/>
                    <w:rPr>
                      <w:rFonts w:hint="eastAsia"/>
                      <w:bCs/>
                      <w:color w:val="auto"/>
                      <w:szCs w:val="21"/>
                      <w:highlight w:val="none"/>
                    </w:rPr>
                  </w:pPr>
                  <w:r>
                    <w:rPr>
                      <w:rFonts w:hint="eastAsia"/>
                      <w:bCs/>
                      <w:color w:val="auto"/>
                      <w:szCs w:val="21"/>
                      <w:highlight w:val="none"/>
                    </w:rPr>
                    <w:t>一般固废</w:t>
                  </w:r>
                </w:p>
              </w:tc>
              <w:tc>
                <w:tcPr>
                  <w:tcW w:w="517" w:type="dxa"/>
                  <w:noWrap w:val="0"/>
                  <w:vAlign w:val="center"/>
                </w:tcPr>
                <w:p w14:paraId="67E0F6A4">
                  <w:pPr>
                    <w:adjustRightInd w:val="0"/>
                    <w:snapToGrid w:val="0"/>
                    <w:jc w:val="center"/>
                    <w:rPr>
                      <w:rFonts w:hint="eastAsia"/>
                      <w:bCs/>
                      <w:color w:val="auto"/>
                      <w:szCs w:val="21"/>
                      <w:highlight w:val="none"/>
                    </w:rPr>
                  </w:pPr>
                  <w:r>
                    <w:rPr>
                      <w:rFonts w:hint="eastAsia"/>
                      <w:bCs/>
                      <w:color w:val="auto"/>
                      <w:szCs w:val="21"/>
                      <w:highlight w:val="none"/>
                    </w:rPr>
                    <w:t>固态</w:t>
                  </w:r>
                </w:p>
              </w:tc>
              <w:tc>
                <w:tcPr>
                  <w:tcW w:w="633" w:type="dxa"/>
                  <w:noWrap w:val="0"/>
                  <w:vAlign w:val="center"/>
                </w:tcPr>
                <w:p w14:paraId="4CB2BFCE">
                  <w:pPr>
                    <w:adjustRightInd w:val="0"/>
                    <w:snapToGrid w:val="0"/>
                    <w:jc w:val="center"/>
                    <w:rPr>
                      <w:rFonts w:hint="eastAsia"/>
                      <w:bCs/>
                      <w:color w:val="auto"/>
                      <w:szCs w:val="21"/>
                      <w:highlight w:val="none"/>
                    </w:rPr>
                  </w:pPr>
                  <w:r>
                    <w:rPr>
                      <w:rFonts w:hint="eastAsia"/>
                      <w:bCs/>
                      <w:color w:val="auto"/>
                      <w:szCs w:val="21"/>
                      <w:highlight w:val="none"/>
                    </w:rPr>
                    <w:t>—</w:t>
                  </w:r>
                </w:p>
              </w:tc>
              <w:tc>
                <w:tcPr>
                  <w:tcW w:w="850" w:type="dxa"/>
                  <w:noWrap w:val="0"/>
                  <w:vAlign w:val="center"/>
                </w:tcPr>
                <w:p w14:paraId="4AC06AD8">
                  <w:pPr>
                    <w:adjustRightInd w:val="0"/>
                    <w:snapToGrid w:val="0"/>
                    <w:jc w:val="center"/>
                    <w:rPr>
                      <w:rFonts w:hint="eastAsia"/>
                      <w:color w:val="auto"/>
                      <w:szCs w:val="21"/>
                      <w:highlight w:val="none"/>
                    </w:rPr>
                  </w:pPr>
                  <w:r>
                    <w:rPr>
                      <w:rFonts w:hint="eastAsia"/>
                      <w:bCs/>
                      <w:color w:val="auto"/>
                      <w:szCs w:val="21"/>
                      <w:highlight w:val="none"/>
                    </w:rPr>
                    <w:t>—</w:t>
                  </w:r>
                </w:p>
              </w:tc>
              <w:tc>
                <w:tcPr>
                  <w:tcW w:w="682" w:type="dxa"/>
                  <w:noWrap w:val="0"/>
                  <w:vAlign w:val="center"/>
                </w:tcPr>
                <w:p w14:paraId="52A1DA69">
                  <w:pPr>
                    <w:pStyle w:val="57"/>
                    <w:adjustRightInd w:val="0"/>
                    <w:snapToGrid w:val="0"/>
                    <w:ind w:firstLine="0" w:firstLineChars="0"/>
                    <w:jc w:val="center"/>
                    <w:rPr>
                      <w:rFonts w:hint="eastAsia"/>
                      <w:color w:val="auto"/>
                      <w:szCs w:val="21"/>
                      <w:highlight w:val="none"/>
                    </w:rPr>
                  </w:pPr>
                  <w:r>
                    <w:rPr>
                      <w:rFonts w:hint="eastAsia"/>
                      <w:color w:val="auto"/>
                      <w:szCs w:val="21"/>
                      <w:highlight w:val="none"/>
                    </w:rPr>
                    <w:t>—</w:t>
                  </w:r>
                </w:p>
              </w:tc>
              <w:tc>
                <w:tcPr>
                  <w:tcW w:w="800" w:type="dxa"/>
                  <w:noWrap w:val="0"/>
                  <w:vAlign w:val="center"/>
                </w:tcPr>
                <w:p w14:paraId="2A58DF33">
                  <w:pPr>
                    <w:adjustRightInd w:val="0"/>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2.5</w:t>
                  </w:r>
                </w:p>
              </w:tc>
              <w:tc>
                <w:tcPr>
                  <w:tcW w:w="1106" w:type="dxa"/>
                  <w:noWrap w:val="0"/>
                  <w:vAlign w:val="center"/>
                </w:tcPr>
                <w:p w14:paraId="501F5478">
                  <w:pPr>
                    <w:adjustRightInd w:val="0"/>
                    <w:snapToGrid w:val="0"/>
                    <w:jc w:val="center"/>
                    <w:rPr>
                      <w:rFonts w:hint="eastAsia"/>
                      <w:bCs/>
                      <w:color w:val="auto"/>
                      <w:szCs w:val="21"/>
                      <w:highlight w:val="none"/>
                    </w:rPr>
                  </w:pPr>
                  <w:r>
                    <w:rPr>
                      <w:rFonts w:hint="eastAsia"/>
                      <w:color w:val="auto"/>
                      <w:szCs w:val="21"/>
                      <w:highlight w:val="none"/>
                    </w:rPr>
                    <w:t>回收后回用于生产线</w:t>
                  </w:r>
                </w:p>
              </w:tc>
              <w:tc>
                <w:tcPr>
                  <w:tcW w:w="816" w:type="dxa"/>
                  <w:vMerge w:val="continue"/>
                  <w:noWrap w:val="0"/>
                  <w:vAlign w:val="center"/>
                </w:tcPr>
                <w:p w14:paraId="2DFBEF21">
                  <w:pPr>
                    <w:adjustRightInd w:val="0"/>
                    <w:snapToGrid w:val="0"/>
                    <w:jc w:val="center"/>
                    <w:rPr>
                      <w:rFonts w:hint="eastAsia"/>
                      <w:bCs/>
                      <w:color w:val="auto"/>
                      <w:szCs w:val="21"/>
                      <w:highlight w:val="none"/>
                    </w:rPr>
                  </w:pPr>
                </w:p>
              </w:tc>
            </w:tr>
            <w:tr w14:paraId="79F2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9" w:type="dxa"/>
                  <w:noWrap w:val="0"/>
                  <w:vAlign w:val="center"/>
                </w:tcPr>
                <w:p w14:paraId="745EB297">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3</w:t>
                  </w:r>
                </w:p>
              </w:tc>
              <w:tc>
                <w:tcPr>
                  <w:tcW w:w="670" w:type="dxa"/>
                  <w:noWrap w:val="0"/>
                  <w:vAlign w:val="center"/>
                </w:tcPr>
                <w:p w14:paraId="410EC058">
                  <w:pPr>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废包装</w:t>
                  </w:r>
                </w:p>
              </w:tc>
              <w:tc>
                <w:tcPr>
                  <w:tcW w:w="692" w:type="dxa"/>
                  <w:noWrap w:val="0"/>
                  <w:vAlign w:val="center"/>
                </w:tcPr>
                <w:p w14:paraId="7DE371AC">
                  <w:pPr>
                    <w:adjustRightInd w:val="0"/>
                    <w:snapToGrid w:val="0"/>
                    <w:jc w:val="center"/>
                    <w:rPr>
                      <w:rFonts w:hint="eastAsia" w:eastAsia="宋体"/>
                      <w:bCs/>
                      <w:color w:val="auto"/>
                      <w:szCs w:val="21"/>
                      <w:highlight w:val="none"/>
                      <w:lang w:eastAsia="zh-CN"/>
                    </w:rPr>
                  </w:pPr>
                  <w:r>
                    <w:rPr>
                      <w:rFonts w:hint="eastAsia"/>
                      <w:bCs/>
                      <w:color w:val="auto"/>
                      <w:szCs w:val="21"/>
                      <w:highlight w:val="none"/>
                      <w:lang w:eastAsia="zh-CN"/>
                    </w:rPr>
                    <w:t>原料及产品包装物</w:t>
                  </w:r>
                </w:p>
              </w:tc>
              <w:tc>
                <w:tcPr>
                  <w:tcW w:w="671" w:type="dxa"/>
                  <w:noWrap w:val="0"/>
                  <w:vAlign w:val="center"/>
                </w:tcPr>
                <w:p w14:paraId="73B41E7D">
                  <w:pPr>
                    <w:adjustRightInd w:val="0"/>
                    <w:snapToGrid w:val="0"/>
                    <w:jc w:val="center"/>
                    <w:rPr>
                      <w:rFonts w:hint="eastAsia"/>
                      <w:bCs/>
                      <w:color w:val="auto"/>
                      <w:szCs w:val="21"/>
                      <w:highlight w:val="none"/>
                    </w:rPr>
                  </w:pPr>
                  <w:r>
                    <w:rPr>
                      <w:rFonts w:hint="eastAsia"/>
                      <w:bCs/>
                      <w:color w:val="auto"/>
                      <w:szCs w:val="21"/>
                      <w:highlight w:val="none"/>
                    </w:rPr>
                    <w:t>一般固废</w:t>
                  </w:r>
                </w:p>
              </w:tc>
              <w:tc>
                <w:tcPr>
                  <w:tcW w:w="517" w:type="dxa"/>
                  <w:noWrap w:val="0"/>
                  <w:vAlign w:val="center"/>
                </w:tcPr>
                <w:p w14:paraId="3510CCD5">
                  <w:pPr>
                    <w:adjustRightInd w:val="0"/>
                    <w:snapToGrid w:val="0"/>
                    <w:jc w:val="center"/>
                    <w:rPr>
                      <w:rFonts w:hint="eastAsia"/>
                      <w:bCs/>
                      <w:color w:val="auto"/>
                      <w:szCs w:val="21"/>
                      <w:highlight w:val="none"/>
                    </w:rPr>
                  </w:pPr>
                  <w:r>
                    <w:rPr>
                      <w:rFonts w:hint="eastAsia"/>
                      <w:bCs/>
                      <w:color w:val="auto"/>
                      <w:szCs w:val="21"/>
                      <w:highlight w:val="none"/>
                    </w:rPr>
                    <w:t>固态</w:t>
                  </w:r>
                </w:p>
              </w:tc>
              <w:tc>
                <w:tcPr>
                  <w:tcW w:w="633" w:type="dxa"/>
                  <w:noWrap w:val="0"/>
                  <w:vAlign w:val="center"/>
                </w:tcPr>
                <w:p w14:paraId="283EAF0D">
                  <w:pPr>
                    <w:adjustRightInd w:val="0"/>
                    <w:snapToGrid w:val="0"/>
                    <w:jc w:val="center"/>
                    <w:rPr>
                      <w:rFonts w:hint="eastAsia"/>
                      <w:bCs/>
                      <w:color w:val="auto"/>
                      <w:szCs w:val="21"/>
                      <w:highlight w:val="none"/>
                    </w:rPr>
                  </w:pPr>
                  <w:r>
                    <w:rPr>
                      <w:rFonts w:hint="eastAsia"/>
                      <w:bCs/>
                      <w:color w:val="auto"/>
                      <w:szCs w:val="21"/>
                      <w:highlight w:val="none"/>
                    </w:rPr>
                    <w:t>—</w:t>
                  </w:r>
                </w:p>
              </w:tc>
              <w:tc>
                <w:tcPr>
                  <w:tcW w:w="850" w:type="dxa"/>
                  <w:noWrap w:val="0"/>
                  <w:vAlign w:val="center"/>
                </w:tcPr>
                <w:p w14:paraId="4EBED9C0">
                  <w:pPr>
                    <w:adjustRightInd w:val="0"/>
                    <w:snapToGrid w:val="0"/>
                    <w:jc w:val="center"/>
                    <w:rPr>
                      <w:rFonts w:hint="eastAsia"/>
                      <w:color w:val="auto"/>
                      <w:szCs w:val="21"/>
                      <w:highlight w:val="none"/>
                    </w:rPr>
                  </w:pPr>
                  <w:r>
                    <w:rPr>
                      <w:rFonts w:hint="eastAsia"/>
                      <w:bCs/>
                      <w:color w:val="auto"/>
                      <w:szCs w:val="21"/>
                      <w:highlight w:val="none"/>
                    </w:rPr>
                    <w:t>—</w:t>
                  </w:r>
                </w:p>
              </w:tc>
              <w:tc>
                <w:tcPr>
                  <w:tcW w:w="682" w:type="dxa"/>
                  <w:noWrap w:val="0"/>
                  <w:vAlign w:val="center"/>
                </w:tcPr>
                <w:p w14:paraId="056F62F3">
                  <w:pPr>
                    <w:pStyle w:val="57"/>
                    <w:adjustRightInd w:val="0"/>
                    <w:snapToGrid w:val="0"/>
                    <w:ind w:firstLine="0" w:firstLineChars="0"/>
                    <w:jc w:val="center"/>
                    <w:rPr>
                      <w:rFonts w:hint="eastAsia"/>
                      <w:color w:val="auto"/>
                      <w:szCs w:val="21"/>
                      <w:highlight w:val="none"/>
                    </w:rPr>
                  </w:pPr>
                  <w:r>
                    <w:rPr>
                      <w:rFonts w:hint="eastAsia"/>
                      <w:color w:val="auto"/>
                      <w:szCs w:val="21"/>
                      <w:highlight w:val="none"/>
                    </w:rPr>
                    <w:t>—</w:t>
                  </w:r>
                </w:p>
              </w:tc>
              <w:tc>
                <w:tcPr>
                  <w:tcW w:w="800" w:type="dxa"/>
                  <w:noWrap w:val="0"/>
                  <w:vAlign w:val="center"/>
                </w:tcPr>
                <w:p w14:paraId="5F7CCA46">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7</w:t>
                  </w:r>
                </w:p>
              </w:tc>
              <w:tc>
                <w:tcPr>
                  <w:tcW w:w="1106" w:type="dxa"/>
                  <w:noWrap w:val="0"/>
                  <w:vAlign w:val="center"/>
                </w:tcPr>
                <w:p w14:paraId="51F17A3B">
                  <w:pPr>
                    <w:adjustRightInd w:val="0"/>
                    <w:snapToGrid w:val="0"/>
                    <w:jc w:val="center"/>
                    <w:rPr>
                      <w:rFonts w:hint="eastAsia"/>
                      <w:bCs/>
                      <w:color w:val="auto"/>
                      <w:szCs w:val="21"/>
                      <w:highlight w:val="none"/>
                    </w:rPr>
                  </w:pPr>
                  <w:r>
                    <w:rPr>
                      <w:rFonts w:hint="eastAsia"/>
                      <w:bCs/>
                      <w:color w:val="auto"/>
                      <w:szCs w:val="21"/>
                      <w:highlight w:val="none"/>
                    </w:rPr>
                    <w:t>专用容器收集，作为废旧资源综合利用</w:t>
                  </w:r>
                </w:p>
              </w:tc>
              <w:tc>
                <w:tcPr>
                  <w:tcW w:w="816" w:type="dxa"/>
                  <w:vMerge w:val="continue"/>
                  <w:noWrap w:val="0"/>
                  <w:vAlign w:val="center"/>
                </w:tcPr>
                <w:p w14:paraId="0B481C42">
                  <w:pPr>
                    <w:adjustRightInd w:val="0"/>
                    <w:snapToGrid w:val="0"/>
                    <w:jc w:val="center"/>
                    <w:rPr>
                      <w:rFonts w:hint="eastAsia"/>
                      <w:bCs/>
                      <w:color w:val="auto"/>
                      <w:szCs w:val="21"/>
                      <w:highlight w:val="none"/>
                    </w:rPr>
                  </w:pPr>
                </w:p>
              </w:tc>
            </w:tr>
            <w:tr w14:paraId="6F1E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9" w:type="dxa"/>
                  <w:noWrap w:val="0"/>
                  <w:vAlign w:val="center"/>
                </w:tcPr>
                <w:p w14:paraId="52AD58B6">
                  <w:pPr>
                    <w:adjustRightInd w:val="0"/>
                    <w:snapToGrid w:val="0"/>
                    <w:jc w:val="center"/>
                    <w:rPr>
                      <w:rFonts w:hint="eastAsia" w:eastAsia="宋体"/>
                      <w:bCs/>
                      <w:color w:val="auto"/>
                      <w:kern w:val="2"/>
                      <w:sz w:val="21"/>
                      <w:szCs w:val="21"/>
                      <w:highlight w:val="none"/>
                      <w:lang w:val="en-US" w:eastAsia="zh-CN" w:bidi="ar-SA"/>
                    </w:rPr>
                  </w:pPr>
                  <w:r>
                    <w:rPr>
                      <w:rFonts w:hint="eastAsia"/>
                      <w:bCs/>
                      <w:color w:val="auto"/>
                      <w:szCs w:val="21"/>
                      <w:highlight w:val="none"/>
                      <w:lang w:val="en-US" w:eastAsia="zh-CN"/>
                    </w:rPr>
                    <w:t>4</w:t>
                  </w:r>
                </w:p>
              </w:tc>
              <w:tc>
                <w:tcPr>
                  <w:tcW w:w="670" w:type="dxa"/>
                  <w:noWrap w:val="0"/>
                  <w:vAlign w:val="center"/>
                </w:tcPr>
                <w:p w14:paraId="58337B61">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生活垃圾</w:t>
                  </w:r>
                </w:p>
              </w:tc>
              <w:tc>
                <w:tcPr>
                  <w:tcW w:w="692" w:type="dxa"/>
                  <w:noWrap w:val="0"/>
                  <w:vAlign w:val="center"/>
                </w:tcPr>
                <w:p w14:paraId="3DBE5F9F">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职工生活</w:t>
                  </w:r>
                </w:p>
              </w:tc>
              <w:tc>
                <w:tcPr>
                  <w:tcW w:w="671" w:type="dxa"/>
                  <w:noWrap w:val="0"/>
                  <w:vAlign w:val="center"/>
                </w:tcPr>
                <w:p w14:paraId="33A6822D">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一般固废</w:t>
                  </w:r>
                </w:p>
              </w:tc>
              <w:tc>
                <w:tcPr>
                  <w:tcW w:w="517" w:type="dxa"/>
                  <w:noWrap w:val="0"/>
                  <w:vAlign w:val="center"/>
                </w:tcPr>
                <w:p w14:paraId="15146D9C">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w:t>
                  </w:r>
                </w:p>
              </w:tc>
              <w:tc>
                <w:tcPr>
                  <w:tcW w:w="633" w:type="dxa"/>
                  <w:noWrap w:val="0"/>
                  <w:vAlign w:val="center"/>
                </w:tcPr>
                <w:p w14:paraId="18A253BB">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w:t>
                  </w:r>
                </w:p>
              </w:tc>
              <w:tc>
                <w:tcPr>
                  <w:tcW w:w="850" w:type="dxa"/>
                  <w:noWrap w:val="0"/>
                  <w:vAlign w:val="center"/>
                </w:tcPr>
                <w:p w14:paraId="61C7649B">
                  <w:pPr>
                    <w:adjustRightInd w:val="0"/>
                    <w:snapToGrid w:val="0"/>
                    <w:jc w:val="center"/>
                    <w:rPr>
                      <w:rFonts w:hint="eastAsia"/>
                      <w:color w:val="auto"/>
                      <w:kern w:val="2"/>
                      <w:sz w:val="21"/>
                      <w:szCs w:val="21"/>
                      <w:highlight w:val="none"/>
                      <w:lang w:val="en-US" w:eastAsia="zh-CN" w:bidi="ar-SA"/>
                    </w:rPr>
                  </w:pPr>
                  <w:r>
                    <w:rPr>
                      <w:rFonts w:hint="eastAsia"/>
                      <w:bCs/>
                      <w:color w:val="auto"/>
                      <w:szCs w:val="21"/>
                      <w:highlight w:val="none"/>
                    </w:rPr>
                    <w:t>—</w:t>
                  </w:r>
                </w:p>
              </w:tc>
              <w:tc>
                <w:tcPr>
                  <w:tcW w:w="682" w:type="dxa"/>
                  <w:noWrap w:val="0"/>
                  <w:vAlign w:val="center"/>
                </w:tcPr>
                <w:p w14:paraId="62FDBB03">
                  <w:pPr>
                    <w:pStyle w:val="57"/>
                    <w:adjustRightInd w:val="0"/>
                    <w:snapToGrid w:val="0"/>
                    <w:ind w:firstLine="0" w:firstLineChars="0"/>
                    <w:jc w:val="center"/>
                    <w:rPr>
                      <w:rFonts w:hint="eastAsia"/>
                      <w:color w:val="auto"/>
                      <w:kern w:val="2"/>
                      <w:sz w:val="21"/>
                      <w:szCs w:val="21"/>
                      <w:highlight w:val="none"/>
                      <w:lang w:val="en-US" w:eastAsia="zh-CN" w:bidi="ar-SA"/>
                    </w:rPr>
                  </w:pPr>
                  <w:r>
                    <w:rPr>
                      <w:rFonts w:hint="eastAsia"/>
                      <w:color w:val="auto"/>
                      <w:szCs w:val="21"/>
                      <w:highlight w:val="none"/>
                    </w:rPr>
                    <w:t>—</w:t>
                  </w:r>
                </w:p>
              </w:tc>
              <w:tc>
                <w:tcPr>
                  <w:tcW w:w="800" w:type="dxa"/>
                  <w:noWrap w:val="0"/>
                  <w:vAlign w:val="center"/>
                </w:tcPr>
                <w:p w14:paraId="273E4D6C">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0.</w:t>
                  </w:r>
                  <w:r>
                    <w:rPr>
                      <w:rFonts w:hint="eastAsia"/>
                      <w:bCs/>
                      <w:color w:val="auto"/>
                      <w:szCs w:val="21"/>
                      <w:highlight w:val="none"/>
                      <w:lang w:val="en-US" w:eastAsia="zh-CN"/>
                    </w:rPr>
                    <w:t>5</w:t>
                  </w:r>
                  <w:r>
                    <w:rPr>
                      <w:rFonts w:hint="eastAsia"/>
                      <w:bCs/>
                      <w:color w:val="auto"/>
                      <w:szCs w:val="21"/>
                      <w:highlight w:val="none"/>
                    </w:rPr>
                    <w:t>9</w:t>
                  </w:r>
                </w:p>
              </w:tc>
              <w:tc>
                <w:tcPr>
                  <w:tcW w:w="1106" w:type="dxa"/>
                  <w:noWrap w:val="0"/>
                  <w:vAlign w:val="center"/>
                </w:tcPr>
                <w:p w14:paraId="1788ADC9">
                  <w:pPr>
                    <w:adjustRightInd w:val="0"/>
                    <w:snapToGrid w:val="0"/>
                    <w:jc w:val="center"/>
                    <w:rPr>
                      <w:rFonts w:hint="eastAsia"/>
                      <w:bCs/>
                      <w:color w:val="auto"/>
                      <w:kern w:val="2"/>
                      <w:sz w:val="21"/>
                      <w:szCs w:val="21"/>
                      <w:highlight w:val="none"/>
                      <w:lang w:val="en-US" w:eastAsia="zh-CN" w:bidi="ar-SA"/>
                    </w:rPr>
                  </w:pPr>
                  <w:r>
                    <w:rPr>
                      <w:rFonts w:hint="eastAsia"/>
                      <w:bCs/>
                      <w:color w:val="auto"/>
                      <w:szCs w:val="21"/>
                      <w:highlight w:val="none"/>
                    </w:rPr>
                    <w:t>垃圾桶收集，定期清运</w:t>
                  </w:r>
                </w:p>
              </w:tc>
              <w:tc>
                <w:tcPr>
                  <w:tcW w:w="816" w:type="dxa"/>
                  <w:vMerge w:val="continue"/>
                  <w:noWrap w:val="0"/>
                  <w:vAlign w:val="center"/>
                </w:tcPr>
                <w:p w14:paraId="79A25C40">
                  <w:pPr>
                    <w:adjustRightInd w:val="0"/>
                    <w:snapToGrid w:val="0"/>
                    <w:jc w:val="center"/>
                    <w:rPr>
                      <w:rFonts w:hint="eastAsia"/>
                      <w:bCs/>
                      <w:color w:val="auto"/>
                      <w:szCs w:val="21"/>
                      <w:highlight w:val="none"/>
                    </w:rPr>
                  </w:pPr>
                </w:p>
              </w:tc>
            </w:tr>
            <w:tr w14:paraId="0207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509" w:type="dxa"/>
                  <w:noWrap w:val="0"/>
                  <w:vAlign w:val="center"/>
                </w:tcPr>
                <w:p w14:paraId="58A20BFD">
                  <w:pPr>
                    <w:adjustRightInd w:val="0"/>
                    <w:snapToGrid w:val="0"/>
                    <w:jc w:val="center"/>
                    <w:rPr>
                      <w:rFonts w:hint="eastAsia" w:eastAsia="宋体"/>
                      <w:bCs/>
                      <w:color w:val="auto"/>
                      <w:szCs w:val="21"/>
                      <w:highlight w:val="none"/>
                      <w:lang w:eastAsia="zh-CN"/>
                    </w:rPr>
                  </w:pPr>
                  <w:r>
                    <w:rPr>
                      <w:rFonts w:hint="eastAsia"/>
                      <w:bCs/>
                      <w:color w:val="auto"/>
                      <w:szCs w:val="21"/>
                      <w:highlight w:val="none"/>
                      <w:lang w:val="en-US" w:eastAsia="zh-CN"/>
                    </w:rPr>
                    <w:t>5</w:t>
                  </w:r>
                </w:p>
              </w:tc>
              <w:tc>
                <w:tcPr>
                  <w:tcW w:w="670" w:type="dxa"/>
                  <w:noWrap w:val="0"/>
                  <w:vAlign w:val="center"/>
                </w:tcPr>
                <w:p w14:paraId="590891E5">
                  <w:pPr>
                    <w:adjustRightInd w:val="0"/>
                    <w:snapToGrid w:val="0"/>
                    <w:jc w:val="center"/>
                    <w:rPr>
                      <w:rFonts w:hint="eastAsia"/>
                      <w:bCs/>
                      <w:color w:val="auto"/>
                      <w:szCs w:val="21"/>
                      <w:highlight w:val="none"/>
                    </w:rPr>
                  </w:pPr>
                  <w:r>
                    <w:rPr>
                      <w:rFonts w:hint="eastAsia"/>
                      <w:bCs/>
                      <w:color w:val="auto"/>
                      <w:szCs w:val="21"/>
                      <w:highlight w:val="none"/>
                    </w:rPr>
                    <w:t>检验废液</w:t>
                  </w:r>
                </w:p>
              </w:tc>
              <w:tc>
                <w:tcPr>
                  <w:tcW w:w="692" w:type="dxa"/>
                  <w:noWrap w:val="0"/>
                  <w:vAlign w:val="center"/>
                </w:tcPr>
                <w:p w14:paraId="7D247A0D">
                  <w:pPr>
                    <w:adjustRightInd w:val="0"/>
                    <w:snapToGrid w:val="0"/>
                    <w:jc w:val="center"/>
                    <w:rPr>
                      <w:rFonts w:hint="eastAsia"/>
                      <w:bCs/>
                      <w:color w:val="auto"/>
                      <w:szCs w:val="21"/>
                      <w:highlight w:val="none"/>
                    </w:rPr>
                  </w:pPr>
                  <w:r>
                    <w:rPr>
                      <w:rFonts w:hint="eastAsia"/>
                      <w:bCs/>
                      <w:color w:val="auto"/>
                      <w:szCs w:val="21"/>
                      <w:highlight w:val="none"/>
                    </w:rPr>
                    <w:t>成品检验</w:t>
                  </w:r>
                </w:p>
              </w:tc>
              <w:tc>
                <w:tcPr>
                  <w:tcW w:w="671" w:type="dxa"/>
                  <w:noWrap w:val="0"/>
                  <w:vAlign w:val="center"/>
                </w:tcPr>
                <w:p w14:paraId="42E5E1DC">
                  <w:pPr>
                    <w:adjustRightInd w:val="0"/>
                    <w:snapToGrid w:val="0"/>
                    <w:jc w:val="center"/>
                    <w:rPr>
                      <w:rFonts w:hint="eastAsia"/>
                      <w:bCs/>
                      <w:color w:val="auto"/>
                      <w:szCs w:val="21"/>
                      <w:highlight w:val="none"/>
                    </w:rPr>
                  </w:pPr>
                  <w:r>
                    <w:rPr>
                      <w:rFonts w:hint="eastAsia"/>
                      <w:bCs/>
                      <w:color w:val="auto"/>
                      <w:szCs w:val="21"/>
                      <w:highlight w:val="none"/>
                    </w:rPr>
                    <w:t>危险废物</w:t>
                  </w:r>
                </w:p>
              </w:tc>
              <w:tc>
                <w:tcPr>
                  <w:tcW w:w="517" w:type="dxa"/>
                  <w:noWrap w:val="0"/>
                  <w:vAlign w:val="center"/>
                </w:tcPr>
                <w:p w14:paraId="5EED0BFA">
                  <w:pPr>
                    <w:adjustRightInd w:val="0"/>
                    <w:snapToGrid w:val="0"/>
                    <w:jc w:val="center"/>
                    <w:rPr>
                      <w:rFonts w:hint="eastAsia"/>
                      <w:bCs/>
                      <w:color w:val="auto"/>
                      <w:szCs w:val="21"/>
                      <w:highlight w:val="none"/>
                    </w:rPr>
                  </w:pPr>
                  <w:r>
                    <w:rPr>
                      <w:rFonts w:hint="eastAsia"/>
                      <w:bCs/>
                      <w:color w:val="auto"/>
                      <w:szCs w:val="21"/>
                      <w:highlight w:val="none"/>
                    </w:rPr>
                    <w:t>液态态</w:t>
                  </w:r>
                </w:p>
              </w:tc>
              <w:tc>
                <w:tcPr>
                  <w:tcW w:w="633" w:type="dxa"/>
                  <w:noWrap w:val="0"/>
                  <w:vAlign w:val="center"/>
                </w:tcPr>
                <w:p w14:paraId="7353D01A">
                  <w:pPr>
                    <w:adjustRightInd w:val="0"/>
                    <w:snapToGrid w:val="0"/>
                    <w:jc w:val="center"/>
                    <w:rPr>
                      <w:bCs/>
                      <w:color w:val="auto"/>
                      <w:szCs w:val="21"/>
                      <w:highlight w:val="none"/>
                    </w:rPr>
                  </w:pPr>
                  <w:r>
                    <w:rPr>
                      <w:rFonts w:hint="eastAsia"/>
                      <w:bCs/>
                      <w:color w:val="auto"/>
                      <w:szCs w:val="21"/>
                      <w:highlight w:val="none"/>
                    </w:rPr>
                    <w:t>T/C/I/R</w:t>
                  </w:r>
                </w:p>
              </w:tc>
              <w:tc>
                <w:tcPr>
                  <w:tcW w:w="850" w:type="dxa"/>
                  <w:noWrap w:val="0"/>
                  <w:vAlign w:val="center"/>
                </w:tcPr>
                <w:p w14:paraId="4C1B33B6">
                  <w:pPr>
                    <w:adjustRightInd w:val="0"/>
                    <w:snapToGrid w:val="0"/>
                    <w:jc w:val="center"/>
                    <w:rPr>
                      <w:color w:val="auto"/>
                      <w:szCs w:val="21"/>
                      <w:highlight w:val="none"/>
                    </w:rPr>
                  </w:pPr>
                  <w:r>
                    <w:rPr>
                      <w:rFonts w:hint="eastAsia"/>
                      <w:bCs/>
                      <w:color w:val="auto"/>
                      <w:szCs w:val="21"/>
                      <w:highlight w:val="none"/>
                    </w:rPr>
                    <w:t>HW49</w:t>
                  </w:r>
                </w:p>
              </w:tc>
              <w:tc>
                <w:tcPr>
                  <w:tcW w:w="682" w:type="dxa"/>
                  <w:noWrap w:val="0"/>
                  <w:vAlign w:val="center"/>
                </w:tcPr>
                <w:p w14:paraId="537A2AEF">
                  <w:pPr>
                    <w:pStyle w:val="57"/>
                    <w:adjustRightInd w:val="0"/>
                    <w:snapToGrid w:val="0"/>
                    <w:ind w:firstLine="0" w:firstLineChars="0"/>
                    <w:jc w:val="center"/>
                    <w:rPr>
                      <w:color w:val="auto"/>
                      <w:szCs w:val="21"/>
                      <w:highlight w:val="none"/>
                    </w:rPr>
                  </w:pPr>
                  <w:r>
                    <w:rPr>
                      <w:rFonts w:hint="eastAsia"/>
                      <w:color w:val="auto"/>
                      <w:szCs w:val="21"/>
                      <w:highlight w:val="none"/>
                    </w:rPr>
                    <w:t>900-047-49</w:t>
                  </w:r>
                </w:p>
              </w:tc>
              <w:tc>
                <w:tcPr>
                  <w:tcW w:w="800" w:type="dxa"/>
                  <w:noWrap w:val="0"/>
                  <w:vAlign w:val="center"/>
                </w:tcPr>
                <w:p w14:paraId="381030F9">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eastAsia="zh-CN"/>
                    </w:rPr>
                    <w:t>0.12</w:t>
                  </w:r>
                </w:p>
              </w:tc>
              <w:tc>
                <w:tcPr>
                  <w:tcW w:w="1106" w:type="dxa"/>
                  <w:noWrap w:val="0"/>
                  <w:vAlign w:val="center"/>
                </w:tcPr>
                <w:p w14:paraId="1A2D70DC">
                  <w:pPr>
                    <w:adjustRightInd w:val="0"/>
                    <w:snapToGrid w:val="0"/>
                    <w:jc w:val="center"/>
                    <w:rPr>
                      <w:rFonts w:hint="eastAsia" w:eastAsia="宋体"/>
                      <w:bCs/>
                      <w:color w:val="auto"/>
                      <w:szCs w:val="21"/>
                      <w:highlight w:val="none"/>
                      <w:lang w:eastAsia="zh-CN"/>
                    </w:rPr>
                  </w:pPr>
                  <w:r>
                    <w:rPr>
                      <w:rFonts w:hint="eastAsia"/>
                      <w:bCs/>
                      <w:color w:val="auto"/>
                      <w:szCs w:val="21"/>
                      <w:highlight w:val="none"/>
                    </w:rPr>
                    <w:t>集中收集交由</w:t>
                  </w:r>
                  <w:r>
                    <w:rPr>
                      <w:rFonts w:hint="eastAsia"/>
                      <w:bCs/>
                      <w:color w:val="auto"/>
                      <w:szCs w:val="21"/>
                      <w:highlight w:val="none"/>
                      <w:lang w:eastAsia="zh-CN"/>
                    </w:rPr>
                    <w:t>有资质单位</w:t>
                  </w:r>
                </w:p>
                <w:p w14:paraId="0AA11309">
                  <w:pPr>
                    <w:adjustRightInd w:val="0"/>
                    <w:snapToGrid w:val="0"/>
                    <w:jc w:val="center"/>
                    <w:rPr>
                      <w:rFonts w:hint="eastAsia"/>
                      <w:bCs/>
                      <w:color w:val="auto"/>
                      <w:szCs w:val="21"/>
                      <w:highlight w:val="none"/>
                    </w:rPr>
                  </w:pPr>
                  <w:r>
                    <w:rPr>
                      <w:rFonts w:hint="eastAsia"/>
                      <w:bCs/>
                      <w:color w:val="auto"/>
                      <w:szCs w:val="21"/>
                      <w:highlight w:val="none"/>
                    </w:rPr>
                    <w:t>处置</w:t>
                  </w:r>
                </w:p>
              </w:tc>
              <w:tc>
                <w:tcPr>
                  <w:tcW w:w="816" w:type="dxa"/>
                  <w:noWrap w:val="0"/>
                  <w:vAlign w:val="center"/>
                </w:tcPr>
                <w:p w14:paraId="729A2073">
                  <w:pPr>
                    <w:adjustRightInd w:val="0"/>
                    <w:snapToGrid w:val="0"/>
                    <w:jc w:val="center"/>
                    <w:rPr>
                      <w:rFonts w:hint="eastAsia"/>
                      <w:bCs/>
                      <w:color w:val="auto"/>
                      <w:szCs w:val="21"/>
                      <w:highlight w:val="none"/>
                    </w:rPr>
                  </w:pPr>
                  <w:r>
                    <w:rPr>
                      <w:rFonts w:hint="eastAsia"/>
                      <w:bCs/>
                      <w:color w:val="auto"/>
                      <w:szCs w:val="21"/>
                      <w:highlight w:val="none"/>
                    </w:rPr>
                    <w:t>《危险废物贮存污染控制标准》（GB18597-2023）</w:t>
                  </w:r>
                </w:p>
              </w:tc>
            </w:tr>
          </w:tbl>
          <w:p w14:paraId="0E1C0364">
            <w:pPr>
              <w:adjustRightInd w:val="0"/>
              <w:snapToGrid w:val="0"/>
              <w:spacing w:line="360" w:lineRule="auto"/>
              <w:ind w:firstLine="482" w:firstLineChars="200"/>
              <w:rPr>
                <w:rFonts w:hint="eastAsia" w:cs="宋体"/>
                <w:b/>
                <w:bCs/>
                <w:color w:val="auto"/>
                <w:sz w:val="24"/>
                <w:highlight w:val="none"/>
                <w:lang w:bidi="ar"/>
              </w:rPr>
            </w:pPr>
            <w:r>
              <w:rPr>
                <w:rFonts w:hint="eastAsia" w:cs="宋体"/>
                <w:b/>
                <w:bCs/>
                <w:color w:val="auto"/>
                <w:sz w:val="24"/>
                <w:highlight w:val="none"/>
                <w:lang w:bidi="ar"/>
              </w:rPr>
              <w:t>2、固废暂存要求</w:t>
            </w:r>
          </w:p>
          <w:p w14:paraId="5B4FEB45">
            <w:pPr>
              <w:adjustRightInd w:val="0"/>
              <w:snapToGrid w:val="0"/>
              <w:spacing w:line="360" w:lineRule="auto"/>
              <w:ind w:firstLine="480" w:firstLineChars="200"/>
              <w:rPr>
                <w:rFonts w:hint="eastAsia" w:cs="宋体"/>
                <w:color w:val="auto"/>
                <w:sz w:val="24"/>
                <w:highlight w:val="none"/>
                <w:lang w:bidi="ar"/>
              </w:rPr>
            </w:pPr>
            <w:r>
              <w:rPr>
                <w:rFonts w:hint="eastAsia" w:cs="宋体"/>
                <w:color w:val="auto"/>
                <w:sz w:val="24"/>
                <w:highlight w:val="none"/>
                <w:lang w:bidi="ar"/>
              </w:rPr>
              <w:t>（1）一般固体废物收集暂存要求</w:t>
            </w:r>
          </w:p>
          <w:p w14:paraId="7602F586">
            <w:pPr>
              <w:adjustRightInd w:val="0"/>
              <w:snapToGrid w:val="0"/>
              <w:spacing w:line="360" w:lineRule="auto"/>
              <w:ind w:firstLine="480" w:firstLineChars="200"/>
              <w:rPr>
                <w:color w:val="auto"/>
                <w:sz w:val="24"/>
                <w:highlight w:val="none"/>
              </w:rPr>
            </w:pPr>
            <w:r>
              <w:rPr>
                <w:rFonts w:hint="eastAsia" w:cs="宋体"/>
                <w:color w:val="auto"/>
                <w:sz w:val="24"/>
                <w:highlight w:val="none"/>
                <w:lang w:bidi="ar"/>
              </w:rPr>
              <w:t>要求建设单位合理收集暂存一般固废，各类一般固废分类分区堆放，设置顶棚，至少三面进行围挡，做好防雨防尘设施，暂存间建设应符合《一般工业固体废物贮存和填埋污染控制标准》（GB 18599-2020）中的规定和要求，具体应做到以下几点：</w:t>
            </w:r>
          </w:p>
          <w:p w14:paraId="5EF2942F">
            <w:pPr>
              <w:adjustRightInd w:val="0"/>
              <w:snapToGrid w:val="0"/>
              <w:spacing w:line="360" w:lineRule="auto"/>
              <w:ind w:firstLine="480" w:firstLineChars="200"/>
              <w:rPr>
                <w:color w:val="auto"/>
                <w:sz w:val="24"/>
                <w:highlight w:val="none"/>
              </w:rPr>
            </w:pPr>
            <w:r>
              <w:rPr>
                <w:color w:val="auto"/>
                <w:sz w:val="24"/>
                <w:highlight w:val="none"/>
                <w:lang w:bidi="ar"/>
              </w:rPr>
              <w:t>①做好地面硬化和防渗、防雨；</w:t>
            </w:r>
          </w:p>
          <w:p w14:paraId="072BD870">
            <w:pPr>
              <w:adjustRightInd w:val="0"/>
              <w:snapToGrid w:val="0"/>
              <w:spacing w:line="360" w:lineRule="auto"/>
              <w:ind w:firstLine="480" w:firstLineChars="200"/>
              <w:rPr>
                <w:color w:val="auto"/>
                <w:sz w:val="24"/>
                <w:highlight w:val="none"/>
                <w:lang w:bidi="ar"/>
              </w:rPr>
            </w:pPr>
            <w:r>
              <w:rPr>
                <w:color w:val="auto"/>
                <w:sz w:val="24"/>
                <w:highlight w:val="none"/>
                <w:lang w:bidi="ar"/>
              </w:rPr>
              <w:t>②堆存过程中禁止危险废物和生活垃圾混入。</w:t>
            </w:r>
          </w:p>
          <w:p w14:paraId="6D1445CF">
            <w:pPr>
              <w:adjustRightInd w:val="0"/>
              <w:snapToGrid w:val="0"/>
              <w:spacing w:line="360" w:lineRule="auto"/>
              <w:ind w:firstLine="480" w:firstLineChars="200"/>
              <w:rPr>
                <w:rFonts w:hint="eastAsia" w:cs="宋体"/>
                <w:color w:val="auto"/>
                <w:sz w:val="24"/>
                <w:highlight w:val="none"/>
                <w:lang w:bidi="ar"/>
              </w:rPr>
            </w:pPr>
            <w:r>
              <w:rPr>
                <w:rFonts w:hint="eastAsia" w:cs="宋体"/>
                <w:color w:val="auto"/>
                <w:sz w:val="24"/>
                <w:highlight w:val="none"/>
                <w:lang w:bidi="ar"/>
              </w:rPr>
              <w:t>（2）危险废物暂存要求</w:t>
            </w:r>
          </w:p>
          <w:p w14:paraId="3F5CACA7">
            <w:pPr>
              <w:adjustRightInd w:val="0"/>
              <w:snapToGrid w:val="0"/>
              <w:spacing w:line="360" w:lineRule="auto"/>
              <w:ind w:firstLine="480" w:firstLineChars="200"/>
              <w:rPr>
                <w:rFonts w:hint="eastAsia" w:cs="宋体"/>
                <w:color w:val="auto"/>
                <w:sz w:val="24"/>
                <w:highlight w:val="none"/>
                <w:lang w:bidi="ar"/>
              </w:rPr>
            </w:pPr>
            <w:r>
              <w:rPr>
                <w:rFonts w:hint="eastAsia" w:cs="宋体"/>
                <w:color w:val="auto"/>
                <w:sz w:val="24"/>
                <w:highlight w:val="none"/>
                <w:lang w:bidi="ar"/>
              </w:rPr>
              <w:t>本次产生的检验废液属于危险废物，应集中收集后</w:t>
            </w:r>
            <w:r>
              <w:rPr>
                <w:rFonts w:hint="eastAsia" w:cs="宋体"/>
                <w:color w:val="auto"/>
                <w:sz w:val="24"/>
                <w:highlight w:val="none"/>
                <w:lang w:eastAsia="zh-CN" w:bidi="ar"/>
              </w:rPr>
              <w:t>在</w:t>
            </w:r>
            <w:r>
              <w:rPr>
                <w:rFonts w:hint="eastAsia" w:cs="宋体"/>
                <w:color w:val="auto"/>
                <w:sz w:val="24"/>
                <w:highlight w:val="none"/>
                <w:lang w:bidi="ar"/>
              </w:rPr>
              <w:t>危废</w:t>
            </w:r>
            <w:r>
              <w:rPr>
                <w:rFonts w:hint="eastAsia" w:cs="宋体"/>
                <w:color w:val="auto"/>
                <w:sz w:val="24"/>
                <w:highlight w:val="none"/>
                <w:lang w:eastAsia="zh-CN" w:bidi="ar"/>
              </w:rPr>
              <w:t>贮存库</w:t>
            </w:r>
            <w:r>
              <w:rPr>
                <w:rFonts w:hint="eastAsia" w:cs="宋体"/>
                <w:color w:val="auto"/>
                <w:sz w:val="24"/>
                <w:highlight w:val="none"/>
                <w:lang w:bidi="ar"/>
              </w:rPr>
              <w:t>暂存，定期一并交由</w:t>
            </w:r>
            <w:r>
              <w:rPr>
                <w:rFonts w:hint="eastAsia" w:cs="宋体"/>
                <w:color w:val="auto"/>
                <w:sz w:val="24"/>
                <w:highlight w:val="none"/>
                <w:lang w:eastAsia="zh-CN" w:bidi="ar"/>
              </w:rPr>
              <w:t>有危废处置资质的单位</w:t>
            </w:r>
            <w:r>
              <w:rPr>
                <w:rFonts w:hint="eastAsia" w:cs="宋体"/>
                <w:color w:val="auto"/>
                <w:sz w:val="24"/>
                <w:highlight w:val="none"/>
                <w:lang w:bidi="ar"/>
              </w:rPr>
              <w:t>进行收集处置。</w:t>
            </w:r>
          </w:p>
          <w:p w14:paraId="69838CF7">
            <w:pPr>
              <w:adjustRightInd w:val="0"/>
              <w:snapToGrid w:val="0"/>
              <w:spacing w:line="360" w:lineRule="auto"/>
              <w:ind w:firstLine="482" w:firstLineChars="200"/>
              <w:rPr>
                <w:rFonts w:hint="eastAsia"/>
                <w:color w:val="auto"/>
                <w:sz w:val="24"/>
                <w:highlight w:val="none"/>
              </w:rPr>
            </w:pPr>
            <w:r>
              <w:rPr>
                <w:rFonts w:hint="eastAsia" w:cs="宋体"/>
                <w:b/>
                <w:bCs/>
                <w:color w:val="auto"/>
                <w:sz w:val="24"/>
                <w:highlight w:val="none"/>
                <w:lang w:bidi="ar"/>
              </w:rPr>
              <w:t>危废间</w:t>
            </w:r>
            <w:r>
              <w:rPr>
                <w:rFonts w:hint="eastAsia" w:cs="宋体"/>
                <w:b/>
                <w:bCs/>
                <w:color w:val="auto"/>
                <w:sz w:val="24"/>
                <w:highlight w:val="none"/>
                <w:lang w:eastAsia="zh-CN" w:bidi="ar"/>
              </w:rPr>
              <w:t>建设要求</w:t>
            </w:r>
            <w:r>
              <w:rPr>
                <w:rFonts w:hint="eastAsia" w:cs="宋体"/>
                <w:b/>
                <w:bCs/>
                <w:color w:val="auto"/>
                <w:sz w:val="24"/>
                <w:highlight w:val="none"/>
                <w:lang w:bidi="ar"/>
              </w:rPr>
              <w:t>：</w:t>
            </w:r>
            <w:r>
              <w:rPr>
                <w:rFonts w:hint="eastAsia"/>
                <w:color w:val="auto"/>
                <w:sz w:val="24"/>
                <w:highlight w:val="none"/>
              </w:rPr>
              <w:t>根据《危险废物贮存污染控制标准》（</w:t>
            </w:r>
            <w:r>
              <w:rPr>
                <w:color w:val="auto"/>
                <w:sz w:val="24"/>
                <w:highlight w:val="none"/>
              </w:rPr>
              <w:t>GB18597-20</w:t>
            </w:r>
            <w:r>
              <w:rPr>
                <w:rFonts w:hint="eastAsia"/>
                <w:color w:val="auto"/>
                <w:sz w:val="24"/>
                <w:highlight w:val="none"/>
              </w:rPr>
              <w:t>23），危险废物的收集、贮存及运输要求具体如下：</w:t>
            </w:r>
          </w:p>
          <w:p w14:paraId="05FBEBE4">
            <w:pPr>
              <w:adjustRightInd w:val="0"/>
              <w:snapToGrid w:val="0"/>
              <w:spacing w:line="355" w:lineRule="auto"/>
              <w:ind w:firstLine="480" w:firstLineChars="200"/>
              <w:rPr>
                <w:color w:val="auto"/>
                <w:sz w:val="24"/>
                <w:highlight w:val="none"/>
              </w:rPr>
            </w:pPr>
            <w:r>
              <w:rPr>
                <w:color w:val="auto"/>
                <w:sz w:val="24"/>
                <w:highlight w:val="none"/>
              </w:rPr>
              <w:t>①贮存设施应根据危险废物的类别、数量、形态、物理化学性质和污染防治等要求设置必要的贮存分区，避免不相容的危险废物接触、混合。</w:t>
            </w:r>
          </w:p>
          <w:p w14:paraId="38160F15">
            <w:pPr>
              <w:adjustRightInd w:val="0"/>
              <w:snapToGrid w:val="0"/>
              <w:spacing w:line="355" w:lineRule="auto"/>
              <w:ind w:firstLine="480" w:firstLineChars="200"/>
              <w:rPr>
                <w:color w:val="auto"/>
                <w:sz w:val="24"/>
                <w:highlight w:val="none"/>
              </w:rPr>
            </w:pPr>
            <w:r>
              <w:rPr>
                <w:color w:val="auto"/>
                <w:sz w:val="24"/>
                <w:highlight w:val="none"/>
              </w:rPr>
              <w:t>②贮存设施或贮存分区内地面、墙面裙脚、堵截泄漏的围堰、接触危险废物的隔板和墙体等应采用坚固的材料建造，表面无裂缝。</w:t>
            </w:r>
          </w:p>
          <w:p w14:paraId="3F195AF3">
            <w:pPr>
              <w:adjustRightInd w:val="0"/>
              <w:snapToGrid w:val="0"/>
              <w:spacing w:line="355" w:lineRule="auto"/>
              <w:ind w:firstLine="480" w:firstLineChars="200"/>
              <w:rPr>
                <w:color w:val="auto"/>
                <w:sz w:val="24"/>
                <w:highlight w:val="none"/>
              </w:rPr>
            </w:pPr>
            <w:r>
              <w:rPr>
                <w:color w:val="auto"/>
                <w:sz w:val="24"/>
                <w:highlight w:val="none"/>
              </w:rPr>
              <w:t>③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auto"/>
                <w:sz w:val="24"/>
                <w:highlight w:val="none"/>
                <w:vertAlign w:val="superscript"/>
              </w:rPr>
              <w:t>-7</w:t>
            </w:r>
            <w:r>
              <w:rPr>
                <w:color w:val="auto"/>
                <w:sz w:val="24"/>
                <w:highlight w:val="none"/>
              </w:rPr>
              <w:t>cm/s），或至少2mm厚高密度聚乙烯膜等人工防渗材料（渗透系数不大于10</w:t>
            </w:r>
            <w:r>
              <w:rPr>
                <w:color w:val="auto"/>
                <w:sz w:val="24"/>
                <w:highlight w:val="none"/>
                <w:vertAlign w:val="superscript"/>
              </w:rPr>
              <w:t>-10</w:t>
            </w:r>
            <w:r>
              <w:rPr>
                <w:color w:val="auto"/>
                <w:sz w:val="24"/>
                <w:highlight w:val="none"/>
              </w:rPr>
              <w:t>cm/s），或其他防渗性能等效的材料。</w:t>
            </w:r>
          </w:p>
          <w:p w14:paraId="637B0570">
            <w:pPr>
              <w:adjustRightInd w:val="0"/>
              <w:snapToGrid w:val="0"/>
              <w:spacing w:line="355" w:lineRule="auto"/>
              <w:ind w:firstLine="480" w:firstLineChars="200"/>
              <w:rPr>
                <w:color w:val="auto"/>
                <w:sz w:val="24"/>
                <w:highlight w:val="none"/>
              </w:rPr>
            </w:pPr>
            <w:r>
              <w:rPr>
                <w:rFonts w:hint="eastAsia"/>
                <w:color w:val="auto"/>
                <w:sz w:val="24"/>
                <w:highlight w:val="none"/>
              </w:rPr>
              <w:t>④</w:t>
            </w:r>
            <w:r>
              <w:rPr>
                <w:color w:val="auto"/>
                <w:sz w:val="24"/>
                <w:highlight w:val="none"/>
              </w:rPr>
              <w:t>同一贮存设施宜采用相同的防渗、防腐工艺（包括防渗、防腐结构或材料），防渗、防腐材料应覆盖所有可能与废物及其渗滤液、渗漏液等接触的构筑物表面；采用不同防渗、防腐工艺应分别建设贮存分区。</w:t>
            </w:r>
          </w:p>
          <w:p w14:paraId="1685A1BF">
            <w:pPr>
              <w:adjustRightInd w:val="0"/>
              <w:snapToGrid w:val="0"/>
              <w:spacing w:line="355" w:lineRule="auto"/>
              <w:ind w:firstLine="480" w:firstLineChars="200"/>
              <w:rPr>
                <w:color w:val="auto"/>
                <w:sz w:val="24"/>
                <w:highlight w:val="none"/>
              </w:rPr>
            </w:pPr>
            <w:r>
              <w:rPr>
                <w:rFonts w:hint="eastAsia"/>
                <w:color w:val="auto"/>
                <w:sz w:val="24"/>
                <w:highlight w:val="none"/>
              </w:rPr>
              <w:t>⑤</w:t>
            </w:r>
            <w:r>
              <w:rPr>
                <w:color w:val="auto"/>
                <w:sz w:val="24"/>
                <w:highlight w:val="none"/>
              </w:rPr>
              <w:t>贮存设施应采取技术和管理措施防止无关人员进入。</w:t>
            </w:r>
          </w:p>
          <w:p w14:paraId="6F41CB92">
            <w:pPr>
              <w:pStyle w:val="43"/>
              <w:spacing w:line="360" w:lineRule="auto"/>
              <w:ind w:firstLine="442" w:firstLineChars="200"/>
              <w:rPr>
                <w:rFonts w:hint="eastAsia" w:hAnsi="宋体"/>
                <w:b/>
                <w:color w:val="auto"/>
                <w:spacing w:val="-10"/>
                <w:szCs w:val="21"/>
                <w:highlight w:val="none"/>
              </w:rPr>
            </w:pPr>
            <w:r>
              <w:rPr>
                <w:rFonts w:hint="eastAsia" w:hAnsi="宋体"/>
                <w:b/>
                <w:color w:val="auto"/>
                <w:spacing w:val="-10"/>
                <w:szCs w:val="21"/>
                <w:highlight w:val="none"/>
              </w:rPr>
              <w:t>五、土壤及地下水环境影响</w:t>
            </w:r>
          </w:p>
          <w:p w14:paraId="277E35AF">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在正常生产情况下，本项目所有生产设备都置于全封闭生产车间内；</w:t>
            </w:r>
            <w:r>
              <w:rPr>
                <w:rFonts w:hint="eastAsia"/>
                <w:bCs/>
                <w:color w:val="auto"/>
                <w:sz w:val="24"/>
                <w:highlight w:val="none"/>
                <w:lang w:eastAsia="zh-CN"/>
              </w:rPr>
              <w:t>外购食用醋</w:t>
            </w:r>
            <w:r>
              <w:rPr>
                <w:rFonts w:hint="eastAsia"/>
                <w:bCs/>
                <w:color w:val="auto"/>
                <w:sz w:val="24"/>
                <w:highlight w:val="none"/>
              </w:rPr>
              <w:t>及</w:t>
            </w:r>
            <w:r>
              <w:rPr>
                <w:rFonts w:hint="eastAsia"/>
                <w:bCs/>
                <w:color w:val="auto"/>
                <w:sz w:val="24"/>
                <w:highlight w:val="none"/>
                <w:lang w:eastAsia="zh-CN"/>
              </w:rPr>
              <w:t>食用酒</w:t>
            </w:r>
            <w:r>
              <w:rPr>
                <w:rFonts w:hint="eastAsia"/>
                <w:bCs/>
                <w:color w:val="auto"/>
                <w:sz w:val="24"/>
                <w:highlight w:val="none"/>
              </w:rPr>
              <w:t>储罐为封闭储罐，物料输送过程采用密闭管道；厂区地面硬化、路面清洁，定期洒水，采取环评要求的污染防治措施后，</w:t>
            </w:r>
            <w:r>
              <w:rPr>
                <w:rFonts w:hint="eastAsia"/>
                <w:bCs/>
                <w:color w:val="auto"/>
                <w:sz w:val="24"/>
                <w:highlight w:val="none"/>
                <w:lang w:eastAsia="zh-CN"/>
              </w:rPr>
              <w:t>废水废气等</w:t>
            </w:r>
            <w:r>
              <w:rPr>
                <w:rFonts w:hint="eastAsia"/>
                <w:bCs/>
                <w:color w:val="auto"/>
                <w:sz w:val="24"/>
                <w:highlight w:val="none"/>
              </w:rPr>
              <w:t>污染物可以达标排放，</w:t>
            </w:r>
            <w:r>
              <w:rPr>
                <w:rFonts w:hint="eastAsia"/>
                <w:bCs/>
                <w:color w:val="auto"/>
                <w:sz w:val="24"/>
                <w:highlight w:val="none"/>
                <w:lang w:eastAsia="zh-CN"/>
              </w:rPr>
              <w:t>固废、危废能够合理处置，</w:t>
            </w:r>
            <w:r>
              <w:rPr>
                <w:rFonts w:hint="eastAsia"/>
                <w:bCs/>
                <w:color w:val="auto"/>
                <w:sz w:val="24"/>
                <w:highlight w:val="none"/>
              </w:rPr>
              <w:t>对地下水、土壤基本不会造成影响。</w:t>
            </w:r>
          </w:p>
          <w:p w14:paraId="77EDA4C3">
            <w:pPr>
              <w:adjustRightInd w:val="0"/>
              <w:snapToGrid w:val="0"/>
              <w:spacing w:line="360" w:lineRule="auto"/>
              <w:ind w:firstLine="480" w:firstLineChars="200"/>
              <w:rPr>
                <w:rFonts w:hint="eastAsia" w:eastAsia="宋体"/>
                <w:bCs/>
                <w:color w:val="auto"/>
                <w:sz w:val="24"/>
                <w:highlight w:val="none"/>
                <w:lang w:eastAsia="zh-CN"/>
              </w:rPr>
            </w:pPr>
            <w:r>
              <w:rPr>
                <w:rFonts w:hint="eastAsia"/>
                <w:bCs/>
                <w:color w:val="auto"/>
                <w:sz w:val="24"/>
                <w:highlight w:val="none"/>
              </w:rPr>
              <w:t>项目</w:t>
            </w:r>
            <w:r>
              <w:rPr>
                <w:rFonts w:hint="eastAsia"/>
                <w:bCs/>
                <w:color w:val="auto"/>
                <w:sz w:val="24"/>
                <w:highlight w:val="none"/>
                <w:lang w:eastAsia="zh-CN"/>
              </w:rPr>
              <w:t>可能对</w:t>
            </w:r>
            <w:r>
              <w:rPr>
                <w:rFonts w:hint="eastAsia"/>
                <w:bCs/>
                <w:color w:val="auto"/>
                <w:sz w:val="24"/>
                <w:highlight w:val="none"/>
              </w:rPr>
              <w:t>地下水及</w:t>
            </w:r>
            <w:r>
              <w:rPr>
                <w:rFonts w:hint="eastAsia"/>
                <w:bCs/>
                <w:color w:val="auto"/>
                <w:sz w:val="24"/>
                <w:highlight w:val="none"/>
                <w:lang w:eastAsia="zh-CN"/>
              </w:rPr>
              <w:t>土壤产生</w:t>
            </w:r>
            <w:r>
              <w:rPr>
                <w:rFonts w:hint="eastAsia"/>
                <w:bCs/>
                <w:color w:val="auto"/>
                <w:sz w:val="24"/>
                <w:highlight w:val="none"/>
              </w:rPr>
              <w:t>污染</w:t>
            </w:r>
            <w:r>
              <w:rPr>
                <w:rFonts w:hint="eastAsia"/>
                <w:bCs/>
                <w:color w:val="auto"/>
                <w:sz w:val="24"/>
                <w:highlight w:val="none"/>
                <w:lang w:eastAsia="zh-CN"/>
              </w:rPr>
              <w:t>的情形</w:t>
            </w:r>
            <w:r>
              <w:rPr>
                <w:rFonts w:hint="eastAsia"/>
                <w:bCs/>
                <w:color w:val="auto"/>
                <w:sz w:val="24"/>
                <w:highlight w:val="none"/>
              </w:rPr>
              <w:t>主要考虑为</w:t>
            </w:r>
            <w:r>
              <w:rPr>
                <w:rFonts w:hint="eastAsia"/>
                <w:bCs/>
                <w:color w:val="auto"/>
                <w:sz w:val="24"/>
                <w:highlight w:val="none"/>
                <w:lang w:eastAsia="zh-CN"/>
              </w:rPr>
              <w:t>厂区废水收集沉淀池、化粪池、危废贮存库及废水管道等配套生产设施破损的情况，为避免出现上述情况，建议建设单位</w:t>
            </w:r>
            <w:r>
              <w:rPr>
                <w:rFonts w:hint="eastAsia"/>
                <w:bCs/>
                <w:color w:val="auto"/>
                <w:sz w:val="24"/>
                <w:highlight w:val="none"/>
              </w:rPr>
              <w:t>在做好防止和减少跑冒滴漏等源头防治措施的基础上，</w:t>
            </w:r>
            <w:r>
              <w:rPr>
                <w:rFonts w:hint="eastAsia"/>
                <w:bCs/>
                <w:color w:val="auto"/>
                <w:sz w:val="24"/>
                <w:highlight w:val="none"/>
                <w:lang w:eastAsia="zh-CN"/>
              </w:rPr>
              <w:t>对厂区各生产单元采取分区防渗措施，其中危废贮存库、污水收集沉淀池采取重点防渗措施，生产车间采取一般防渗，其余区域采取简单防渗，落实上述措施后，项目对区域地下水及土壤的影响可控。</w:t>
            </w:r>
          </w:p>
          <w:p w14:paraId="2C00E2E4">
            <w:pPr>
              <w:pStyle w:val="43"/>
              <w:spacing w:line="360" w:lineRule="auto"/>
              <w:ind w:firstLine="442" w:firstLineChars="200"/>
              <w:rPr>
                <w:rFonts w:hint="eastAsia" w:hAnsi="宋体"/>
                <w:b/>
                <w:color w:val="auto"/>
                <w:spacing w:val="-10"/>
                <w:szCs w:val="21"/>
                <w:highlight w:val="none"/>
              </w:rPr>
            </w:pPr>
            <w:r>
              <w:rPr>
                <w:rFonts w:hint="eastAsia" w:hAnsi="宋体"/>
                <w:b/>
                <w:color w:val="auto"/>
                <w:spacing w:val="-10"/>
                <w:szCs w:val="21"/>
                <w:highlight w:val="none"/>
              </w:rPr>
              <w:t>六、生态环境</w:t>
            </w:r>
          </w:p>
          <w:p w14:paraId="2C3B21EB">
            <w:pPr>
              <w:pStyle w:val="43"/>
              <w:spacing w:line="360" w:lineRule="auto"/>
              <w:ind w:firstLine="480" w:firstLineChars="200"/>
              <w:rPr>
                <w:rFonts w:hint="eastAsia" w:hAnsi="宋体"/>
                <w:bCs/>
                <w:color w:val="auto"/>
                <w:szCs w:val="21"/>
                <w:highlight w:val="none"/>
              </w:rPr>
            </w:pPr>
            <w:r>
              <w:rPr>
                <w:rFonts w:hint="eastAsia" w:hAnsi="宋体"/>
                <w:bCs/>
                <w:color w:val="auto"/>
                <w:szCs w:val="21"/>
                <w:highlight w:val="none"/>
              </w:rPr>
              <w:t>本项目在绿色有机产业园区</w:t>
            </w:r>
            <w:r>
              <w:rPr>
                <w:rFonts w:hint="eastAsia" w:hAnsi="宋体"/>
                <w:bCs/>
                <w:color w:val="auto"/>
                <w:szCs w:val="21"/>
                <w:highlight w:val="none"/>
                <w:lang w:eastAsia="zh-CN"/>
              </w:rPr>
              <w:t>内进行建设</w:t>
            </w:r>
            <w:r>
              <w:rPr>
                <w:rFonts w:hint="eastAsia" w:hAnsi="宋体"/>
                <w:bCs/>
                <w:color w:val="auto"/>
                <w:szCs w:val="21"/>
                <w:highlight w:val="none"/>
              </w:rPr>
              <w:t>，用地范围内无生态环境敏感保护目标，对生态环境影响较小。</w:t>
            </w:r>
          </w:p>
          <w:p w14:paraId="433EDDFE">
            <w:pPr>
              <w:pStyle w:val="43"/>
              <w:spacing w:line="360" w:lineRule="auto"/>
              <w:ind w:firstLine="442" w:firstLineChars="200"/>
              <w:rPr>
                <w:rFonts w:hint="eastAsia" w:hAnsi="宋体"/>
                <w:b/>
                <w:color w:val="auto"/>
                <w:spacing w:val="-10"/>
                <w:szCs w:val="21"/>
                <w:highlight w:val="none"/>
              </w:rPr>
            </w:pPr>
            <w:r>
              <w:rPr>
                <w:rFonts w:hint="eastAsia" w:hAnsi="宋体"/>
                <w:b/>
                <w:color w:val="auto"/>
                <w:spacing w:val="-10"/>
                <w:szCs w:val="21"/>
                <w:highlight w:val="none"/>
              </w:rPr>
              <w:t>七、环境风险</w:t>
            </w:r>
          </w:p>
          <w:p w14:paraId="20BCB1FC">
            <w:pPr>
              <w:adjustRightInd w:val="0"/>
              <w:snapToGrid w:val="0"/>
              <w:spacing w:line="360" w:lineRule="auto"/>
              <w:ind w:firstLine="482" w:firstLineChars="200"/>
              <w:rPr>
                <w:rFonts w:hint="eastAsia"/>
                <w:b/>
                <w:color w:val="auto"/>
                <w:sz w:val="24"/>
                <w:highlight w:val="none"/>
                <w:lang w:bidi="ar"/>
              </w:rPr>
            </w:pPr>
            <w:r>
              <w:rPr>
                <w:rFonts w:hint="eastAsia"/>
                <w:b/>
                <w:color w:val="auto"/>
                <w:sz w:val="24"/>
                <w:highlight w:val="none"/>
                <w:lang w:bidi="ar"/>
              </w:rPr>
              <w:t>1、物质危险性识别</w:t>
            </w:r>
          </w:p>
          <w:p w14:paraId="7D646053">
            <w:pPr>
              <w:adjustRightInd w:val="0"/>
              <w:snapToGrid w:val="0"/>
              <w:spacing w:line="360" w:lineRule="auto"/>
              <w:ind w:firstLine="480" w:firstLineChars="200"/>
              <w:rPr>
                <w:color w:val="auto"/>
                <w:sz w:val="24"/>
                <w:highlight w:val="none"/>
              </w:rPr>
            </w:pPr>
            <w:r>
              <w:rPr>
                <w:color w:val="auto"/>
                <w:sz w:val="24"/>
                <w:highlight w:val="none"/>
              </w:rPr>
              <w:t>根据《建设项目环境风险评价技术导则》（HJ 169-2018）和《危险化学品重大危险源辨识》（GB 18218-2018），</w:t>
            </w:r>
            <w:r>
              <w:rPr>
                <w:rFonts w:hint="eastAsia"/>
                <w:color w:val="auto"/>
                <w:sz w:val="24"/>
                <w:highlight w:val="none"/>
              </w:rPr>
              <w:t>项目</w:t>
            </w:r>
            <w:r>
              <w:rPr>
                <w:rFonts w:hint="eastAsia"/>
                <w:color w:val="auto"/>
                <w:sz w:val="24"/>
                <w:highlight w:val="none"/>
                <w:lang w:eastAsia="zh-CN"/>
              </w:rPr>
              <w:t>使用的原料及试剂</w:t>
            </w:r>
            <w:r>
              <w:rPr>
                <w:color w:val="auto"/>
                <w:spacing w:val="8"/>
                <w:sz w:val="24"/>
                <w:highlight w:val="none"/>
              </w:rPr>
              <w:t>不存在重大危险源</w:t>
            </w:r>
            <w:r>
              <w:rPr>
                <w:rFonts w:hint="eastAsia"/>
                <w:color w:val="auto"/>
                <w:spacing w:val="8"/>
                <w:sz w:val="24"/>
                <w:highlight w:val="none"/>
              </w:rPr>
              <w:t>，</w:t>
            </w:r>
            <w:r>
              <w:rPr>
                <w:rFonts w:hint="eastAsia"/>
                <w:color w:val="auto"/>
                <w:spacing w:val="8"/>
                <w:sz w:val="24"/>
                <w:highlight w:val="none"/>
                <w:lang w:eastAsia="zh-CN"/>
              </w:rPr>
              <w:t>但是项目使用的食用醋、食用酒中含有的乙酸、乙醇为风险物质，项目外购的食用酒</w:t>
            </w:r>
            <w:r>
              <w:rPr>
                <w:rFonts w:hint="eastAsia"/>
                <w:color w:val="auto"/>
                <w:kern w:val="0"/>
                <w:sz w:val="24"/>
                <w:highlight w:val="none"/>
              </w:rPr>
              <w:t>酒精浓度</w:t>
            </w:r>
            <w:r>
              <w:rPr>
                <w:rFonts w:hint="eastAsia"/>
                <w:color w:val="auto"/>
                <w:kern w:val="0"/>
                <w:sz w:val="24"/>
                <w:highlight w:val="none"/>
                <w:lang w:eastAsia="zh-CN"/>
              </w:rPr>
              <w:t>约</w:t>
            </w:r>
            <w:r>
              <w:rPr>
                <w:rFonts w:hint="eastAsia"/>
                <w:color w:val="auto"/>
                <w:kern w:val="0"/>
                <w:sz w:val="24"/>
                <w:highlight w:val="none"/>
              </w:rPr>
              <w:t>30度</w:t>
            </w:r>
            <w:r>
              <w:rPr>
                <w:rFonts w:hint="eastAsia"/>
                <w:color w:val="auto"/>
                <w:kern w:val="0"/>
                <w:sz w:val="24"/>
                <w:highlight w:val="none"/>
                <w:lang w:eastAsia="zh-CN"/>
              </w:rPr>
              <w:t>，食用醋醋酸含量平均10度，</w:t>
            </w:r>
            <w:r>
              <w:rPr>
                <w:color w:val="auto"/>
                <w:sz w:val="24"/>
                <w:highlight w:val="none"/>
              </w:rPr>
              <w:t>本项目涉及的环境风险物质</w:t>
            </w:r>
            <w:r>
              <w:rPr>
                <w:rFonts w:hint="eastAsia"/>
                <w:color w:val="auto"/>
                <w:sz w:val="24"/>
                <w:highlight w:val="none"/>
              </w:rPr>
              <w:t>见</w:t>
            </w:r>
            <w:r>
              <w:rPr>
                <w:rFonts w:hint="eastAsia"/>
                <w:color w:val="auto"/>
                <w:sz w:val="24"/>
                <w:highlight w:val="none"/>
                <w:lang w:eastAsia="zh-CN"/>
              </w:rPr>
              <w:t>下</w:t>
            </w:r>
            <w:r>
              <w:rPr>
                <w:rFonts w:hint="eastAsia"/>
                <w:color w:val="auto"/>
                <w:sz w:val="24"/>
                <w:highlight w:val="none"/>
              </w:rPr>
              <w:t>表</w:t>
            </w:r>
            <w:r>
              <w:rPr>
                <w:color w:val="auto"/>
                <w:sz w:val="24"/>
                <w:highlight w:val="none"/>
              </w:rPr>
              <w:t>。</w:t>
            </w:r>
          </w:p>
          <w:p w14:paraId="4179E002">
            <w:pPr>
              <w:pStyle w:val="7"/>
              <w:spacing w:beforeLines="0" w:line="240" w:lineRule="auto"/>
              <w:rPr>
                <w:color w:val="auto"/>
                <w:highlight w:val="none"/>
              </w:rPr>
            </w:pPr>
            <w:r>
              <w:rPr>
                <w:color w:val="auto"/>
                <w:highlight w:val="none"/>
              </w:rPr>
              <w:t>表4-</w:t>
            </w:r>
            <w:r>
              <w:rPr>
                <w:rFonts w:hint="eastAsia"/>
                <w:color w:val="auto"/>
                <w:highlight w:val="none"/>
              </w:rPr>
              <w:t>1</w:t>
            </w:r>
            <w:r>
              <w:rPr>
                <w:rFonts w:hint="eastAsia"/>
                <w:color w:val="auto"/>
                <w:highlight w:val="none"/>
                <w:lang w:val="en-US" w:eastAsia="zh-CN"/>
              </w:rPr>
              <w:t>2</w:t>
            </w:r>
            <w:r>
              <w:rPr>
                <w:color w:val="auto"/>
                <w:highlight w:val="none"/>
              </w:rPr>
              <w:t xml:space="preserve">  主要危险化学品年用量及存储量一览表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717"/>
              <w:gridCol w:w="2245"/>
              <w:gridCol w:w="1273"/>
              <w:gridCol w:w="1259"/>
            </w:tblGrid>
            <w:tr w14:paraId="54C5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08" w:type="pct"/>
                  <w:noWrap w:val="0"/>
                  <w:vAlign w:val="center"/>
                </w:tcPr>
                <w:p w14:paraId="327A7EEB">
                  <w:pPr>
                    <w:pStyle w:val="6"/>
                    <w:ind w:left="0" w:leftChars="0" w:firstLine="0" w:firstLineChars="0"/>
                    <w:jc w:val="center"/>
                    <w:rPr>
                      <w:b/>
                      <w:bCs/>
                      <w:color w:val="auto"/>
                      <w:highlight w:val="none"/>
                    </w:rPr>
                  </w:pPr>
                  <w:r>
                    <w:rPr>
                      <w:b/>
                      <w:bCs/>
                      <w:color w:val="auto"/>
                      <w:highlight w:val="none"/>
                    </w:rPr>
                    <w:t>危险化学品名称</w:t>
                  </w:r>
                </w:p>
              </w:tc>
              <w:tc>
                <w:tcPr>
                  <w:tcW w:w="1081" w:type="pct"/>
                  <w:noWrap w:val="0"/>
                  <w:vAlign w:val="center"/>
                </w:tcPr>
                <w:p w14:paraId="5AFB0C61">
                  <w:pPr>
                    <w:pStyle w:val="6"/>
                    <w:ind w:left="0" w:leftChars="0" w:firstLine="0" w:firstLineChars="0"/>
                    <w:jc w:val="center"/>
                    <w:rPr>
                      <w:b/>
                      <w:bCs/>
                      <w:color w:val="auto"/>
                      <w:highlight w:val="none"/>
                    </w:rPr>
                  </w:pPr>
                  <w:r>
                    <w:rPr>
                      <w:b/>
                      <w:bCs/>
                      <w:color w:val="auto"/>
                      <w:highlight w:val="none"/>
                    </w:rPr>
                    <w:t>CAS号</w:t>
                  </w:r>
                </w:p>
              </w:tc>
              <w:tc>
                <w:tcPr>
                  <w:tcW w:w="1414" w:type="pct"/>
                  <w:noWrap w:val="0"/>
                  <w:vAlign w:val="center"/>
                </w:tcPr>
                <w:p w14:paraId="552C6106">
                  <w:pPr>
                    <w:pStyle w:val="6"/>
                    <w:ind w:left="0" w:leftChars="0" w:firstLine="0" w:firstLineChars="0"/>
                    <w:jc w:val="center"/>
                    <w:rPr>
                      <w:b/>
                      <w:bCs/>
                      <w:color w:val="auto"/>
                      <w:highlight w:val="none"/>
                    </w:rPr>
                  </w:pPr>
                  <w:r>
                    <w:rPr>
                      <w:rFonts w:hint="eastAsia"/>
                      <w:b/>
                      <w:bCs/>
                      <w:color w:val="auto"/>
                      <w:highlight w:val="none"/>
                      <w:lang w:eastAsia="zh-CN"/>
                    </w:rPr>
                    <w:t>厂区最大</w:t>
                  </w:r>
                  <w:r>
                    <w:rPr>
                      <w:b/>
                      <w:bCs/>
                      <w:color w:val="auto"/>
                      <w:highlight w:val="none"/>
                    </w:rPr>
                    <w:t>储存量/t</w:t>
                  </w:r>
                </w:p>
              </w:tc>
              <w:tc>
                <w:tcPr>
                  <w:tcW w:w="802" w:type="pct"/>
                  <w:noWrap w:val="0"/>
                  <w:vAlign w:val="center"/>
                </w:tcPr>
                <w:p w14:paraId="3E9D3971">
                  <w:pPr>
                    <w:pStyle w:val="6"/>
                    <w:ind w:left="0" w:leftChars="0" w:firstLine="0" w:firstLineChars="0"/>
                    <w:jc w:val="center"/>
                    <w:rPr>
                      <w:b/>
                      <w:bCs/>
                      <w:color w:val="auto"/>
                      <w:highlight w:val="none"/>
                    </w:rPr>
                  </w:pPr>
                  <w:r>
                    <w:rPr>
                      <w:b/>
                      <w:bCs/>
                      <w:color w:val="auto"/>
                      <w:highlight w:val="none"/>
                    </w:rPr>
                    <w:t>临界量/t</w:t>
                  </w:r>
                </w:p>
              </w:tc>
              <w:tc>
                <w:tcPr>
                  <w:tcW w:w="793" w:type="pct"/>
                  <w:noWrap w:val="0"/>
                  <w:vAlign w:val="center"/>
                </w:tcPr>
                <w:p w14:paraId="1C19362C">
                  <w:pPr>
                    <w:pStyle w:val="6"/>
                    <w:ind w:left="0" w:leftChars="0" w:firstLine="0" w:firstLineChars="0"/>
                    <w:jc w:val="center"/>
                    <w:rPr>
                      <w:b/>
                      <w:bCs/>
                      <w:color w:val="auto"/>
                      <w:highlight w:val="none"/>
                    </w:rPr>
                  </w:pPr>
                  <w:r>
                    <w:rPr>
                      <w:b/>
                      <w:bCs/>
                      <w:color w:val="auto"/>
                      <w:highlight w:val="none"/>
                    </w:rPr>
                    <w:t>Q</w:t>
                  </w:r>
                </w:p>
              </w:tc>
            </w:tr>
            <w:tr w14:paraId="18C4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pct"/>
                  <w:noWrap w:val="0"/>
                  <w:vAlign w:val="center"/>
                </w:tcPr>
                <w:p w14:paraId="43514959">
                  <w:pPr>
                    <w:spacing w:before="48" w:beforeLines="20" w:after="48" w:afterLines="20"/>
                    <w:jc w:val="center"/>
                    <w:rPr>
                      <w:rFonts w:hint="eastAsia" w:eastAsia="宋体"/>
                      <w:color w:val="auto"/>
                      <w:highlight w:val="none"/>
                      <w:lang w:eastAsia="zh-CN"/>
                    </w:rPr>
                  </w:pPr>
                  <w:r>
                    <w:rPr>
                      <w:rFonts w:hint="eastAsia"/>
                      <w:color w:val="auto"/>
                      <w:szCs w:val="21"/>
                      <w:highlight w:val="none"/>
                      <w:lang w:eastAsia="zh-CN"/>
                    </w:rPr>
                    <w:t>乙酸</w:t>
                  </w:r>
                </w:p>
              </w:tc>
              <w:tc>
                <w:tcPr>
                  <w:tcW w:w="1081" w:type="pct"/>
                  <w:noWrap w:val="0"/>
                  <w:vAlign w:val="center"/>
                </w:tcPr>
                <w:p w14:paraId="3AF8CF28">
                  <w:pPr>
                    <w:pStyle w:val="6"/>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64-19-7</w:t>
                  </w:r>
                </w:p>
              </w:tc>
              <w:tc>
                <w:tcPr>
                  <w:tcW w:w="1414" w:type="pct"/>
                  <w:noWrap w:val="0"/>
                  <w:vAlign w:val="center"/>
                </w:tcPr>
                <w:p w14:paraId="5494F00B">
                  <w:pPr>
                    <w:pStyle w:val="6"/>
                    <w:ind w:left="0" w:leftChars="0" w:firstLine="0" w:firstLineChars="0"/>
                    <w:jc w:val="center"/>
                    <w:rPr>
                      <w:rFonts w:hint="default" w:eastAsia="宋体"/>
                      <w:color w:val="auto"/>
                      <w:highlight w:val="none"/>
                      <w:lang w:val="en-US" w:eastAsia="zh-CN"/>
                    </w:rPr>
                  </w:pPr>
                  <w:r>
                    <w:rPr>
                      <w:rFonts w:hint="eastAsia" w:eastAsia="宋体"/>
                      <w:color w:val="auto"/>
                      <w:highlight w:val="none"/>
                      <w:lang w:val="en-US" w:eastAsia="zh-CN"/>
                    </w:rPr>
                    <w:t>0.1</w:t>
                  </w:r>
                </w:p>
              </w:tc>
              <w:tc>
                <w:tcPr>
                  <w:tcW w:w="802" w:type="pct"/>
                  <w:noWrap w:val="0"/>
                  <w:vAlign w:val="center"/>
                </w:tcPr>
                <w:p w14:paraId="7849932E">
                  <w:pPr>
                    <w:pStyle w:val="6"/>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10</w:t>
                  </w:r>
                </w:p>
              </w:tc>
              <w:tc>
                <w:tcPr>
                  <w:tcW w:w="793" w:type="pct"/>
                  <w:noWrap w:val="0"/>
                  <w:vAlign w:val="center"/>
                </w:tcPr>
                <w:p w14:paraId="2C446CB5">
                  <w:pPr>
                    <w:pStyle w:val="6"/>
                    <w:ind w:left="0" w:leftChars="0" w:firstLine="0" w:firstLineChars="0"/>
                    <w:jc w:val="center"/>
                    <w:rPr>
                      <w:rFonts w:hint="default" w:eastAsia="宋体"/>
                      <w:color w:val="auto"/>
                      <w:highlight w:val="none"/>
                      <w:lang w:val="en-US" w:eastAsia="zh-CN"/>
                    </w:rPr>
                  </w:pPr>
                  <w:r>
                    <w:rPr>
                      <w:rFonts w:hint="eastAsia" w:eastAsia="宋体"/>
                      <w:color w:val="auto"/>
                      <w:highlight w:val="none"/>
                      <w:lang w:val="en-US" w:eastAsia="zh-CN"/>
                    </w:rPr>
                    <w:t>0.01</w:t>
                  </w:r>
                </w:p>
              </w:tc>
            </w:tr>
            <w:tr w14:paraId="1612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pct"/>
                  <w:noWrap w:val="0"/>
                  <w:vAlign w:val="center"/>
                </w:tcPr>
                <w:p w14:paraId="20B529EC">
                  <w:pPr>
                    <w:spacing w:before="48" w:beforeLines="20" w:after="48" w:afterLines="20"/>
                    <w:jc w:val="center"/>
                    <w:rPr>
                      <w:rFonts w:hint="eastAsia" w:eastAsia="宋体"/>
                      <w:color w:val="auto"/>
                      <w:highlight w:val="none"/>
                      <w:lang w:eastAsia="zh-CN"/>
                    </w:rPr>
                  </w:pPr>
                  <w:r>
                    <w:rPr>
                      <w:rFonts w:hint="eastAsia"/>
                      <w:color w:val="auto"/>
                      <w:highlight w:val="none"/>
                    </w:rPr>
                    <w:t>乙醇</w:t>
                  </w:r>
                </w:p>
              </w:tc>
              <w:tc>
                <w:tcPr>
                  <w:tcW w:w="1081" w:type="pct"/>
                  <w:noWrap w:val="0"/>
                  <w:vAlign w:val="center"/>
                </w:tcPr>
                <w:p w14:paraId="1F877996">
                  <w:pPr>
                    <w:pStyle w:val="6"/>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64-17-5</w:t>
                  </w:r>
                </w:p>
              </w:tc>
              <w:tc>
                <w:tcPr>
                  <w:tcW w:w="1414" w:type="pct"/>
                  <w:noWrap w:val="0"/>
                  <w:vAlign w:val="center"/>
                </w:tcPr>
                <w:p w14:paraId="0F0E85DA">
                  <w:pPr>
                    <w:pStyle w:val="6"/>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0.237</w:t>
                  </w:r>
                </w:p>
              </w:tc>
              <w:tc>
                <w:tcPr>
                  <w:tcW w:w="802" w:type="pct"/>
                  <w:noWrap w:val="0"/>
                  <w:vAlign w:val="center"/>
                </w:tcPr>
                <w:p w14:paraId="63FA1FAB">
                  <w:pPr>
                    <w:pStyle w:val="6"/>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500</w:t>
                  </w:r>
                </w:p>
              </w:tc>
              <w:tc>
                <w:tcPr>
                  <w:tcW w:w="793" w:type="pct"/>
                  <w:noWrap w:val="0"/>
                  <w:vAlign w:val="center"/>
                </w:tcPr>
                <w:p w14:paraId="15F246D9">
                  <w:pPr>
                    <w:pStyle w:val="6"/>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0.000474</w:t>
                  </w:r>
                </w:p>
              </w:tc>
            </w:tr>
            <w:tr w14:paraId="314F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8" w:type="pct"/>
                  <w:noWrap w:val="0"/>
                  <w:vAlign w:val="center"/>
                </w:tcPr>
                <w:p w14:paraId="689EF39A">
                  <w:pPr>
                    <w:pStyle w:val="6"/>
                    <w:ind w:left="0" w:leftChars="0" w:firstLine="0" w:firstLineChars="0"/>
                    <w:jc w:val="center"/>
                    <w:rPr>
                      <w:color w:val="auto"/>
                      <w:highlight w:val="none"/>
                    </w:rPr>
                  </w:pPr>
                  <w:r>
                    <w:rPr>
                      <w:color w:val="auto"/>
                      <w:highlight w:val="none"/>
                    </w:rPr>
                    <w:t>合计</w:t>
                  </w:r>
                </w:p>
              </w:tc>
              <w:tc>
                <w:tcPr>
                  <w:tcW w:w="1081" w:type="pct"/>
                  <w:noWrap w:val="0"/>
                  <w:vAlign w:val="center"/>
                </w:tcPr>
                <w:p w14:paraId="26CA5D65">
                  <w:pPr>
                    <w:pStyle w:val="6"/>
                    <w:ind w:left="0" w:leftChars="0" w:firstLine="0" w:firstLineChars="0"/>
                    <w:jc w:val="center"/>
                    <w:rPr>
                      <w:color w:val="auto"/>
                      <w:highlight w:val="none"/>
                    </w:rPr>
                  </w:pPr>
                  <w:r>
                    <w:rPr>
                      <w:color w:val="auto"/>
                      <w:highlight w:val="none"/>
                    </w:rPr>
                    <w:t>/</w:t>
                  </w:r>
                </w:p>
              </w:tc>
              <w:tc>
                <w:tcPr>
                  <w:tcW w:w="1414" w:type="pct"/>
                  <w:noWrap w:val="0"/>
                  <w:vAlign w:val="center"/>
                </w:tcPr>
                <w:p w14:paraId="767C9619">
                  <w:pPr>
                    <w:pStyle w:val="6"/>
                    <w:ind w:left="0" w:leftChars="0" w:firstLine="0" w:firstLineChars="0"/>
                    <w:jc w:val="center"/>
                    <w:rPr>
                      <w:color w:val="auto"/>
                      <w:highlight w:val="none"/>
                    </w:rPr>
                  </w:pPr>
                  <w:r>
                    <w:rPr>
                      <w:color w:val="auto"/>
                      <w:highlight w:val="none"/>
                    </w:rPr>
                    <w:t>/</w:t>
                  </w:r>
                </w:p>
              </w:tc>
              <w:tc>
                <w:tcPr>
                  <w:tcW w:w="802" w:type="pct"/>
                  <w:noWrap w:val="0"/>
                  <w:vAlign w:val="center"/>
                </w:tcPr>
                <w:p w14:paraId="04762865">
                  <w:pPr>
                    <w:pStyle w:val="6"/>
                    <w:ind w:left="0" w:leftChars="0" w:firstLine="0" w:firstLineChars="0"/>
                    <w:jc w:val="center"/>
                    <w:rPr>
                      <w:color w:val="auto"/>
                      <w:highlight w:val="none"/>
                    </w:rPr>
                  </w:pPr>
                  <w:r>
                    <w:rPr>
                      <w:color w:val="auto"/>
                      <w:highlight w:val="none"/>
                    </w:rPr>
                    <w:t>/</w:t>
                  </w:r>
                </w:p>
              </w:tc>
              <w:tc>
                <w:tcPr>
                  <w:tcW w:w="793" w:type="pct"/>
                  <w:noWrap w:val="0"/>
                  <w:vAlign w:val="center"/>
                </w:tcPr>
                <w:p w14:paraId="324694B2">
                  <w:pPr>
                    <w:pStyle w:val="6"/>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0.010474</w:t>
                  </w:r>
                </w:p>
              </w:tc>
            </w:tr>
            <w:tr w14:paraId="301E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14:paraId="00F50D8F">
                  <w:pPr>
                    <w:pStyle w:val="6"/>
                    <w:ind w:left="0" w:leftChars="0" w:firstLine="0" w:firstLineChars="0"/>
                    <w:jc w:val="center"/>
                    <w:rPr>
                      <w:rFonts w:hint="eastAsia"/>
                      <w:color w:val="auto"/>
                      <w:highlight w:val="none"/>
                      <w:lang w:val="en-US" w:eastAsia="zh-CN"/>
                    </w:rPr>
                  </w:pPr>
                  <w:r>
                    <w:rPr>
                      <w:rFonts w:hint="eastAsia"/>
                      <w:color w:val="auto"/>
                      <w:highlight w:val="none"/>
                      <w:lang w:val="en-US" w:eastAsia="zh-CN"/>
                    </w:rPr>
                    <w:t>备注：项目外购的食用酒酒精浓度约30度，食用醋醋酸含量平均10度，因此乙酸及乙醇的储存量按其含量进行折算</w:t>
                  </w:r>
                </w:p>
              </w:tc>
            </w:tr>
          </w:tbl>
          <w:p w14:paraId="6FCA8A1A">
            <w:pPr>
              <w:pStyle w:val="63"/>
              <w:ind w:firstLine="480"/>
              <w:rPr>
                <w:rFonts w:hint="eastAsia"/>
                <w:bCs/>
                <w:color w:val="auto"/>
                <w:highlight w:val="none"/>
              </w:rPr>
            </w:pPr>
            <w:r>
              <w:rPr>
                <w:color w:val="auto"/>
                <w:highlight w:val="none"/>
              </w:rPr>
              <w:t>查阅《建设项目环境风险评价技术导则》（HJ 169-2018）中的附录B</w:t>
            </w:r>
            <w:r>
              <w:rPr>
                <w:rFonts w:hint="eastAsia"/>
                <w:color w:val="auto"/>
                <w:sz w:val="24"/>
                <w:highlight w:val="none"/>
              </w:rPr>
              <w:t>《危险化学品重大危险源辨识》（GB18218-2018）</w:t>
            </w:r>
            <w:r>
              <w:rPr>
                <w:rFonts w:hint="eastAsia"/>
                <w:color w:val="auto"/>
                <w:highlight w:val="none"/>
                <w:lang w:eastAsia="zh-CN"/>
              </w:rPr>
              <w:t>及</w:t>
            </w:r>
            <w:r>
              <w:rPr>
                <w:color w:val="auto"/>
                <w:highlight w:val="none"/>
              </w:rPr>
              <w:t>，</w:t>
            </w:r>
            <w:r>
              <w:rPr>
                <w:rFonts w:hint="eastAsia"/>
                <w:bCs/>
                <w:color w:val="auto"/>
                <w:highlight w:val="none"/>
              </w:rPr>
              <w:t>本项目主要危险化学品临界量见上表，本项目涉及的风险物质使用量均未超过其临界量。</w:t>
            </w:r>
          </w:p>
          <w:p w14:paraId="0E8FCF33">
            <w:pPr>
              <w:adjustRightInd w:val="0"/>
              <w:snapToGrid w:val="0"/>
              <w:spacing w:line="360" w:lineRule="auto"/>
              <w:ind w:firstLine="480" w:firstLineChars="200"/>
              <w:rPr>
                <w:rFonts w:hint="eastAsia"/>
                <w:color w:val="auto"/>
                <w:sz w:val="24"/>
                <w:highlight w:val="none"/>
              </w:rPr>
            </w:pPr>
            <w:r>
              <w:rPr>
                <w:color w:val="auto"/>
                <w:sz w:val="24"/>
                <w:highlight w:val="none"/>
              </w:rPr>
              <w:t>根据上表计算，</w:t>
            </w:r>
            <w:r>
              <w:rPr>
                <w:color w:val="auto"/>
                <w:sz w:val="24"/>
                <w:highlight w:val="none"/>
              </w:rPr>
              <w:object>
                <v:shape id="_x0000_i1031" o:spt="75" type="#_x0000_t75" style="height:30.65pt;width:42.35pt;" o:ole="t" filled="f" o:preferrelative="t" stroked="f" coordsize="21600,21600">
                  <v:path/>
                  <v:fill on="f" focussize="0,0"/>
                  <v:stroke on="f"/>
                  <v:imagedata r:id="rId29" o:title=""/>
                  <o:lock v:ext="edit" aspectratio="t"/>
                  <w10:wrap type="none"/>
                  <w10:anchorlock/>
                </v:shape>
                <o:OLEObject Type="Embed" ProgID="Equation.3" ShapeID="_x0000_i1031" DrawAspect="Content" ObjectID="_1468075733" r:id="rId28">
                  <o:LockedField>false</o:LockedField>
                </o:OLEObject>
              </w:object>
            </w:r>
            <w:r>
              <w:rPr>
                <w:color w:val="auto"/>
                <w:sz w:val="24"/>
                <w:highlight w:val="none"/>
              </w:rPr>
              <w:t>＝q</w:t>
            </w:r>
            <w:r>
              <w:rPr>
                <w:color w:val="auto"/>
                <w:sz w:val="24"/>
                <w:highlight w:val="none"/>
                <w:vertAlign w:val="subscript"/>
              </w:rPr>
              <w:t>1</w:t>
            </w:r>
            <w:r>
              <w:rPr>
                <w:color w:val="auto"/>
                <w:sz w:val="24"/>
                <w:highlight w:val="none"/>
              </w:rPr>
              <w:t>/Q</w:t>
            </w:r>
            <w:r>
              <w:rPr>
                <w:color w:val="auto"/>
                <w:sz w:val="24"/>
                <w:highlight w:val="none"/>
                <w:vertAlign w:val="subscript"/>
              </w:rPr>
              <w:t>1</w:t>
            </w:r>
            <w:r>
              <w:rPr>
                <w:color w:val="auto"/>
                <w:sz w:val="24"/>
                <w:highlight w:val="none"/>
              </w:rPr>
              <w:t>＋q</w:t>
            </w:r>
            <w:r>
              <w:rPr>
                <w:color w:val="auto"/>
                <w:sz w:val="24"/>
                <w:highlight w:val="none"/>
                <w:vertAlign w:val="subscript"/>
              </w:rPr>
              <w:t>2</w:t>
            </w:r>
            <w:r>
              <w:rPr>
                <w:color w:val="auto"/>
                <w:sz w:val="24"/>
                <w:highlight w:val="none"/>
              </w:rPr>
              <w:t>/Q</w:t>
            </w:r>
            <w:r>
              <w:rPr>
                <w:color w:val="auto"/>
                <w:sz w:val="24"/>
                <w:highlight w:val="none"/>
                <w:vertAlign w:val="subscript"/>
              </w:rPr>
              <w:t>2</w:t>
            </w:r>
            <w:r>
              <w:rPr>
                <w:color w:val="auto"/>
                <w:sz w:val="24"/>
                <w:highlight w:val="none"/>
              </w:rPr>
              <w:t>＋…＋q</w:t>
            </w:r>
            <w:r>
              <w:rPr>
                <w:color w:val="auto"/>
                <w:sz w:val="24"/>
                <w:highlight w:val="none"/>
                <w:vertAlign w:val="subscript"/>
              </w:rPr>
              <w:t>n</w:t>
            </w:r>
            <w:r>
              <w:rPr>
                <w:color w:val="auto"/>
                <w:sz w:val="24"/>
                <w:highlight w:val="none"/>
              </w:rPr>
              <w:t>/Q</w:t>
            </w:r>
            <w:r>
              <w:rPr>
                <w:color w:val="auto"/>
                <w:sz w:val="24"/>
                <w:highlight w:val="none"/>
                <w:vertAlign w:val="subscript"/>
              </w:rPr>
              <w:t>n</w:t>
            </w:r>
            <w:r>
              <w:rPr>
                <w:color w:val="auto"/>
                <w:sz w:val="24"/>
                <w:highlight w:val="none"/>
              </w:rPr>
              <w:t>=0.</w:t>
            </w:r>
            <w:r>
              <w:rPr>
                <w:rFonts w:hint="eastAsia"/>
                <w:color w:val="auto"/>
                <w:sz w:val="24"/>
                <w:highlight w:val="none"/>
                <w:lang w:val="en-US" w:eastAsia="zh-CN"/>
              </w:rPr>
              <w:t>00105</w:t>
            </w:r>
            <w:r>
              <w:rPr>
                <w:color w:val="auto"/>
                <w:sz w:val="24"/>
                <w:highlight w:val="none"/>
              </w:rPr>
              <w:t>＜1</w:t>
            </w:r>
            <w:r>
              <w:rPr>
                <w:rFonts w:hint="eastAsia"/>
                <w:color w:val="auto"/>
                <w:sz w:val="24"/>
                <w:highlight w:val="none"/>
              </w:rPr>
              <w:t>。</w:t>
            </w:r>
          </w:p>
          <w:p w14:paraId="6AC6E791">
            <w:pPr>
              <w:adjustRightInd w:val="0"/>
              <w:snapToGrid w:val="0"/>
              <w:spacing w:line="360" w:lineRule="auto"/>
              <w:ind w:firstLine="480" w:firstLineChars="200"/>
              <w:rPr>
                <w:color w:val="auto"/>
                <w:sz w:val="24"/>
                <w:highlight w:val="none"/>
              </w:rPr>
            </w:pPr>
            <w:r>
              <w:rPr>
                <w:rFonts w:hint="eastAsia"/>
                <w:color w:val="auto"/>
                <w:sz w:val="24"/>
                <w:highlight w:val="none"/>
              </w:rPr>
              <w:t>同时项目所使用的</w:t>
            </w:r>
            <w:r>
              <w:rPr>
                <w:rFonts w:hint="eastAsia"/>
                <w:color w:val="auto"/>
                <w:sz w:val="24"/>
                <w:highlight w:val="none"/>
                <w:lang w:eastAsia="zh-CN"/>
              </w:rPr>
              <w:t>基酒中的</w:t>
            </w:r>
            <w:r>
              <w:rPr>
                <w:rFonts w:hint="eastAsia"/>
                <w:color w:val="auto"/>
                <w:sz w:val="24"/>
                <w:highlight w:val="none"/>
              </w:rPr>
              <w:t>乙醇不属于附录B中重点关注的危险物质，但乙醇属于危险化学品，项目</w:t>
            </w:r>
            <w:r>
              <w:rPr>
                <w:rFonts w:hint="eastAsia"/>
                <w:color w:val="auto"/>
                <w:sz w:val="24"/>
                <w:highlight w:val="none"/>
                <w:lang w:eastAsia="zh-CN"/>
              </w:rPr>
              <w:t>拟</w:t>
            </w:r>
            <w:r>
              <w:rPr>
                <w:rFonts w:hint="eastAsia"/>
                <w:color w:val="auto"/>
                <w:sz w:val="24"/>
                <w:highlight w:val="none"/>
              </w:rPr>
              <w:t>设置</w:t>
            </w:r>
            <w:r>
              <w:rPr>
                <w:rFonts w:hint="eastAsia"/>
                <w:color w:val="auto"/>
                <w:sz w:val="24"/>
                <w:highlight w:val="none"/>
                <w:lang w:eastAsia="zh-CN"/>
              </w:rPr>
              <w:t>食用酒（基酒）</w:t>
            </w:r>
            <w:r>
              <w:rPr>
                <w:rFonts w:hint="eastAsia"/>
                <w:color w:val="auto"/>
                <w:sz w:val="24"/>
                <w:highlight w:val="none"/>
              </w:rPr>
              <w:t>储罐，其最大存放量为</w:t>
            </w:r>
            <w:r>
              <w:rPr>
                <w:rFonts w:hint="eastAsia"/>
                <w:color w:val="auto"/>
                <w:sz w:val="24"/>
                <w:highlight w:val="none"/>
                <w:lang w:val="en-US" w:eastAsia="zh-CN"/>
              </w:rPr>
              <w:t>1t，其酒精度数约为30度，则乙醇含量约为0.237t，0.237</w:t>
            </w:r>
            <w:r>
              <w:rPr>
                <w:rFonts w:hint="eastAsia"/>
                <w:color w:val="auto"/>
                <w:sz w:val="24"/>
                <w:highlight w:val="none"/>
              </w:rPr>
              <w:t>t＜</w:t>
            </w:r>
            <w:r>
              <w:rPr>
                <w:rFonts w:hint="eastAsia"/>
                <w:color w:val="auto"/>
                <w:sz w:val="24"/>
                <w:highlight w:val="none"/>
                <w:lang w:eastAsia="zh-CN"/>
              </w:rPr>
              <w:t>临界量</w:t>
            </w:r>
            <w:r>
              <w:rPr>
                <w:rFonts w:hint="eastAsia"/>
                <w:color w:val="auto"/>
                <w:sz w:val="24"/>
                <w:highlight w:val="none"/>
              </w:rPr>
              <w:t>500t</w:t>
            </w:r>
            <w:r>
              <w:rPr>
                <w:rFonts w:hint="eastAsia"/>
                <w:color w:val="auto"/>
                <w:sz w:val="24"/>
                <w:highlight w:val="none"/>
                <w:lang w:eastAsia="zh-CN"/>
              </w:rPr>
              <w:t>，因此项目涉及的乙醇最大暂存量</w:t>
            </w:r>
            <w:r>
              <w:rPr>
                <w:rFonts w:hint="eastAsia"/>
                <w:color w:val="auto"/>
                <w:sz w:val="24"/>
                <w:highlight w:val="none"/>
              </w:rPr>
              <w:t>未超出《危险化学品重大危险源辨识》（GB18218-2018）临界量，为非重大危险源。</w:t>
            </w:r>
          </w:p>
          <w:p w14:paraId="19FBF222">
            <w:pPr>
              <w:adjustRightInd w:val="0"/>
              <w:snapToGrid w:val="0"/>
              <w:spacing w:line="360" w:lineRule="auto"/>
              <w:ind w:firstLine="480" w:firstLineChars="200"/>
              <w:rPr>
                <w:color w:val="auto"/>
                <w:sz w:val="24"/>
                <w:highlight w:val="none"/>
              </w:rPr>
            </w:pPr>
            <w:r>
              <w:rPr>
                <w:rFonts w:hint="eastAsia"/>
                <w:color w:val="auto"/>
                <w:sz w:val="24"/>
                <w:highlight w:val="none"/>
              </w:rPr>
              <w:t>因此，</w:t>
            </w:r>
            <w:r>
              <w:rPr>
                <w:color w:val="auto"/>
                <w:sz w:val="24"/>
                <w:highlight w:val="none"/>
              </w:rPr>
              <w:t>根据《建设项目环境风险评价技术导则》（HJ 169-2018）附录C，本项目环境风险潜势为Ⅰ</w:t>
            </w:r>
            <w:r>
              <w:rPr>
                <w:rFonts w:hint="eastAsia"/>
                <w:color w:val="auto"/>
                <w:sz w:val="24"/>
                <w:highlight w:val="none"/>
                <w:lang w:eastAsia="zh-CN"/>
              </w:rPr>
              <w:t>，本次进行简单分析</w:t>
            </w:r>
            <w:r>
              <w:rPr>
                <w:color w:val="auto"/>
                <w:sz w:val="24"/>
                <w:highlight w:val="none"/>
              </w:rPr>
              <w:t>。</w:t>
            </w:r>
          </w:p>
          <w:p w14:paraId="072F2DCF">
            <w:pPr>
              <w:pStyle w:val="62"/>
              <w:autoSpaceDE w:val="0"/>
              <w:autoSpaceDN w:val="0"/>
              <w:adjustRightInd w:val="0"/>
              <w:snapToGrid w:val="0"/>
              <w:spacing w:line="360" w:lineRule="auto"/>
              <w:ind w:firstLine="482"/>
              <w:rPr>
                <w:rFonts w:hint="eastAsia" w:ascii="Times New Roman" w:hAnsi="Times New Roman"/>
                <w:b/>
                <w:color w:val="auto"/>
                <w:sz w:val="24"/>
                <w:highlight w:val="none"/>
              </w:rPr>
            </w:pPr>
            <w:r>
              <w:rPr>
                <w:rFonts w:hint="eastAsia" w:ascii="Times New Roman" w:hAnsi="Times New Roman"/>
                <w:b/>
                <w:color w:val="auto"/>
                <w:sz w:val="24"/>
                <w:highlight w:val="none"/>
              </w:rPr>
              <w:t>2、风险源分布及影响途径</w:t>
            </w:r>
          </w:p>
          <w:p w14:paraId="5F9104BC">
            <w:pPr>
              <w:pStyle w:val="73"/>
              <w:adjustRightInd w:val="0"/>
              <w:snapToGrid w:val="0"/>
              <w:spacing w:line="360" w:lineRule="auto"/>
              <w:rPr>
                <w:rFonts w:hint="eastAsia" w:ascii="Times New Roman" w:hAnsi="Times New Roman"/>
                <w:bCs/>
                <w:color w:val="auto"/>
                <w:highlight w:val="none"/>
              </w:rPr>
            </w:pPr>
            <w:r>
              <w:rPr>
                <w:rFonts w:hint="eastAsia" w:ascii="Times New Roman" w:hAnsi="Times New Roman"/>
                <w:bCs/>
                <w:color w:val="auto"/>
                <w:highlight w:val="none"/>
              </w:rPr>
              <w:t>根据项目特性，本项目主要的危险物质是</w:t>
            </w:r>
            <w:r>
              <w:rPr>
                <w:rFonts w:hint="eastAsia" w:ascii="Times New Roman" w:hAnsi="Times New Roman"/>
                <w:bCs/>
                <w:color w:val="auto"/>
                <w:highlight w:val="none"/>
                <w:lang w:eastAsia="zh-CN"/>
              </w:rPr>
              <w:t>外购的食用醋</w:t>
            </w:r>
            <w:r>
              <w:rPr>
                <w:rFonts w:hint="eastAsia" w:ascii="Times New Roman" w:hAnsi="Times New Roman"/>
                <w:bCs/>
                <w:color w:val="auto"/>
                <w:highlight w:val="none"/>
              </w:rPr>
              <w:t>、</w:t>
            </w:r>
            <w:r>
              <w:rPr>
                <w:rFonts w:hint="eastAsia" w:ascii="Times New Roman" w:hAnsi="Times New Roman"/>
                <w:bCs/>
                <w:color w:val="auto"/>
                <w:highlight w:val="none"/>
                <w:lang w:eastAsia="zh-CN"/>
              </w:rPr>
              <w:t>食用酒</w:t>
            </w:r>
            <w:r>
              <w:rPr>
                <w:rFonts w:hint="eastAsia" w:ascii="Times New Roman" w:hAnsi="Times New Roman"/>
                <w:bCs/>
                <w:color w:val="auto"/>
                <w:highlight w:val="none"/>
              </w:rPr>
              <w:t>，分别储存于生产车间的</w:t>
            </w:r>
            <w:r>
              <w:rPr>
                <w:rFonts w:hint="eastAsia" w:ascii="Times New Roman" w:hAnsi="Times New Roman"/>
                <w:bCs/>
                <w:color w:val="auto"/>
                <w:highlight w:val="none"/>
                <w:lang w:eastAsia="zh-CN"/>
              </w:rPr>
              <w:t>对应储存罐</w:t>
            </w:r>
            <w:r>
              <w:rPr>
                <w:rFonts w:hint="eastAsia" w:ascii="Times New Roman" w:hAnsi="Times New Roman"/>
                <w:bCs/>
                <w:color w:val="auto"/>
                <w:highlight w:val="none"/>
              </w:rPr>
              <w:t>中。本项目危险物质向环境转移的途径</w:t>
            </w:r>
            <w:r>
              <w:rPr>
                <w:rFonts w:hint="eastAsia" w:ascii="Times New Roman" w:hAnsi="Times New Roman"/>
                <w:bCs/>
                <w:color w:val="auto"/>
                <w:highlight w:val="none"/>
                <w:lang w:eastAsia="zh-CN"/>
              </w:rPr>
              <w:t>主要</w:t>
            </w:r>
            <w:r>
              <w:rPr>
                <w:rFonts w:hint="eastAsia" w:ascii="Times New Roman" w:hAnsi="Times New Roman"/>
                <w:bCs/>
                <w:color w:val="auto"/>
                <w:highlight w:val="none"/>
              </w:rPr>
              <w:t>是</w:t>
            </w:r>
            <w:r>
              <w:rPr>
                <w:rFonts w:hint="eastAsia" w:ascii="Times New Roman" w:hAnsi="Times New Roman"/>
                <w:bCs/>
                <w:color w:val="auto"/>
                <w:highlight w:val="none"/>
                <w:lang w:eastAsia="zh-CN"/>
              </w:rPr>
              <w:t>非正常情况下物料及项目生产废水、生活污水</w:t>
            </w:r>
            <w:r>
              <w:rPr>
                <w:rFonts w:hint="eastAsia" w:ascii="Times New Roman" w:hAnsi="Times New Roman"/>
                <w:bCs/>
                <w:color w:val="auto"/>
                <w:highlight w:val="none"/>
              </w:rPr>
              <w:t>泄漏下渗到土壤、地下水中，进一步下渗污染到下游水源。</w:t>
            </w:r>
            <w:r>
              <w:rPr>
                <w:rFonts w:hint="eastAsia" w:ascii="Times New Roman" w:hAnsi="Times New Roman"/>
                <w:bCs/>
                <w:color w:val="auto"/>
                <w:highlight w:val="none"/>
                <w:lang w:eastAsia="zh-CN"/>
              </w:rPr>
              <w:t>项目外购基酒中含有</w:t>
            </w:r>
            <w:r>
              <w:rPr>
                <w:rFonts w:hint="eastAsia" w:ascii="Times New Roman" w:hAnsi="Times New Roman"/>
                <w:bCs/>
                <w:color w:val="auto"/>
                <w:highlight w:val="none"/>
              </w:rPr>
              <w:t>乙醇，属于易燃液体，如果发生泄漏、漫溢等，遇明火可导致火灾、爆炸事故。</w:t>
            </w:r>
          </w:p>
          <w:p w14:paraId="37F3EC5D">
            <w:pPr>
              <w:pStyle w:val="73"/>
              <w:adjustRightInd w:val="0"/>
              <w:snapToGrid w:val="0"/>
              <w:spacing w:line="360" w:lineRule="auto"/>
              <w:rPr>
                <w:rFonts w:hint="eastAsia" w:ascii="Times New Roman" w:hAnsi="Times New Roman"/>
                <w:bCs/>
                <w:color w:val="auto"/>
                <w:highlight w:val="none"/>
              </w:rPr>
            </w:pPr>
            <w:r>
              <w:rPr>
                <w:rFonts w:hint="eastAsia" w:ascii="Times New Roman" w:hAnsi="Times New Roman"/>
                <w:bCs/>
                <w:color w:val="auto"/>
                <w:highlight w:val="none"/>
              </w:rPr>
              <w:t>具体如下：</w:t>
            </w:r>
          </w:p>
          <w:p w14:paraId="6219C80F">
            <w:pPr>
              <w:pStyle w:val="73"/>
              <w:adjustRightInd w:val="0"/>
              <w:snapToGrid w:val="0"/>
              <w:spacing w:line="360" w:lineRule="auto"/>
              <w:rPr>
                <w:rFonts w:ascii="Times New Roman" w:hAnsi="Times New Roman"/>
                <w:bCs/>
                <w:color w:val="auto"/>
                <w:highlight w:val="none"/>
              </w:rPr>
            </w:pPr>
            <w:r>
              <w:rPr>
                <w:rFonts w:hint="eastAsia" w:ascii="宋体" w:hAnsi="宋体" w:eastAsia="宋体" w:cs="宋体"/>
                <w:bCs/>
                <w:color w:val="auto"/>
                <w:highlight w:val="none"/>
                <w:lang w:eastAsia="zh-CN"/>
              </w:rPr>
              <w:t>①</w:t>
            </w:r>
            <w:r>
              <w:rPr>
                <w:rFonts w:hint="eastAsia" w:ascii="Times New Roman" w:hAnsi="Times New Roman"/>
                <w:bCs/>
                <w:color w:val="auto"/>
                <w:highlight w:val="none"/>
                <w:lang w:eastAsia="zh-CN"/>
              </w:rPr>
              <w:t>物料及废水</w:t>
            </w:r>
            <w:r>
              <w:rPr>
                <w:rFonts w:ascii="Times New Roman" w:hAnsi="Times New Roman"/>
                <w:bCs/>
                <w:color w:val="auto"/>
                <w:highlight w:val="none"/>
              </w:rPr>
              <w:t>泄漏：</w:t>
            </w:r>
            <w:r>
              <w:rPr>
                <w:rFonts w:hint="eastAsia" w:ascii="Times New Roman" w:hAnsi="Times New Roman"/>
                <w:bCs/>
                <w:color w:val="auto"/>
                <w:highlight w:val="none"/>
                <w:lang w:eastAsia="zh-CN"/>
              </w:rPr>
              <w:t>外购食用醋、基酒及废水、检验废液</w:t>
            </w:r>
            <w:r>
              <w:rPr>
                <w:rFonts w:ascii="Times New Roman" w:hAnsi="Times New Roman"/>
                <w:bCs/>
                <w:color w:val="auto"/>
                <w:highlight w:val="none"/>
              </w:rPr>
              <w:t>发生泄漏，通过雨水管网、污水管网流入区域地表水体，可能造成区域地表水的污染事故。若</w:t>
            </w:r>
            <w:r>
              <w:rPr>
                <w:rFonts w:hint="eastAsia" w:ascii="Times New Roman" w:hAnsi="Times New Roman"/>
                <w:bCs/>
                <w:color w:val="auto"/>
                <w:highlight w:val="none"/>
                <w:lang w:eastAsia="zh-CN"/>
              </w:rPr>
              <w:t>污水沉淀池</w:t>
            </w:r>
            <w:r>
              <w:rPr>
                <w:rFonts w:ascii="Times New Roman" w:hAnsi="Times New Roman"/>
                <w:bCs/>
                <w:color w:val="auto"/>
                <w:highlight w:val="none"/>
              </w:rPr>
              <w:t>区</w:t>
            </w:r>
            <w:r>
              <w:rPr>
                <w:rFonts w:hint="eastAsia" w:ascii="Times New Roman" w:hAnsi="Times New Roman"/>
                <w:bCs/>
                <w:color w:val="auto"/>
                <w:highlight w:val="none"/>
                <w:lang w:eastAsia="zh-CN"/>
              </w:rPr>
              <w:t>或危废贮存库</w:t>
            </w:r>
            <w:r>
              <w:rPr>
                <w:rFonts w:ascii="Times New Roman" w:hAnsi="Times New Roman"/>
                <w:bCs/>
                <w:color w:val="auto"/>
                <w:highlight w:val="none"/>
              </w:rPr>
              <w:t>防渗、防漏设施不完善，可能造成土壤的污染；渗入地下水，可能造成地下水的污染事故。</w:t>
            </w:r>
          </w:p>
          <w:p w14:paraId="43FA9C52">
            <w:pPr>
              <w:pStyle w:val="73"/>
              <w:adjustRightInd w:val="0"/>
              <w:snapToGrid w:val="0"/>
              <w:spacing w:line="360" w:lineRule="auto"/>
              <w:rPr>
                <w:rFonts w:ascii="Times New Roman" w:hAnsi="Times New Roman"/>
                <w:bCs/>
                <w:color w:val="auto"/>
                <w:highlight w:val="none"/>
              </w:rPr>
            </w:pPr>
            <w:r>
              <w:rPr>
                <w:rFonts w:ascii="Times New Roman" w:hAnsi="Times New Roman"/>
                <w:bCs/>
                <w:color w:val="auto"/>
                <w:highlight w:val="none"/>
              </w:rPr>
              <w:t>②</w:t>
            </w:r>
            <w:r>
              <w:rPr>
                <w:rFonts w:hint="eastAsia" w:ascii="Times New Roman" w:hAnsi="Times New Roman"/>
                <w:color w:val="auto"/>
                <w:kern w:val="0"/>
                <w:highlight w:val="none"/>
                <w:lang w:eastAsia="zh-CN"/>
              </w:rPr>
              <w:t>基酒</w:t>
            </w:r>
            <w:r>
              <w:rPr>
                <w:rFonts w:ascii="Times New Roman" w:hAnsi="Times New Roman"/>
                <w:color w:val="auto"/>
                <w:kern w:val="0"/>
                <w:highlight w:val="none"/>
              </w:rPr>
              <w:t>危险特性：</w:t>
            </w:r>
            <w:r>
              <w:rPr>
                <w:rFonts w:hint="eastAsia" w:ascii="Times New Roman" w:hAnsi="Times New Roman"/>
                <w:color w:val="auto"/>
                <w:kern w:val="0"/>
                <w:highlight w:val="none"/>
                <w:lang w:eastAsia="zh-CN"/>
              </w:rPr>
              <w:t>基酒中含有乙醇，</w:t>
            </w:r>
            <w:r>
              <w:rPr>
                <w:rFonts w:ascii="Times New Roman" w:hAnsi="Times New Roman"/>
                <w:color w:val="auto"/>
                <w:kern w:val="0"/>
                <w:highlight w:val="none"/>
              </w:rPr>
              <w:t>易燃，其蒸气与空气可形成爆炸性混合物。遇明火、高热能引起燃烧爆炸。在火场中，受热的容器有爆炸危险。其蒸气比空气重，能在较低处扩散到相当远的地方，遇明火会引着回燃。燃烧(分解)产物：一氧化碳、二氧化碳。</w:t>
            </w:r>
          </w:p>
          <w:p w14:paraId="3545FAD5">
            <w:pPr>
              <w:pStyle w:val="62"/>
              <w:autoSpaceDE w:val="0"/>
              <w:autoSpaceDN w:val="0"/>
              <w:adjustRightInd w:val="0"/>
              <w:snapToGrid w:val="0"/>
              <w:spacing w:line="360" w:lineRule="auto"/>
              <w:ind w:firstLine="482"/>
              <w:rPr>
                <w:rFonts w:ascii="Times New Roman" w:hAnsi="Times New Roman"/>
                <w:b/>
                <w:color w:val="auto"/>
                <w:sz w:val="24"/>
                <w:highlight w:val="none"/>
              </w:rPr>
            </w:pPr>
            <w:r>
              <w:rPr>
                <w:rFonts w:ascii="Times New Roman" w:hAnsi="Times New Roman"/>
                <w:b/>
                <w:color w:val="auto"/>
                <w:sz w:val="24"/>
                <w:highlight w:val="none"/>
              </w:rPr>
              <w:t>3、环境风险防范措施及应急要求</w:t>
            </w:r>
          </w:p>
          <w:p w14:paraId="5DD9DC5B">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（1）</w:t>
            </w:r>
            <w:r>
              <w:rPr>
                <w:rFonts w:hint="eastAsia"/>
                <w:color w:val="auto"/>
                <w:kern w:val="0"/>
                <w:sz w:val="24"/>
                <w:highlight w:val="none"/>
                <w:lang w:eastAsia="zh-CN"/>
              </w:rPr>
              <w:t>危废贮存库</w:t>
            </w:r>
            <w:r>
              <w:rPr>
                <w:color w:val="auto"/>
                <w:kern w:val="0"/>
                <w:sz w:val="24"/>
                <w:highlight w:val="none"/>
              </w:rPr>
              <w:t>防渗及截流措施</w:t>
            </w:r>
          </w:p>
          <w:p w14:paraId="5EF69C4B">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企业</w:t>
            </w:r>
            <w:r>
              <w:rPr>
                <w:rFonts w:hint="eastAsia"/>
                <w:color w:val="auto"/>
                <w:kern w:val="0"/>
                <w:sz w:val="24"/>
                <w:highlight w:val="none"/>
                <w:lang w:eastAsia="zh-CN"/>
              </w:rPr>
              <w:t>危废贮存库</w:t>
            </w:r>
            <w:r>
              <w:rPr>
                <w:color w:val="auto"/>
                <w:kern w:val="0"/>
                <w:sz w:val="24"/>
                <w:highlight w:val="none"/>
              </w:rPr>
              <w:t>作为重点防渗区。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color w:val="auto"/>
                <w:kern w:val="0"/>
                <w:sz w:val="24"/>
                <w:highlight w:val="none"/>
                <w:vertAlign w:val="superscript"/>
              </w:rPr>
              <w:t>-7</w:t>
            </w:r>
            <w:r>
              <w:rPr>
                <w:color w:val="auto"/>
                <w:kern w:val="0"/>
                <w:sz w:val="24"/>
                <w:highlight w:val="none"/>
              </w:rPr>
              <w:t>cm/s），或至少2mm厚高密度聚乙烯膜等人工防渗材料（渗透系数不大于10</w:t>
            </w:r>
            <w:r>
              <w:rPr>
                <w:color w:val="auto"/>
                <w:kern w:val="0"/>
                <w:sz w:val="24"/>
                <w:highlight w:val="none"/>
                <w:vertAlign w:val="superscript"/>
              </w:rPr>
              <w:t>-10</w:t>
            </w:r>
            <w:r>
              <w:rPr>
                <w:color w:val="auto"/>
                <w:kern w:val="0"/>
                <w:sz w:val="24"/>
                <w:highlight w:val="none"/>
              </w:rPr>
              <w:t>cm/s），或其他防渗性能等效的材料。同时，配置堵截泄漏的裙角。企业安排专人负责危废管理。</w:t>
            </w:r>
          </w:p>
          <w:p w14:paraId="03A16638">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（2）危废泄漏事件的预防措施</w:t>
            </w:r>
          </w:p>
          <w:p w14:paraId="6F11BCB1">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lang w:eastAsia="zh-CN"/>
              </w:rPr>
              <w:t>危废贮存库</w:t>
            </w:r>
            <w:r>
              <w:rPr>
                <w:color w:val="auto"/>
                <w:kern w:val="0"/>
                <w:sz w:val="24"/>
                <w:highlight w:val="none"/>
              </w:rPr>
              <w:t>地面和墙面做好防渗漏、防腐蚀的涂层，液体危废桶盛并加盖。各种危废分开整齐堆放，并设置标识；各危废认真清点，并做好台账，管理人员必须按照规定管理，认真入库管理，如有问题及时沟通协调解决。突发泄漏时，可将泄漏物料控制在暂存间并将其大部分重新收集至贮桶内。通常回收完泄漏的物料后，用干砂、泥土或类似吸附剂吸附泄漏物，并收集到指定容器内，不允许出现随意丢弃现象，由有资质单位进行处置。发生该类事故，只要措施控制得当，不会造成泄漏物外排。</w:t>
            </w:r>
          </w:p>
          <w:p w14:paraId="6C6B324E">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（3）</w:t>
            </w:r>
            <w:r>
              <w:rPr>
                <w:rFonts w:hint="eastAsia"/>
                <w:color w:val="auto"/>
                <w:kern w:val="0"/>
                <w:sz w:val="24"/>
                <w:highlight w:val="none"/>
                <w:lang w:eastAsia="zh-CN"/>
              </w:rPr>
              <w:t>物料</w:t>
            </w:r>
            <w:r>
              <w:rPr>
                <w:color w:val="auto"/>
                <w:kern w:val="0"/>
                <w:sz w:val="24"/>
                <w:highlight w:val="none"/>
              </w:rPr>
              <w:t>泄漏的预防措施</w:t>
            </w:r>
          </w:p>
          <w:p w14:paraId="575BED71">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在</w:t>
            </w:r>
            <w:r>
              <w:rPr>
                <w:rFonts w:hint="eastAsia"/>
                <w:color w:val="auto"/>
                <w:kern w:val="0"/>
                <w:sz w:val="24"/>
                <w:highlight w:val="none"/>
                <w:lang w:eastAsia="zh-CN"/>
              </w:rPr>
              <w:t>物料</w:t>
            </w:r>
            <w:r>
              <w:rPr>
                <w:color w:val="auto"/>
                <w:kern w:val="0"/>
                <w:sz w:val="24"/>
                <w:highlight w:val="none"/>
              </w:rPr>
              <w:t>罐区设立警示标志。在</w:t>
            </w:r>
            <w:r>
              <w:rPr>
                <w:rFonts w:hint="eastAsia"/>
                <w:color w:val="auto"/>
                <w:kern w:val="0"/>
                <w:sz w:val="24"/>
                <w:highlight w:val="none"/>
                <w:lang w:eastAsia="zh-CN"/>
              </w:rPr>
              <w:t>基酒储存区及食用酸储罐</w:t>
            </w:r>
            <w:r>
              <w:rPr>
                <w:color w:val="auto"/>
                <w:kern w:val="0"/>
                <w:sz w:val="24"/>
                <w:highlight w:val="none"/>
              </w:rPr>
              <w:t>设置围堰</w:t>
            </w:r>
            <w:r>
              <w:rPr>
                <w:rFonts w:hint="eastAsia"/>
                <w:color w:val="auto"/>
                <w:kern w:val="0"/>
                <w:sz w:val="24"/>
                <w:highlight w:val="none"/>
                <w:lang w:eastAsia="zh-CN"/>
              </w:rPr>
              <w:t>，对</w:t>
            </w:r>
            <w:r>
              <w:rPr>
                <w:color w:val="auto"/>
                <w:kern w:val="0"/>
                <w:sz w:val="24"/>
                <w:highlight w:val="none"/>
              </w:rPr>
              <w:t>地面进行</w:t>
            </w:r>
            <w:r>
              <w:rPr>
                <w:rFonts w:hint="eastAsia"/>
                <w:color w:val="auto"/>
                <w:kern w:val="0"/>
                <w:sz w:val="24"/>
                <w:highlight w:val="none"/>
                <w:lang w:eastAsia="zh-CN"/>
              </w:rPr>
              <w:t>一般</w:t>
            </w:r>
            <w:r>
              <w:rPr>
                <w:color w:val="auto"/>
                <w:kern w:val="0"/>
                <w:sz w:val="24"/>
                <w:highlight w:val="none"/>
              </w:rPr>
              <w:t>防渗处理。</w:t>
            </w:r>
          </w:p>
          <w:p w14:paraId="689E6DFD">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小量泄漏：将沙土、干燥的石灰或者苏打灰混合均匀，覆盖在泄漏的区域；也可用大量的清水进行冲洗，冲洗后的废液收集导流进入废水系统，不可</w:t>
            </w:r>
            <w:r>
              <w:rPr>
                <w:rFonts w:hint="eastAsia"/>
                <w:color w:val="auto"/>
                <w:kern w:val="0"/>
                <w:sz w:val="24"/>
                <w:highlight w:val="none"/>
                <w:lang w:eastAsia="zh-CN"/>
              </w:rPr>
              <w:t>直接排放</w:t>
            </w:r>
            <w:r>
              <w:rPr>
                <w:color w:val="auto"/>
                <w:kern w:val="0"/>
                <w:sz w:val="24"/>
                <w:highlight w:val="none"/>
              </w:rPr>
              <w:t>。</w:t>
            </w:r>
          </w:p>
          <w:p w14:paraId="51DFCB79">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大量泄漏：</w:t>
            </w:r>
            <w:r>
              <w:rPr>
                <w:rFonts w:hint="eastAsia"/>
                <w:color w:val="auto"/>
                <w:kern w:val="0"/>
                <w:sz w:val="24"/>
                <w:highlight w:val="none"/>
                <w:lang w:eastAsia="zh-CN"/>
              </w:rPr>
              <w:t>将泄漏物</w:t>
            </w:r>
            <w:r>
              <w:rPr>
                <w:color w:val="auto"/>
                <w:kern w:val="0"/>
                <w:sz w:val="24"/>
                <w:highlight w:val="none"/>
              </w:rPr>
              <w:t>用泵转移至专门的收集容器内，对泄漏液进行回收，再用大量的清水进行冲洗，冲洗后的废液收集导流进入废水系统，不可</w:t>
            </w:r>
            <w:r>
              <w:rPr>
                <w:rFonts w:hint="eastAsia"/>
                <w:color w:val="auto"/>
                <w:kern w:val="0"/>
                <w:sz w:val="24"/>
                <w:highlight w:val="none"/>
                <w:lang w:eastAsia="zh-CN"/>
              </w:rPr>
              <w:t>直接排放</w:t>
            </w:r>
            <w:r>
              <w:rPr>
                <w:color w:val="auto"/>
                <w:kern w:val="0"/>
                <w:sz w:val="24"/>
                <w:highlight w:val="none"/>
              </w:rPr>
              <w:t>。</w:t>
            </w:r>
          </w:p>
          <w:p w14:paraId="08A37121">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应急处理：首先将</w:t>
            </w:r>
            <w:r>
              <w:rPr>
                <w:rFonts w:hint="eastAsia"/>
                <w:color w:val="auto"/>
                <w:kern w:val="0"/>
                <w:sz w:val="24"/>
                <w:highlight w:val="none"/>
                <w:lang w:eastAsia="zh-CN"/>
              </w:rPr>
              <w:t>储存区</w:t>
            </w:r>
            <w:r>
              <w:rPr>
                <w:color w:val="auto"/>
                <w:kern w:val="0"/>
                <w:sz w:val="24"/>
                <w:highlight w:val="none"/>
              </w:rPr>
              <w:t>内泄漏污染区的人员进行撤离，将现场进行隔离，做出</w:t>
            </w:r>
            <w:r>
              <w:rPr>
                <w:rFonts w:hint="eastAsia"/>
                <w:color w:val="auto"/>
                <w:kern w:val="0"/>
                <w:sz w:val="24"/>
                <w:highlight w:val="none"/>
                <w:lang w:eastAsia="zh-CN"/>
              </w:rPr>
              <w:t>警示标志</w:t>
            </w:r>
            <w:r>
              <w:rPr>
                <w:color w:val="auto"/>
                <w:kern w:val="0"/>
                <w:sz w:val="24"/>
                <w:highlight w:val="none"/>
              </w:rPr>
              <w:t>，严格限制非相关人员进出。对于进入罐区进行应急处理的人员，必须</w:t>
            </w:r>
            <w:r>
              <w:rPr>
                <w:rFonts w:hint="eastAsia"/>
                <w:color w:val="auto"/>
                <w:kern w:val="0"/>
                <w:sz w:val="24"/>
                <w:highlight w:val="none"/>
                <w:lang w:eastAsia="zh-CN"/>
              </w:rPr>
              <w:t>佩戴</w:t>
            </w:r>
            <w:r>
              <w:rPr>
                <w:color w:val="auto"/>
                <w:kern w:val="0"/>
                <w:sz w:val="24"/>
                <w:highlight w:val="none"/>
              </w:rPr>
              <w:t>空气呼吸器，穿戴相应的防护工作服。处理时，绝对不可直接接触泄漏物，尽可能判断出泄漏的部位并对泄漏源进行切断。</w:t>
            </w:r>
          </w:p>
          <w:p w14:paraId="70099237">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为加强对危险源的监督管理，有效防范事故的发生，应对</w:t>
            </w:r>
            <w:r>
              <w:rPr>
                <w:rFonts w:hint="eastAsia"/>
                <w:color w:val="auto"/>
                <w:kern w:val="0"/>
                <w:sz w:val="24"/>
                <w:highlight w:val="none"/>
                <w:lang w:eastAsia="zh-CN"/>
              </w:rPr>
              <w:t>食用醋、食用酒等物料储罐</w:t>
            </w:r>
            <w:r>
              <w:rPr>
                <w:color w:val="auto"/>
                <w:kern w:val="0"/>
                <w:sz w:val="24"/>
                <w:highlight w:val="none"/>
              </w:rPr>
              <w:t>安装液体</w:t>
            </w:r>
            <w:r>
              <w:rPr>
                <w:rFonts w:hint="eastAsia"/>
                <w:color w:val="auto"/>
                <w:kern w:val="0"/>
                <w:sz w:val="24"/>
                <w:highlight w:val="none"/>
                <w:lang w:eastAsia="zh-CN"/>
              </w:rPr>
              <w:t>泄漏检测</w:t>
            </w:r>
            <w:r>
              <w:rPr>
                <w:color w:val="auto"/>
                <w:kern w:val="0"/>
                <w:sz w:val="24"/>
                <w:highlight w:val="none"/>
              </w:rPr>
              <w:t>报警设备达到及时预警的目的</w:t>
            </w:r>
          </w:p>
          <w:p w14:paraId="48134A7E">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（4）</w:t>
            </w:r>
            <w:r>
              <w:rPr>
                <w:rFonts w:hint="eastAsia"/>
                <w:color w:val="auto"/>
                <w:kern w:val="0"/>
                <w:sz w:val="24"/>
                <w:highlight w:val="none"/>
                <w:lang w:eastAsia="zh-CN"/>
              </w:rPr>
              <w:t>基酒泄漏</w:t>
            </w:r>
            <w:r>
              <w:rPr>
                <w:color w:val="auto"/>
                <w:kern w:val="0"/>
                <w:sz w:val="24"/>
                <w:highlight w:val="none"/>
              </w:rPr>
              <w:t>环境风险防范措施</w:t>
            </w:r>
          </w:p>
          <w:p w14:paraId="02F4437A">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严格执行设计防火规范，保证建造质量，严格安全生产制度、严格管理，提高操作人员的素质和水平，以减少事故的发生。一旦发生事故，则要根据具体情况采取应急措施，迅速切断泄漏源，控制事故扩大；立即报警；采取遏制泄漏物进入环境的紧急措施等。</w:t>
            </w:r>
          </w:p>
          <w:p w14:paraId="6E42E4E0">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防泄漏措施：</w:t>
            </w:r>
          </w:p>
          <w:p w14:paraId="1021FFBF">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①</w:t>
            </w:r>
            <w:r>
              <w:rPr>
                <w:rFonts w:hint="eastAsia"/>
                <w:color w:val="auto"/>
                <w:kern w:val="0"/>
                <w:sz w:val="24"/>
                <w:highlight w:val="none"/>
                <w:lang w:eastAsia="zh-CN"/>
              </w:rPr>
              <w:t>基酒</w:t>
            </w:r>
            <w:r>
              <w:rPr>
                <w:color w:val="auto"/>
                <w:kern w:val="0"/>
                <w:sz w:val="24"/>
                <w:highlight w:val="none"/>
              </w:rPr>
              <w:t>贮罐采用的材质应符合不易变形、不产生裂缝、不腐蚀、经久耐用等要求；</w:t>
            </w:r>
          </w:p>
          <w:p w14:paraId="7A3B72C4">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②严格控制车间内部罐体的加工安装质量，罐体使用前及生产过程中应定期进行严格的接缝探伤、试压试漏等质量检验，与罐体连接的管道也应定期进行探伤及泄漏检验，储罐区采取防渗措施。</w:t>
            </w:r>
          </w:p>
          <w:p w14:paraId="52C2B3DB">
            <w:pPr>
              <w:autoSpaceDE w:val="0"/>
              <w:autoSpaceDN w:val="0"/>
              <w:adjustRightInd w:val="0"/>
              <w:spacing w:line="360" w:lineRule="auto"/>
              <w:ind w:firstLine="480" w:firstLineChars="200"/>
              <w:rPr>
                <w:color w:val="auto"/>
                <w:kern w:val="0"/>
                <w:sz w:val="24"/>
                <w:highlight w:val="none"/>
              </w:rPr>
            </w:pPr>
            <w:r>
              <w:rPr>
                <w:rFonts w:hint="eastAsia"/>
                <w:color w:val="auto"/>
                <w:kern w:val="0"/>
                <w:sz w:val="24"/>
                <w:highlight w:val="none"/>
                <w:lang w:eastAsia="zh-CN"/>
              </w:rPr>
              <w:t>要求储罐</w:t>
            </w:r>
            <w:r>
              <w:rPr>
                <w:color w:val="auto"/>
                <w:kern w:val="0"/>
                <w:sz w:val="24"/>
                <w:highlight w:val="none"/>
              </w:rPr>
              <w:t>罐区采取防渗措施，罐区上方设置隔离网。</w:t>
            </w:r>
          </w:p>
          <w:p w14:paraId="56A05BA6">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③车间内供水管道与污水管道应分开设计，避免发生泄漏事故时，泄漏物料进入供水管道。</w:t>
            </w:r>
          </w:p>
          <w:p w14:paraId="2F34E412">
            <w:pPr>
              <w:tabs>
                <w:tab w:val="left" w:pos="671"/>
              </w:tabs>
              <w:autoSpaceDE w:val="0"/>
              <w:autoSpaceDN w:val="0"/>
              <w:adjustRightInd w:val="0"/>
              <w:spacing w:line="360" w:lineRule="auto"/>
              <w:ind w:firstLine="480" w:firstLineChars="200"/>
              <w:rPr>
                <w:color w:val="auto"/>
                <w:kern w:val="0"/>
                <w:sz w:val="24"/>
                <w:highlight w:val="none"/>
              </w:rPr>
            </w:pPr>
            <w:r>
              <w:rPr>
                <w:color w:val="auto"/>
                <w:kern w:val="0"/>
                <w:sz w:val="24"/>
                <w:highlight w:val="none"/>
              </w:rPr>
              <w:t>④</w:t>
            </w:r>
            <w:r>
              <w:rPr>
                <w:rFonts w:hint="eastAsia"/>
                <w:color w:val="auto"/>
                <w:kern w:val="0"/>
                <w:sz w:val="24"/>
                <w:highlight w:val="none"/>
                <w:lang w:eastAsia="zh-CN"/>
              </w:rPr>
              <w:t>生产车间</w:t>
            </w:r>
            <w:r>
              <w:rPr>
                <w:color w:val="auto"/>
                <w:kern w:val="0"/>
                <w:sz w:val="24"/>
                <w:highlight w:val="none"/>
              </w:rPr>
              <w:t>内各类物料储罐地面应设置耐腐蚀防渗硬化地面，地表应平整无裂痕。</w:t>
            </w:r>
          </w:p>
          <w:p w14:paraId="09A1CF9A">
            <w:pPr>
              <w:autoSpaceDE w:val="0"/>
              <w:autoSpaceDN w:val="0"/>
              <w:adjustRightInd w:val="0"/>
              <w:spacing w:line="360" w:lineRule="auto"/>
              <w:ind w:firstLine="480" w:firstLineChars="200"/>
              <w:rPr>
                <w:color w:val="auto"/>
                <w:kern w:val="0"/>
                <w:sz w:val="24"/>
                <w:highlight w:val="none"/>
              </w:rPr>
            </w:pPr>
            <w:r>
              <w:rPr>
                <w:color w:val="auto"/>
                <w:kern w:val="0"/>
                <w:sz w:val="24"/>
                <w:highlight w:val="none"/>
              </w:rPr>
              <w:t>⑤在进行事故处置时，应严禁明火作业，避免在事故处置过程中引发次生事故灾害。</w:t>
            </w:r>
          </w:p>
          <w:p w14:paraId="0468522F">
            <w:pPr>
              <w:pStyle w:val="8"/>
              <w:rPr>
                <w:color w:val="auto"/>
                <w:kern w:val="0"/>
                <w:sz w:val="24"/>
                <w:highlight w:val="none"/>
              </w:rPr>
            </w:pPr>
          </w:p>
          <w:p w14:paraId="23F42706">
            <w:pPr>
              <w:rPr>
                <w:color w:val="auto"/>
                <w:kern w:val="0"/>
                <w:sz w:val="24"/>
                <w:highlight w:val="none"/>
              </w:rPr>
            </w:pPr>
          </w:p>
          <w:p w14:paraId="0CC0F7AC">
            <w:pPr>
              <w:pStyle w:val="8"/>
              <w:rPr>
                <w:color w:val="auto"/>
                <w:kern w:val="0"/>
                <w:sz w:val="24"/>
                <w:highlight w:val="none"/>
              </w:rPr>
            </w:pPr>
          </w:p>
          <w:p w14:paraId="50DFFC35">
            <w:pPr>
              <w:rPr>
                <w:color w:val="auto"/>
                <w:kern w:val="0"/>
                <w:sz w:val="24"/>
                <w:highlight w:val="none"/>
              </w:rPr>
            </w:pPr>
          </w:p>
          <w:p w14:paraId="1A3FFEE1">
            <w:pPr>
              <w:pStyle w:val="43"/>
              <w:rPr>
                <w:rFonts w:hint="eastAsia"/>
                <w:color w:val="auto"/>
                <w:highlight w:val="none"/>
              </w:rPr>
            </w:pPr>
          </w:p>
        </w:tc>
      </w:tr>
    </w:tbl>
    <w:p w14:paraId="0E42B37A">
      <w:pPr>
        <w:adjustRightInd w:val="0"/>
        <w:snapToGrid w:val="0"/>
        <w:spacing w:line="360" w:lineRule="auto"/>
        <w:rPr>
          <w:rFonts w:hint="eastAsia" w:ascii="宋体" w:cs="宋体"/>
          <w:b/>
          <w:color w:val="auto"/>
          <w:kern w:val="0"/>
          <w:sz w:val="28"/>
          <w:szCs w:val="28"/>
          <w:highlight w:val="none"/>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1B1FA277">
      <w:pPr>
        <w:pStyle w:val="2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5" w:name="_Hlk54167917"/>
      <w:r>
        <w:rPr>
          <w:rFonts w:hint="eastAsia" w:ascii="黑体" w:hAnsi="黑体" w:eastAsia="黑体"/>
          <w:snapToGrid w:val="0"/>
          <w:color w:val="auto"/>
          <w:sz w:val="30"/>
          <w:szCs w:val="30"/>
          <w:highlight w:val="none"/>
        </w:rPr>
        <w:t>环境保护措施监督检查清单</w:t>
      </w:r>
      <w:bookmarkEnd w:id="5"/>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559"/>
        <w:gridCol w:w="1276"/>
        <w:gridCol w:w="2239"/>
        <w:gridCol w:w="2188"/>
      </w:tblGrid>
      <w:tr w14:paraId="75B9A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14:paraId="151E8CCF">
            <w:pPr>
              <w:adjustRightInd w:val="0"/>
              <w:snapToGrid w:val="0"/>
              <w:ind w:firstLine="840"/>
              <w:rPr>
                <w:rFonts w:hint="eastAsia" w:ascii="宋体" w:hAnsi="宋体" w:cs="宋体"/>
                <w:color w:val="auto"/>
                <w:szCs w:val="21"/>
                <w:highlight w:val="none"/>
              </w:rPr>
            </w:pPr>
            <w:r>
              <w:rPr>
                <w:rFonts w:hint="eastAsia" w:ascii="宋体" w:hAnsi="宋体" w:cs="宋体"/>
                <w:color w:val="auto"/>
                <w:szCs w:val="21"/>
                <w:highlight w:val="none"/>
              </w:rPr>
              <w:t>内容</w:t>
            </w:r>
          </w:p>
          <w:p w14:paraId="27EE6708">
            <w:pPr>
              <w:adjustRightInd w:val="0"/>
              <w:snapToGrid w:val="0"/>
              <w:rPr>
                <w:rFonts w:hint="eastAsia" w:ascii="宋体" w:hAnsi="宋体" w:cs="宋体"/>
                <w:color w:val="auto"/>
                <w:szCs w:val="21"/>
                <w:highlight w:val="none"/>
              </w:rPr>
            </w:pPr>
            <w:r>
              <w:rPr>
                <w:rFonts w:hint="eastAsia" w:ascii="宋体" w:hAnsi="宋体" w:cs="宋体"/>
                <w:color w:val="auto"/>
                <w:szCs w:val="21"/>
                <w:highlight w:val="none"/>
              </w:rPr>
              <w:t>要素</w:t>
            </w:r>
          </w:p>
        </w:tc>
        <w:tc>
          <w:tcPr>
            <w:tcW w:w="1559" w:type="dxa"/>
            <w:noWrap w:val="0"/>
            <w:vAlign w:val="center"/>
          </w:tcPr>
          <w:p w14:paraId="0C1033E8">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排放口(编号、</w:t>
            </w:r>
          </w:p>
          <w:p w14:paraId="75329BA0">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名称)/污染源</w:t>
            </w:r>
          </w:p>
        </w:tc>
        <w:tc>
          <w:tcPr>
            <w:tcW w:w="1276" w:type="dxa"/>
            <w:noWrap w:val="0"/>
            <w:vAlign w:val="center"/>
          </w:tcPr>
          <w:p w14:paraId="03F90F25">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污染物项目</w:t>
            </w:r>
          </w:p>
        </w:tc>
        <w:tc>
          <w:tcPr>
            <w:tcW w:w="2239" w:type="dxa"/>
            <w:noWrap w:val="0"/>
            <w:vAlign w:val="center"/>
          </w:tcPr>
          <w:p w14:paraId="33C1B52D">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环境保护措施</w:t>
            </w:r>
          </w:p>
        </w:tc>
        <w:tc>
          <w:tcPr>
            <w:tcW w:w="2188" w:type="dxa"/>
            <w:noWrap w:val="0"/>
            <w:vAlign w:val="center"/>
          </w:tcPr>
          <w:p w14:paraId="46174687">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执行标准</w:t>
            </w:r>
          </w:p>
        </w:tc>
      </w:tr>
      <w:tr w14:paraId="49FE5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38" w:type="dxa"/>
            <w:vMerge w:val="restart"/>
            <w:noWrap w:val="0"/>
            <w:vAlign w:val="center"/>
          </w:tcPr>
          <w:p w14:paraId="29057771">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大气环境</w:t>
            </w:r>
          </w:p>
        </w:tc>
        <w:tc>
          <w:tcPr>
            <w:tcW w:w="1559" w:type="dxa"/>
            <w:noWrap w:val="0"/>
            <w:vAlign w:val="center"/>
          </w:tcPr>
          <w:p w14:paraId="20D060CB">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蒸煮</w:t>
            </w:r>
          </w:p>
        </w:tc>
        <w:tc>
          <w:tcPr>
            <w:tcW w:w="1276" w:type="dxa"/>
            <w:noWrap w:val="0"/>
            <w:vAlign w:val="center"/>
          </w:tcPr>
          <w:p w14:paraId="1BCB61C6">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蒸煮异味</w:t>
            </w:r>
          </w:p>
        </w:tc>
        <w:tc>
          <w:tcPr>
            <w:tcW w:w="2239" w:type="dxa"/>
            <w:noWrap w:val="0"/>
            <w:vAlign w:val="center"/>
          </w:tcPr>
          <w:p w14:paraId="1C2272BF">
            <w:pPr>
              <w:adjustRightInd w:val="0"/>
              <w:snapToGrid w:val="0"/>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加强车间通风</w:t>
            </w:r>
          </w:p>
        </w:tc>
        <w:tc>
          <w:tcPr>
            <w:tcW w:w="2188" w:type="dxa"/>
            <w:noWrap w:val="0"/>
            <w:vAlign w:val="center"/>
          </w:tcPr>
          <w:p w14:paraId="7F9CA691">
            <w:pPr>
              <w:adjustRightInd w:val="0"/>
              <w:snapToGrid w:val="0"/>
              <w:jc w:val="center"/>
              <w:rPr>
                <w:rFonts w:hint="eastAsia" w:ascii="宋体" w:hAnsi="宋体" w:eastAsia="宋体" w:cs="宋体"/>
                <w:color w:val="auto"/>
                <w:szCs w:val="21"/>
                <w:highlight w:val="none"/>
                <w:lang w:eastAsia="zh-CN"/>
              </w:rPr>
            </w:pPr>
            <w:r>
              <w:rPr>
                <w:rFonts w:hint="eastAsia"/>
                <w:color w:val="auto"/>
                <w:szCs w:val="21"/>
                <w:highlight w:val="none"/>
                <w:lang w:val="en-US" w:eastAsia="zh-CN"/>
              </w:rPr>
              <w:t>/</w:t>
            </w:r>
          </w:p>
        </w:tc>
      </w:tr>
      <w:tr w14:paraId="0EC7D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14:paraId="6FAF2984">
            <w:pPr>
              <w:adjustRightInd w:val="0"/>
              <w:snapToGrid w:val="0"/>
              <w:jc w:val="center"/>
              <w:rPr>
                <w:rFonts w:hint="eastAsia" w:ascii="宋体" w:hAnsi="宋体" w:cs="宋体"/>
                <w:color w:val="auto"/>
                <w:szCs w:val="21"/>
                <w:highlight w:val="none"/>
              </w:rPr>
            </w:pPr>
          </w:p>
        </w:tc>
        <w:tc>
          <w:tcPr>
            <w:tcW w:w="1559" w:type="dxa"/>
            <w:noWrap w:val="0"/>
            <w:vAlign w:val="center"/>
          </w:tcPr>
          <w:p w14:paraId="5E5CD61C">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饮品调制</w:t>
            </w:r>
          </w:p>
        </w:tc>
        <w:tc>
          <w:tcPr>
            <w:tcW w:w="1276" w:type="dxa"/>
            <w:noWrap w:val="0"/>
            <w:vAlign w:val="center"/>
          </w:tcPr>
          <w:p w14:paraId="135B0E25">
            <w:pPr>
              <w:adjustRightInd w:val="0"/>
              <w:snapToGrid w:val="0"/>
              <w:jc w:val="center"/>
              <w:rPr>
                <w:rFonts w:hint="eastAsia" w:ascii="宋体" w:hAnsi="宋体" w:eastAsia="宋体" w:cs="宋体"/>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调制废气</w:t>
            </w:r>
          </w:p>
        </w:tc>
        <w:tc>
          <w:tcPr>
            <w:tcW w:w="2239" w:type="dxa"/>
            <w:noWrap w:val="0"/>
            <w:vAlign w:val="center"/>
          </w:tcPr>
          <w:p w14:paraId="730BC06D">
            <w:pPr>
              <w:adjustRightInd w:val="0"/>
              <w:snapToGrid w:val="0"/>
              <w:jc w:val="center"/>
              <w:rPr>
                <w:rFonts w:hint="eastAsia"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eastAsia="zh-CN"/>
              </w:rPr>
              <w:t>通风后</w:t>
            </w:r>
            <w:r>
              <w:rPr>
                <w:rFonts w:hint="eastAsia" w:ascii="宋体" w:hAnsi="宋体" w:cs="宋体"/>
                <w:color w:val="auto"/>
                <w:szCs w:val="21"/>
                <w:highlight w:val="none"/>
              </w:rPr>
              <w:t>经车间排气口排放</w:t>
            </w:r>
          </w:p>
        </w:tc>
        <w:tc>
          <w:tcPr>
            <w:tcW w:w="2188" w:type="dxa"/>
            <w:noWrap w:val="0"/>
            <w:vAlign w:val="center"/>
          </w:tcPr>
          <w:p w14:paraId="267DC6E1">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28E51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14:paraId="4C45EDC6">
            <w:pPr>
              <w:adjustRightInd w:val="0"/>
              <w:snapToGrid w:val="0"/>
              <w:jc w:val="center"/>
              <w:rPr>
                <w:rFonts w:hint="eastAsia" w:ascii="宋体" w:hAnsi="宋体" w:cs="宋体"/>
                <w:color w:val="auto"/>
                <w:szCs w:val="21"/>
                <w:highlight w:val="none"/>
              </w:rPr>
            </w:pPr>
          </w:p>
        </w:tc>
        <w:tc>
          <w:tcPr>
            <w:tcW w:w="1559" w:type="dxa"/>
            <w:noWrap w:val="0"/>
            <w:vAlign w:val="center"/>
          </w:tcPr>
          <w:p w14:paraId="6C2BE6DC">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食堂</w:t>
            </w:r>
          </w:p>
        </w:tc>
        <w:tc>
          <w:tcPr>
            <w:tcW w:w="1276" w:type="dxa"/>
            <w:noWrap w:val="0"/>
            <w:vAlign w:val="center"/>
          </w:tcPr>
          <w:p w14:paraId="4E2022F7">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油烟废气</w:t>
            </w:r>
          </w:p>
        </w:tc>
        <w:tc>
          <w:tcPr>
            <w:tcW w:w="2239" w:type="dxa"/>
            <w:noWrap w:val="0"/>
            <w:vAlign w:val="center"/>
          </w:tcPr>
          <w:p w14:paraId="7819F890">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专用烟道从屋顶高空排放</w:t>
            </w:r>
          </w:p>
        </w:tc>
        <w:tc>
          <w:tcPr>
            <w:tcW w:w="2188" w:type="dxa"/>
            <w:noWrap w:val="0"/>
            <w:vAlign w:val="center"/>
          </w:tcPr>
          <w:p w14:paraId="7D699C9B">
            <w:pPr>
              <w:adjustRightInd w:val="0"/>
              <w:snapToGrid w:val="0"/>
              <w:jc w:val="center"/>
              <w:rPr>
                <w:color w:val="auto"/>
                <w:szCs w:val="21"/>
                <w:highlight w:val="none"/>
              </w:rPr>
            </w:pPr>
            <w:r>
              <w:rPr>
                <w:rFonts w:hint="eastAsia"/>
                <w:color w:val="auto"/>
                <w:szCs w:val="21"/>
                <w:highlight w:val="none"/>
              </w:rPr>
              <w:t>《饮食业油烟排放标准（试行）》(GB18483-2001)</w:t>
            </w:r>
          </w:p>
        </w:tc>
      </w:tr>
      <w:tr w14:paraId="05CBC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538" w:type="dxa"/>
            <w:vMerge w:val="restart"/>
            <w:noWrap w:val="0"/>
            <w:vAlign w:val="center"/>
          </w:tcPr>
          <w:p w14:paraId="3EBCB25E">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地表水环境</w:t>
            </w:r>
          </w:p>
        </w:tc>
        <w:tc>
          <w:tcPr>
            <w:tcW w:w="1559" w:type="dxa"/>
            <w:noWrap w:val="0"/>
            <w:vAlign w:val="center"/>
          </w:tcPr>
          <w:p w14:paraId="3642BBE0">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职工生活</w:t>
            </w:r>
          </w:p>
        </w:tc>
        <w:tc>
          <w:tcPr>
            <w:tcW w:w="1276" w:type="dxa"/>
            <w:noWrap w:val="0"/>
            <w:vAlign w:val="center"/>
          </w:tcPr>
          <w:p w14:paraId="1C64DBF2">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生活污水</w:t>
            </w:r>
          </w:p>
        </w:tc>
        <w:tc>
          <w:tcPr>
            <w:tcW w:w="2239" w:type="dxa"/>
            <w:noWrap w:val="0"/>
            <w:vAlign w:val="center"/>
          </w:tcPr>
          <w:p w14:paraId="08D496FA">
            <w:pPr>
              <w:adjustRightInd w:val="0"/>
              <w:snapToGrid w:val="0"/>
              <w:jc w:val="center"/>
              <w:rPr>
                <w:rFonts w:hint="eastAsia"/>
                <w:color w:val="auto"/>
                <w:szCs w:val="21"/>
                <w:highlight w:val="none"/>
              </w:rPr>
            </w:pPr>
            <w:r>
              <w:rPr>
                <w:rFonts w:hint="eastAsia"/>
                <w:color w:val="auto"/>
                <w:szCs w:val="21"/>
                <w:highlight w:val="none"/>
              </w:rPr>
              <w:t>经污水管网排入</w:t>
            </w:r>
            <w:r>
              <w:rPr>
                <w:rFonts w:hint="eastAsia"/>
                <w:color w:val="auto"/>
                <w:szCs w:val="21"/>
                <w:highlight w:val="none"/>
                <w:lang w:eastAsia="zh-CN"/>
              </w:rPr>
              <w:t>洋县</w:t>
            </w:r>
            <w:r>
              <w:rPr>
                <w:rFonts w:hint="eastAsia"/>
                <w:color w:val="auto"/>
                <w:szCs w:val="21"/>
                <w:highlight w:val="none"/>
              </w:rPr>
              <w:t>污水处理厂处理</w:t>
            </w:r>
          </w:p>
        </w:tc>
        <w:tc>
          <w:tcPr>
            <w:tcW w:w="2188" w:type="dxa"/>
            <w:vMerge w:val="restart"/>
            <w:noWrap w:val="0"/>
            <w:vAlign w:val="center"/>
          </w:tcPr>
          <w:p w14:paraId="452FE31D">
            <w:pPr>
              <w:pStyle w:val="12"/>
              <w:adjustRightInd w:val="0"/>
              <w:snapToGrid w:val="0"/>
              <w:spacing w:before="48" w:beforeLines="20" w:after="48" w:afterLines="20"/>
              <w:jc w:val="center"/>
              <w:rPr>
                <w:color w:val="auto"/>
                <w:sz w:val="21"/>
                <w:szCs w:val="21"/>
                <w:highlight w:val="none"/>
                <w:lang w:val="en-US" w:eastAsia="zh-CN"/>
              </w:rPr>
            </w:pPr>
            <w:r>
              <w:rPr>
                <w:rFonts w:hint="eastAsia"/>
                <w:color w:val="auto"/>
                <w:sz w:val="21"/>
                <w:szCs w:val="21"/>
                <w:highlight w:val="none"/>
                <w:lang w:val="en-US" w:eastAsia="zh-CN"/>
              </w:rPr>
              <w:t>生活污水、</w:t>
            </w:r>
            <w:r>
              <w:rPr>
                <w:rFonts w:hint="eastAsia"/>
                <w:color w:val="auto"/>
                <w:sz w:val="21"/>
                <w:szCs w:val="21"/>
                <w:highlight w:val="none"/>
                <w:lang w:eastAsia="zh-CN"/>
              </w:rPr>
              <w:t>纯水设备浓水、反冲洗废水、锅炉废水</w:t>
            </w:r>
            <w:r>
              <w:rPr>
                <w:rFonts w:hint="eastAsia"/>
                <w:color w:val="auto"/>
                <w:sz w:val="21"/>
                <w:szCs w:val="21"/>
                <w:highlight w:val="none"/>
                <w:lang w:val="en-US" w:eastAsia="zh-CN"/>
              </w:rPr>
              <w:t>执行洋县污水处理厂进水水质要求；</w:t>
            </w:r>
            <w:r>
              <w:rPr>
                <w:rFonts w:hint="eastAsia"/>
                <w:color w:val="auto"/>
                <w:sz w:val="21"/>
                <w:szCs w:val="21"/>
                <w:highlight w:val="none"/>
                <w:lang w:eastAsia="zh-CN"/>
              </w:rPr>
              <w:t>生产设备清洗废水、鲜果清洗废水应满足陕西朱鹮酒业有限公司厂区污水处理设施进水水质要求</w:t>
            </w:r>
          </w:p>
        </w:tc>
      </w:tr>
      <w:tr w14:paraId="25A3F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14:paraId="7B2CD076">
            <w:pPr>
              <w:adjustRightInd w:val="0"/>
              <w:snapToGrid w:val="0"/>
              <w:jc w:val="center"/>
              <w:rPr>
                <w:rFonts w:hint="eastAsia" w:ascii="宋体" w:hAnsi="宋体" w:cs="宋体"/>
                <w:color w:val="auto"/>
                <w:szCs w:val="21"/>
                <w:highlight w:val="none"/>
              </w:rPr>
            </w:pPr>
          </w:p>
        </w:tc>
        <w:tc>
          <w:tcPr>
            <w:tcW w:w="1559" w:type="dxa"/>
            <w:noWrap w:val="0"/>
            <w:vAlign w:val="center"/>
          </w:tcPr>
          <w:p w14:paraId="33F5483A">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生产过程</w:t>
            </w:r>
          </w:p>
        </w:tc>
        <w:tc>
          <w:tcPr>
            <w:tcW w:w="1276" w:type="dxa"/>
            <w:noWrap w:val="0"/>
            <w:vAlign w:val="center"/>
          </w:tcPr>
          <w:p w14:paraId="740E3BE3">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生产废水</w:t>
            </w:r>
          </w:p>
        </w:tc>
        <w:tc>
          <w:tcPr>
            <w:tcW w:w="2239" w:type="dxa"/>
            <w:noWrap w:val="0"/>
            <w:vAlign w:val="center"/>
          </w:tcPr>
          <w:p w14:paraId="64F68402">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生活污水经化粪池收集处理后进入洋县污水处理厂处理；纯水设备浓水、反冲洗废水、锅炉废水直接经管网排入洋县污水处理厂处理；生产设备清洗废水、鲜果清洗废水等生产废水经地下式收集沉淀池收集后再经陕西朱鹮酒业有限公司厂区污水处理设施处理达标后排入洋县污水处理厂深度处理</w:t>
            </w:r>
          </w:p>
        </w:tc>
        <w:tc>
          <w:tcPr>
            <w:tcW w:w="2188" w:type="dxa"/>
            <w:vMerge w:val="continue"/>
            <w:noWrap w:val="0"/>
            <w:vAlign w:val="center"/>
          </w:tcPr>
          <w:p w14:paraId="5157F9B5">
            <w:pPr>
              <w:pStyle w:val="12"/>
              <w:adjustRightInd w:val="0"/>
              <w:snapToGrid w:val="0"/>
              <w:spacing w:before="48" w:beforeLines="20" w:after="48" w:afterLines="20"/>
              <w:jc w:val="center"/>
              <w:rPr>
                <w:color w:val="auto"/>
                <w:sz w:val="21"/>
                <w:szCs w:val="21"/>
                <w:highlight w:val="none"/>
                <w:lang w:val="en-US" w:eastAsia="zh-CN"/>
              </w:rPr>
            </w:pPr>
          </w:p>
        </w:tc>
      </w:tr>
      <w:tr w14:paraId="2AED3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538" w:type="dxa"/>
            <w:noWrap w:val="0"/>
            <w:vAlign w:val="center"/>
          </w:tcPr>
          <w:p w14:paraId="637561CC">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声环境</w:t>
            </w:r>
          </w:p>
        </w:tc>
        <w:tc>
          <w:tcPr>
            <w:tcW w:w="1559" w:type="dxa"/>
            <w:noWrap w:val="0"/>
            <w:vAlign w:val="center"/>
          </w:tcPr>
          <w:p w14:paraId="255FCBA2">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生产过程</w:t>
            </w:r>
          </w:p>
        </w:tc>
        <w:tc>
          <w:tcPr>
            <w:tcW w:w="1276" w:type="dxa"/>
            <w:noWrap w:val="0"/>
            <w:vAlign w:val="center"/>
          </w:tcPr>
          <w:p w14:paraId="42AB96E1">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生产噪声</w:t>
            </w:r>
          </w:p>
        </w:tc>
        <w:tc>
          <w:tcPr>
            <w:tcW w:w="2239" w:type="dxa"/>
            <w:noWrap w:val="0"/>
            <w:vAlign w:val="center"/>
          </w:tcPr>
          <w:p w14:paraId="52D62C20">
            <w:pPr>
              <w:adjustRightInd w:val="0"/>
              <w:snapToGrid w:val="0"/>
              <w:spacing w:before="48" w:beforeLines="20" w:after="48" w:afterLines="20" w:line="288" w:lineRule="auto"/>
              <w:jc w:val="center"/>
              <w:rPr>
                <w:rFonts w:hint="eastAsia" w:ascii="宋体" w:hAnsi="宋体" w:cs="宋体"/>
                <w:color w:val="auto"/>
                <w:szCs w:val="21"/>
                <w:highlight w:val="none"/>
              </w:rPr>
            </w:pPr>
            <w:r>
              <w:rPr>
                <w:rFonts w:hint="eastAsia" w:ascii="宋体" w:hAnsi="宋体" w:cs="宋体"/>
                <w:color w:val="auto"/>
                <w:szCs w:val="21"/>
                <w:highlight w:val="none"/>
              </w:rPr>
              <w:t>高噪设备安装减振垫，主要噪声设备置于封闭房间内</w:t>
            </w:r>
          </w:p>
        </w:tc>
        <w:tc>
          <w:tcPr>
            <w:tcW w:w="2188" w:type="dxa"/>
            <w:noWrap w:val="0"/>
            <w:vAlign w:val="center"/>
          </w:tcPr>
          <w:p w14:paraId="72B71EBB">
            <w:pPr>
              <w:adjustRightInd w:val="0"/>
              <w:snapToGrid w:val="0"/>
              <w:spacing w:before="48" w:beforeLines="20" w:after="48" w:afterLines="20" w:line="288" w:lineRule="auto"/>
              <w:jc w:val="center"/>
              <w:rPr>
                <w:rFonts w:hint="eastAsia" w:ascii="宋体" w:hAnsi="宋体" w:cs="宋体"/>
                <w:color w:val="auto"/>
                <w:szCs w:val="21"/>
                <w:highlight w:val="none"/>
              </w:rPr>
            </w:pPr>
            <w:r>
              <w:rPr>
                <w:rFonts w:hint="eastAsia"/>
                <w:color w:val="auto"/>
                <w:szCs w:val="21"/>
                <w:highlight w:val="none"/>
                <w:lang w:eastAsia="zh-CN"/>
              </w:rPr>
              <w:t>东侧厂界执行</w:t>
            </w:r>
            <w:r>
              <w:rPr>
                <w:color w:val="auto"/>
                <w:szCs w:val="21"/>
                <w:highlight w:val="none"/>
              </w:rPr>
              <w:t>《工业企业厂界环境噪声排放标准》</w:t>
            </w:r>
            <w:r>
              <w:rPr>
                <w:rFonts w:hint="eastAsia"/>
                <w:color w:val="auto"/>
                <w:szCs w:val="21"/>
                <w:highlight w:val="none"/>
                <w:lang w:eastAsia="zh-CN"/>
              </w:rPr>
              <w:t>（</w:t>
            </w:r>
            <w:r>
              <w:rPr>
                <w:color w:val="auto"/>
                <w:szCs w:val="21"/>
                <w:highlight w:val="none"/>
              </w:rPr>
              <w:t>GB12348-2008</w:t>
            </w:r>
            <w:r>
              <w:rPr>
                <w:rFonts w:hint="eastAsia"/>
                <w:color w:val="auto"/>
                <w:szCs w:val="21"/>
                <w:highlight w:val="none"/>
                <w:lang w:eastAsia="zh-CN"/>
              </w:rPr>
              <w:t>）</w:t>
            </w:r>
            <w:r>
              <w:rPr>
                <w:color w:val="auto"/>
                <w:szCs w:val="21"/>
                <w:highlight w:val="none"/>
              </w:rPr>
              <w:t>中</w:t>
            </w:r>
            <w:r>
              <w:rPr>
                <w:rFonts w:hint="eastAsia"/>
                <w:color w:val="auto"/>
                <w:szCs w:val="21"/>
                <w:highlight w:val="none"/>
                <w:lang w:val="en-US" w:eastAsia="zh-CN"/>
              </w:rPr>
              <w:t>4类标准限值，其余3侧厂界执行</w:t>
            </w:r>
            <w:r>
              <w:rPr>
                <w:rFonts w:hint="eastAsia"/>
                <w:color w:val="auto"/>
                <w:szCs w:val="21"/>
                <w:highlight w:val="none"/>
              </w:rPr>
              <w:t>3类</w:t>
            </w:r>
            <w:r>
              <w:rPr>
                <w:color w:val="auto"/>
                <w:szCs w:val="21"/>
                <w:highlight w:val="none"/>
              </w:rPr>
              <w:t>区排放限值</w:t>
            </w:r>
          </w:p>
        </w:tc>
      </w:tr>
      <w:tr w14:paraId="3C1B2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6F4A4CB7">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电磁辐射</w:t>
            </w:r>
          </w:p>
        </w:tc>
        <w:tc>
          <w:tcPr>
            <w:tcW w:w="1559" w:type="dxa"/>
            <w:noWrap w:val="0"/>
            <w:vAlign w:val="center"/>
          </w:tcPr>
          <w:p w14:paraId="025B5279">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1276" w:type="dxa"/>
            <w:noWrap w:val="0"/>
            <w:vAlign w:val="center"/>
          </w:tcPr>
          <w:p w14:paraId="42F84C4D">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2239" w:type="dxa"/>
            <w:noWrap w:val="0"/>
            <w:vAlign w:val="center"/>
          </w:tcPr>
          <w:p w14:paraId="6F8651A6">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2188" w:type="dxa"/>
            <w:noWrap w:val="0"/>
            <w:vAlign w:val="center"/>
          </w:tcPr>
          <w:p w14:paraId="40F92338">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r>
      <w:tr w14:paraId="0F3C3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1538" w:type="dxa"/>
            <w:noWrap w:val="0"/>
            <w:vAlign w:val="center"/>
          </w:tcPr>
          <w:p w14:paraId="2B758160">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固体废物</w:t>
            </w:r>
          </w:p>
        </w:tc>
        <w:tc>
          <w:tcPr>
            <w:tcW w:w="7262" w:type="dxa"/>
            <w:gridSpan w:val="4"/>
            <w:noWrap w:val="0"/>
            <w:vAlign w:val="center"/>
          </w:tcPr>
          <w:p w14:paraId="166452D5">
            <w:pPr>
              <w:adjustRightInd w:val="0"/>
              <w:snapToGrid w:val="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山茱萸果核及色选杂质外送给周边村民制作农肥；废包装物集中收集后定期外</w:t>
            </w:r>
            <w:r>
              <w:rPr>
                <w:rFonts w:hint="eastAsia" w:ascii="宋体" w:hAnsi="宋体" w:cs="宋体"/>
                <w:color w:val="auto"/>
                <w:szCs w:val="21"/>
                <w:highlight w:val="none"/>
                <w:lang w:eastAsia="zh-CN"/>
              </w:rPr>
              <w:t>售给</w:t>
            </w:r>
            <w:r>
              <w:rPr>
                <w:rFonts w:hint="eastAsia" w:ascii="宋体" w:hAnsi="宋体" w:cs="宋体"/>
                <w:color w:val="auto"/>
                <w:szCs w:val="21"/>
                <w:highlight w:val="none"/>
              </w:rPr>
              <w:t>废旧资源回收单位；生活垃圾在厂内办公生活区设置封闭垃圾桶，经集中收集后置于当地环卫部门指定地点</w:t>
            </w:r>
            <w:r>
              <w:rPr>
                <w:rFonts w:hint="eastAsia" w:ascii="宋体" w:hAnsi="宋体" w:cs="宋体"/>
                <w:color w:val="auto"/>
                <w:szCs w:val="21"/>
                <w:highlight w:val="none"/>
                <w:lang w:eastAsia="zh-CN"/>
              </w:rPr>
              <w:t>处置；</w:t>
            </w:r>
            <w:r>
              <w:rPr>
                <w:rFonts w:hint="eastAsia" w:ascii="宋体" w:hAnsi="宋体" w:cs="宋体"/>
                <w:color w:val="auto"/>
                <w:szCs w:val="21"/>
                <w:highlight w:val="none"/>
              </w:rPr>
              <w:t>项目生产运营过程中产生的</w:t>
            </w:r>
            <w:r>
              <w:rPr>
                <w:rFonts w:hint="eastAsia"/>
                <w:color w:val="auto"/>
                <w:szCs w:val="21"/>
                <w:highlight w:val="none"/>
              </w:rPr>
              <w:t>检验废液属于危险废物，应定期交由</w:t>
            </w:r>
            <w:r>
              <w:rPr>
                <w:rFonts w:hint="eastAsia"/>
                <w:bCs/>
                <w:color w:val="auto"/>
                <w:szCs w:val="21"/>
                <w:highlight w:val="none"/>
                <w:lang w:eastAsia="zh-CN"/>
              </w:rPr>
              <w:t>有危废</w:t>
            </w:r>
            <w:r>
              <w:rPr>
                <w:rFonts w:hint="eastAsia"/>
                <w:bCs/>
                <w:color w:val="auto"/>
                <w:szCs w:val="21"/>
                <w:highlight w:val="none"/>
              </w:rPr>
              <w:t>处置</w:t>
            </w:r>
            <w:r>
              <w:rPr>
                <w:rFonts w:hint="eastAsia"/>
                <w:bCs/>
                <w:color w:val="auto"/>
                <w:szCs w:val="21"/>
                <w:highlight w:val="none"/>
                <w:lang w:eastAsia="zh-CN"/>
              </w:rPr>
              <w:t>资质的单位</w:t>
            </w:r>
            <w:r>
              <w:rPr>
                <w:rFonts w:hint="eastAsia"/>
                <w:color w:val="auto"/>
                <w:szCs w:val="21"/>
                <w:highlight w:val="none"/>
              </w:rPr>
              <w:t>处理</w:t>
            </w:r>
            <w:r>
              <w:rPr>
                <w:rFonts w:hint="eastAsia"/>
                <w:color w:val="auto"/>
                <w:szCs w:val="21"/>
                <w:highlight w:val="none"/>
                <w:lang w:eastAsia="zh-CN"/>
              </w:rPr>
              <w:t>。</w:t>
            </w:r>
          </w:p>
        </w:tc>
      </w:tr>
      <w:tr w14:paraId="33EC2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538" w:type="dxa"/>
            <w:noWrap w:val="0"/>
            <w:vAlign w:val="center"/>
          </w:tcPr>
          <w:p w14:paraId="38C5F073">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土壤及地下水</w:t>
            </w:r>
          </w:p>
          <w:p w14:paraId="00008345">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污染防治措施</w:t>
            </w:r>
          </w:p>
        </w:tc>
        <w:tc>
          <w:tcPr>
            <w:tcW w:w="7262" w:type="dxa"/>
            <w:gridSpan w:val="4"/>
            <w:noWrap w:val="0"/>
            <w:vAlign w:val="center"/>
          </w:tcPr>
          <w:p w14:paraId="5FB1341D">
            <w:pPr>
              <w:adjustRightInd w:val="0"/>
              <w:snapToGrid w:val="0"/>
              <w:rPr>
                <w:rFonts w:hint="eastAsia" w:ascii="宋体" w:hAnsi="宋体" w:cs="宋体"/>
                <w:color w:val="auto"/>
                <w:szCs w:val="21"/>
                <w:highlight w:val="none"/>
              </w:rPr>
            </w:pPr>
            <w:r>
              <w:rPr>
                <w:rFonts w:hint="eastAsia"/>
                <w:color w:val="auto"/>
                <w:szCs w:val="21"/>
                <w:highlight w:val="none"/>
              </w:rPr>
              <w:t>项目物料均在对应储存设施暂存，储存设施</w:t>
            </w:r>
            <w:r>
              <w:rPr>
                <w:color w:val="auto"/>
                <w:szCs w:val="21"/>
                <w:highlight w:val="none"/>
              </w:rPr>
              <w:t>做好防火、</w:t>
            </w:r>
            <w:r>
              <w:rPr>
                <w:rFonts w:hint="eastAsia"/>
                <w:color w:val="auto"/>
                <w:szCs w:val="21"/>
                <w:highlight w:val="none"/>
              </w:rPr>
              <w:t>分区</w:t>
            </w:r>
            <w:r>
              <w:rPr>
                <w:color w:val="auto"/>
                <w:szCs w:val="21"/>
                <w:highlight w:val="none"/>
              </w:rPr>
              <w:t>防渗、防流失等措施</w:t>
            </w:r>
          </w:p>
        </w:tc>
      </w:tr>
      <w:tr w14:paraId="2B76D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38" w:type="dxa"/>
            <w:noWrap w:val="0"/>
            <w:vAlign w:val="center"/>
          </w:tcPr>
          <w:p w14:paraId="143E767C">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生态保护措施</w:t>
            </w:r>
          </w:p>
        </w:tc>
        <w:tc>
          <w:tcPr>
            <w:tcW w:w="7262" w:type="dxa"/>
            <w:gridSpan w:val="4"/>
            <w:noWrap w:val="0"/>
            <w:vAlign w:val="center"/>
          </w:tcPr>
          <w:p w14:paraId="70A42AAA">
            <w:pPr>
              <w:adjustRightInd w:val="0"/>
              <w:snapToGrid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r>
      <w:tr w14:paraId="1FD34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538" w:type="dxa"/>
            <w:noWrap w:val="0"/>
            <w:vAlign w:val="center"/>
          </w:tcPr>
          <w:p w14:paraId="503739B4">
            <w:pPr>
              <w:adjustRightInd w:val="0"/>
              <w:snapToGrid w:val="0"/>
              <w:jc w:val="center"/>
              <w:rPr>
                <w:rFonts w:ascii="宋体" w:hAnsi="宋体" w:cs="宋体"/>
                <w:color w:val="auto"/>
                <w:spacing w:val="0"/>
                <w:sz w:val="21"/>
                <w:szCs w:val="21"/>
                <w:highlight w:val="none"/>
              </w:rPr>
            </w:pPr>
            <w:r>
              <w:rPr>
                <w:rFonts w:hint="eastAsia" w:ascii="宋体" w:hAnsi="宋体" w:cs="宋体"/>
                <w:color w:val="auto"/>
                <w:spacing w:val="0"/>
                <w:sz w:val="21"/>
                <w:szCs w:val="21"/>
                <w:highlight w:val="none"/>
              </w:rPr>
              <w:t>环境风险</w:t>
            </w:r>
          </w:p>
          <w:p w14:paraId="3E0D0988">
            <w:pPr>
              <w:adjustRightInd w:val="0"/>
              <w:snapToGrid w:val="0"/>
              <w:jc w:val="center"/>
              <w:rPr>
                <w:rFonts w:hint="eastAsia" w:ascii="宋体" w:hAnsi="宋体" w:cs="宋体"/>
                <w:color w:val="auto"/>
                <w:spacing w:val="-8"/>
                <w:szCs w:val="21"/>
                <w:highlight w:val="none"/>
              </w:rPr>
            </w:pPr>
            <w:r>
              <w:rPr>
                <w:rFonts w:hint="eastAsia" w:ascii="宋体" w:hAnsi="宋体" w:cs="宋体"/>
                <w:color w:val="auto"/>
                <w:spacing w:val="0"/>
                <w:sz w:val="21"/>
                <w:szCs w:val="21"/>
                <w:highlight w:val="none"/>
              </w:rPr>
              <w:t>防范措施</w:t>
            </w:r>
          </w:p>
        </w:tc>
        <w:tc>
          <w:tcPr>
            <w:tcW w:w="7262" w:type="dxa"/>
            <w:gridSpan w:val="4"/>
            <w:noWrap w:val="0"/>
            <w:vAlign w:val="center"/>
          </w:tcPr>
          <w:p w14:paraId="682D4F1B">
            <w:pPr>
              <w:adjustRightInd w:val="0"/>
              <w:snapToGrid w:val="0"/>
              <w:jc w:val="left"/>
              <w:rPr>
                <w:rFonts w:hint="default" w:ascii="Times New Roman" w:hAnsi="Times New Roman" w:cs="Times New Roman"/>
                <w:color w:val="auto"/>
                <w:szCs w:val="21"/>
                <w:highlight w:val="none"/>
              </w:rPr>
            </w:pPr>
            <w:r>
              <w:rPr>
                <w:rFonts w:hint="eastAsia" w:ascii="宋体" w:hAnsi="宋体" w:cs="宋体"/>
                <w:color w:val="auto"/>
                <w:szCs w:val="21"/>
                <w:highlight w:val="none"/>
                <w:lang w:eastAsia="zh-CN"/>
              </w:rPr>
              <w:t>危废贮存库</w:t>
            </w:r>
            <w:r>
              <w:rPr>
                <w:rFonts w:hint="eastAsia" w:ascii="宋体" w:hAnsi="宋体" w:cs="宋体"/>
                <w:color w:val="auto"/>
                <w:szCs w:val="21"/>
                <w:highlight w:val="none"/>
              </w:rPr>
              <w:t>地面和墙面做好防渗漏、防腐蚀的涂层，液体危废桶盛并加盖。各种危废分开整齐堆放，并设置标识；</w:t>
            </w:r>
            <w:r>
              <w:rPr>
                <w:rFonts w:hint="default" w:ascii="Times New Roman" w:hAnsi="Times New Roman" w:cs="Times New Roman"/>
                <w:color w:val="auto"/>
                <w:szCs w:val="21"/>
                <w:highlight w:val="none"/>
              </w:rPr>
              <w:t>各危废认真清点，并做好台账，管理人员必须按照规定管理，认真入库管理，如有问题及时沟通协调解决。</w:t>
            </w:r>
          </w:p>
          <w:p w14:paraId="4F39590E">
            <w:pPr>
              <w:adjustRightInd w:val="0"/>
              <w:snapToGrid w:val="0"/>
              <w:jc w:val="left"/>
              <w:rPr>
                <w:rFonts w:hint="eastAsia" w:ascii="宋体" w:hAnsi="宋体" w:cs="宋体"/>
                <w:color w:val="auto"/>
                <w:szCs w:val="21"/>
                <w:highlight w:val="none"/>
              </w:rPr>
            </w:pPr>
            <w:r>
              <w:rPr>
                <w:rFonts w:hint="eastAsia" w:ascii="宋体" w:hAnsi="宋体" w:cs="宋体"/>
                <w:color w:val="auto"/>
                <w:szCs w:val="21"/>
                <w:highlight w:val="none"/>
              </w:rPr>
              <w:t>每个月由公司组织一次设备安全完好性检查。制定应急操作规程，在规程中应说明发生事故时采取的操作步骤，规定抢修进度，限制事故的影响。</w:t>
            </w:r>
          </w:p>
          <w:p w14:paraId="0D6083B0">
            <w:pPr>
              <w:adjustRightInd w:val="0"/>
              <w:snapToGrid w:val="0"/>
              <w:jc w:val="left"/>
              <w:rPr>
                <w:rFonts w:hint="eastAsia" w:ascii="宋体" w:hAnsi="宋体" w:cs="宋体"/>
                <w:color w:val="auto"/>
                <w:szCs w:val="21"/>
                <w:highlight w:val="none"/>
              </w:rPr>
            </w:pPr>
            <w:r>
              <w:rPr>
                <w:rFonts w:hint="eastAsia" w:ascii="宋体" w:hAnsi="宋体" w:cs="宋体"/>
                <w:color w:val="auto"/>
                <w:szCs w:val="21"/>
                <w:highlight w:val="none"/>
                <w:lang w:eastAsia="zh-CN"/>
              </w:rPr>
              <w:t>食用酒</w:t>
            </w:r>
            <w:r>
              <w:rPr>
                <w:rFonts w:hint="eastAsia" w:ascii="宋体" w:hAnsi="宋体" w:cs="宋体"/>
                <w:color w:val="auto"/>
                <w:szCs w:val="21"/>
                <w:highlight w:val="none"/>
              </w:rPr>
              <w:t>、</w:t>
            </w:r>
            <w:r>
              <w:rPr>
                <w:rFonts w:hint="eastAsia" w:ascii="宋体" w:hAnsi="宋体" w:cs="宋体"/>
                <w:color w:val="auto"/>
                <w:szCs w:val="21"/>
                <w:highlight w:val="none"/>
                <w:lang w:eastAsia="zh-CN"/>
              </w:rPr>
              <w:t>食用醋</w:t>
            </w:r>
            <w:r>
              <w:rPr>
                <w:rFonts w:hint="eastAsia" w:ascii="宋体" w:hAnsi="宋体" w:cs="宋体"/>
                <w:color w:val="auto"/>
                <w:szCs w:val="21"/>
                <w:highlight w:val="none"/>
              </w:rPr>
              <w:t>储罐定期检查、更换</w:t>
            </w:r>
          </w:p>
        </w:tc>
      </w:tr>
      <w:tr w14:paraId="246E7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538" w:type="dxa"/>
            <w:noWrap w:val="0"/>
            <w:vAlign w:val="center"/>
          </w:tcPr>
          <w:p w14:paraId="6020996A">
            <w:pPr>
              <w:adjustRightInd w:val="0"/>
              <w:snapToGrid w:val="0"/>
              <w:jc w:val="center"/>
              <w:rPr>
                <w:rFonts w:hint="eastAsia" w:ascii="宋体" w:hAnsi="宋体" w:eastAsia="宋体" w:cs="宋体"/>
                <w:color w:val="auto"/>
                <w:spacing w:val="0"/>
                <w:sz w:val="21"/>
                <w:szCs w:val="21"/>
                <w:highlight w:val="none"/>
              </w:rPr>
            </w:pPr>
            <w:r>
              <w:rPr>
                <w:rFonts w:hint="eastAsia" w:ascii="宋体" w:hAnsi="宋体" w:cs="宋体"/>
                <w:color w:val="auto"/>
                <w:spacing w:val="-8"/>
                <w:szCs w:val="21"/>
                <w:highlight w:val="none"/>
              </w:rPr>
              <w:t>其</w:t>
            </w:r>
            <w:r>
              <w:rPr>
                <w:rFonts w:hint="eastAsia" w:ascii="宋体" w:hAnsi="宋体" w:eastAsia="宋体" w:cs="宋体"/>
                <w:color w:val="auto"/>
                <w:spacing w:val="0"/>
                <w:sz w:val="21"/>
                <w:szCs w:val="21"/>
                <w:highlight w:val="none"/>
              </w:rPr>
              <w:t>他环境</w:t>
            </w:r>
          </w:p>
          <w:p w14:paraId="710B37FE">
            <w:pPr>
              <w:adjustRightInd w:val="0"/>
              <w:snapToGrid w:val="0"/>
              <w:jc w:val="center"/>
              <w:rPr>
                <w:rFonts w:hint="eastAsia" w:ascii="宋体" w:hAnsi="宋体" w:cs="宋体"/>
                <w:color w:val="auto"/>
                <w:spacing w:val="-8"/>
                <w:szCs w:val="21"/>
                <w:highlight w:val="none"/>
              </w:rPr>
            </w:pPr>
            <w:r>
              <w:rPr>
                <w:rFonts w:hint="eastAsia" w:ascii="宋体" w:hAnsi="宋体" w:eastAsia="宋体" w:cs="宋体"/>
                <w:color w:val="auto"/>
                <w:spacing w:val="0"/>
                <w:sz w:val="21"/>
                <w:szCs w:val="21"/>
                <w:highlight w:val="none"/>
              </w:rPr>
              <w:t>管理要求</w:t>
            </w:r>
          </w:p>
        </w:tc>
        <w:tc>
          <w:tcPr>
            <w:tcW w:w="7262" w:type="dxa"/>
            <w:gridSpan w:val="4"/>
            <w:noWrap w:val="0"/>
            <w:vAlign w:val="center"/>
          </w:tcPr>
          <w:p w14:paraId="18CB6292">
            <w:pPr>
              <w:adjustRightInd w:val="0"/>
              <w:snapToGrid w:val="0"/>
              <w:rPr>
                <w:rFonts w:hint="eastAsia"/>
                <w:color w:val="auto"/>
                <w:highlight w:val="none"/>
                <w:lang w:eastAsia="zh-CN"/>
              </w:rPr>
            </w:pPr>
            <w:r>
              <w:rPr>
                <w:rFonts w:hint="eastAsia" w:ascii="宋体" w:hAnsi="宋体" w:cs="宋体"/>
                <w:color w:val="auto"/>
                <w:szCs w:val="21"/>
                <w:highlight w:val="none"/>
              </w:rPr>
              <w:t>本项目审批后，建设单位</w:t>
            </w:r>
            <w:r>
              <w:rPr>
                <w:rFonts w:hint="eastAsia" w:ascii="宋体" w:hAnsi="宋体" w:cs="宋体"/>
                <w:color w:val="auto"/>
                <w:szCs w:val="21"/>
                <w:highlight w:val="none"/>
                <w:lang w:eastAsia="zh-CN"/>
              </w:rPr>
              <w:t>应及时办理</w:t>
            </w:r>
            <w:r>
              <w:rPr>
                <w:rFonts w:hint="eastAsia" w:ascii="宋体" w:hAnsi="宋体" w:cs="宋体"/>
                <w:color w:val="auto"/>
                <w:szCs w:val="21"/>
                <w:highlight w:val="none"/>
              </w:rPr>
              <w:t>排污许可</w:t>
            </w:r>
            <w:r>
              <w:rPr>
                <w:rFonts w:hint="eastAsia" w:ascii="宋体" w:hAnsi="宋体" w:cs="宋体"/>
                <w:color w:val="auto"/>
                <w:szCs w:val="21"/>
                <w:highlight w:val="none"/>
                <w:lang w:eastAsia="zh-CN"/>
              </w:rPr>
              <w:t>手续</w:t>
            </w:r>
            <w:r>
              <w:rPr>
                <w:rFonts w:hint="eastAsia" w:ascii="宋体" w:hAnsi="宋体" w:cs="宋体"/>
                <w:color w:val="auto"/>
                <w:szCs w:val="21"/>
                <w:highlight w:val="none"/>
              </w:rPr>
              <w:t>，项目投产后，</w:t>
            </w:r>
            <w:r>
              <w:rPr>
                <w:rFonts w:hint="eastAsia" w:ascii="宋体" w:hAnsi="宋体" w:cs="宋体"/>
                <w:color w:val="auto"/>
                <w:szCs w:val="21"/>
                <w:highlight w:val="none"/>
                <w:lang w:eastAsia="zh-CN"/>
              </w:rPr>
              <w:t>应</w:t>
            </w:r>
            <w:r>
              <w:rPr>
                <w:rFonts w:hint="eastAsia" w:ascii="宋体" w:hAnsi="宋体" w:cs="宋体"/>
                <w:color w:val="auto"/>
                <w:szCs w:val="21"/>
                <w:highlight w:val="none"/>
              </w:rPr>
              <w:t>开展竣工环保验收工作，并派专人负责厂内的环保工作，以保证各项</w:t>
            </w:r>
            <w:r>
              <w:rPr>
                <w:rFonts w:hint="eastAsia" w:ascii="宋体" w:hAnsi="宋体" w:cs="宋体"/>
                <w:color w:val="auto"/>
                <w:szCs w:val="21"/>
                <w:highlight w:val="none"/>
                <w:lang w:eastAsia="zh-CN"/>
              </w:rPr>
              <w:t>环境治理</w:t>
            </w:r>
            <w:r>
              <w:rPr>
                <w:rFonts w:hint="eastAsia" w:ascii="宋体" w:hAnsi="宋体" w:cs="宋体"/>
                <w:color w:val="auto"/>
                <w:szCs w:val="21"/>
                <w:highlight w:val="none"/>
              </w:rPr>
              <w:t>措施的实施和环保设施的正常运行及定期监测工作；建设单位应按照规定设置满足开展监测所需要的监测设施，如废气（采样）监测平台、监测断面和监测孔的设置应符合监测规范要求。监测平台应便于开展监测活动，应能保证监测人员的安全</w:t>
            </w:r>
            <w:r>
              <w:rPr>
                <w:rFonts w:hint="eastAsia" w:ascii="宋体" w:hAnsi="宋体" w:cs="宋体"/>
                <w:color w:val="auto"/>
                <w:szCs w:val="21"/>
                <w:highlight w:val="none"/>
                <w:lang w:eastAsia="zh-CN"/>
              </w:rPr>
              <w:t>。</w:t>
            </w:r>
          </w:p>
        </w:tc>
      </w:tr>
    </w:tbl>
    <w:p w14:paraId="396A2E68">
      <w:pPr>
        <w:pStyle w:val="25"/>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5316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03CD873">
            <w:pPr>
              <w:spacing w:line="360" w:lineRule="auto"/>
              <w:ind w:firstLine="480" w:firstLineChars="200"/>
              <w:rPr>
                <w:rFonts w:hint="eastAsia"/>
                <w:color w:val="auto"/>
                <w:sz w:val="24"/>
                <w:highlight w:val="none"/>
              </w:rPr>
            </w:pPr>
            <w:r>
              <w:rPr>
                <w:rFonts w:hint="eastAsia" w:ascii="宋体" w:hAnsi="宋体" w:cs="宋体"/>
                <w:color w:val="auto"/>
                <w:sz w:val="24"/>
                <w:highlight w:val="none"/>
              </w:rPr>
              <w:t>陕西汉阳健康中药科技有限公司</w:t>
            </w:r>
            <w:r>
              <w:rPr>
                <w:color w:val="auto"/>
                <w:sz w:val="24"/>
                <w:highlight w:val="none"/>
              </w:rPr>
              <w:t>建设的</w:t>
            </w:r>
            <w:r>
              <w:rPr>
                <w:rFonts w:hint="eastAsia" w:ascii="宋体" w:hAnsi="宋体" w:cs="宋体"/>
                <w:color w:val="auto"/>
                <w:sz w:val="24"/>
                <w:highlight w:val="none"/>
              </w:rPr>
              <w:t>有机中药材山茱萸深加工生产线建设项目</w:t>
            </w:r>
            <w:r>
              <w:rPr>
                <w:color w:val="auto"/>
                <w:sz w:val="24"/>
                <w:highlight w:val="none"/>
              </w:rPr>
              <w:t>符合</w:t>
            </w:r>
            <w:r>
              <w:rPr>
                <w:rFonts w:hint="eastAsia"/>
                <w:color w:val="auto"/>
                <w:sz w:val="24"/>
                <w:highlight w:val="none"/>
              </w:rPr>
              <w:t>相关</w:t>
            </w:r>
            <w:r>
              <w:rPr>
                <w:color w:val="auto"/>
                <w:sz w:val="24"/>
                <w:highlight w:val="none"/>
              </w:rPr>
              <w:t>产业政策，在严格执行相关环保法规并认真落实本报告中提出的各项污染</w:t>
            </w:r>
            <w:r>
              <w:rPr>
                <w:rFonts w:hint="eastAsia"/>
                <w:color w:val="auto"/>
                <w:sz w:val="24"/>
                <w:highlight w:val="none"/>
              </w:rPr>
              <w:t>防治</w:t>
            </w:r>
            <w:r>
              <w:rPr>
                <w:color w:val="auto"/>
                <w:sz w:val="24"/>
                <w:highlight w:val="none"/>
              </w:rPr>
              <w:t>措施</w:t>
            </w:r>
            <w:r>
              <w:rPr>
                <w:rFonts w:hint="eastAsia"/>
                <w:color w:val="auto"/>
                <w:sz w:val="24"/>
                <w:highlight w:val="none"/>
              </w:rPr>
              <w:t>和环境风险防范措施后</w:t>
            </w:r>
            <w:r>
              <w:rPr>
                <w:color w:val="auto"/>
                <w:sz w:val="24"/>
                <w:highlight w:val="none"/>
              </w:rPr>
              <w:t>，确保环保资金及时到位、环保设施正常运行，</w:t>
            </w:r>
            <w:r>
              <w:rPr>
                <w:rFonts w:hint="eastAsia"/>
                <w:color w:val="auto"/>
                <w:sz w:val="24"/>
                <w:highlight w:val="none"/>
              </w:rPr>
              <w:t>废气</w:t>
            </w:r>
            <w:r>
              <w:rPr>
                <w:color w:val="auto"/>
                <w:sz w:val="24"/>
                <w:highlight w:val="none"/>
              </w:rPr>
              <w:t>和噪声可做到长期、稳定达标排放，</w:t>
            </w:r>
            <w:r>
              <w:rPr>
                <w:rFonts w:hint="eastAsia"/>
                <w:color w:val="auto"/>
                <w:sz w:val="24"/>
                <w:highlight w:val="none"/>
              </w:rPr>
              <w:t>废水经自建污水处理站处理后排入</w:t>
            </w:r>
            <w:r>
              <w:rPr>
                <w:rFonts w:hint="eastAsia"/>
                <w:color w:val="auto"/>
                <w:sz w:val="24"/>
                <w:highlight w:val="none"/>
                <w:lang w:eastAsia="zh-CN"/>
              </w:rPr>
              <w:t>洋县</w:t>
            </w:r>
            <w:r>
              <w:rPr>
                <w:rFonts w:hint="eastAsia"/>
                <w:color w:val="auto"/>
                <w:sz w:val="24"/>
                <w:highlight w:val="none"/>
              </w:rPr>
              <w:t>污水处理厂</w:t>
            </w:r>
            <w:r>
              <w:rPr>
                <w:color w:val="auto"/>
                <w:sz w:val="24"/>
                <w:highlight w:val="none"/>
              </w:rPr>
              <w:t>，固废实现</w:t>
            </w:r>
            <w:r>
              <w:rPr>
                <w:rFonts w:hint="eastAsia"/>
                <w:color w:val="auto"/>
                <w:sz w:val="24"/>
                <w:highlight w:val="none"/>
              </w:rPr>
              <w:t>资源化或</w:t>
            </w:r>
            <w:r>
              <w:rPr>
                <w:color w:val="auto"/>
                <w:sz w:val="24"/>
                <w:highlight w:val="none"/>
              </w:rPr>
              <w:t>无害化处置对环境影响可接受</w:t>
            </w:r>
            <w:r>
              <w:rPr>
                <w:rFonts w:hint="eastAsia"/>
                <w:color w:val="auto"/>
                <w:sz w:val="24"/>
                <w:highlight w:val="none"/>
              </w:rPr>
              <w:t>，项目环境风险可控</w:t>
            </w:r>
            <w:r>
              <w:rPr>
                <w:color w:val="auto"/>
                <w:sz w:val="24"/>
                <w:highlight w:val="none"/>
              </w:rPr>
              <w:t>。因此，从环保角度分析，该项目可行。</w:t>
            </w:r>
          </w:p>
          <w:p w14:paraId="6A8DD0B1">
            <w:pPr>
              <w:pStyle w:val="44"/>
              <w:rPr>
                <w:color w:val="auto"/>
                <w:highlight w:val="none"/>
              </w:rPr>
            </w:pPr>
          </w:p>
          <w:p w14:paraId="312281BE">
            <w:pPr>
              <w:pStyle w:val="46"/>
              <w:rPr>
                <w:rFonts w:hint="eastAsia"/>
                <w:color w:val="auto"/>
                <w:highlight w:val="none"/>
              </w:rPr>
            </w:pPr>
          </w:p>
          <w:p w14:paraId="0D28B99B">
            <w:pPr>
              <w:rPr>
                <w:rFonts w:hint="eastAsia"/>
                <w:color w:val="auto"/>
                <w:highlight w:val="none"/>
              </w:rPr>
            </w:pPr>
          </w:p>
          <w:p w14:paraId="5FDFF248">
            <w:pPr>
              <w:pStyle w:val="44"/>
              <w:rPr>
                <w:color w:val="auto"/>
                <w:highlight w:val="none"/>
              </w:rPr>
            </w:pPr>
          </w:p>
          <w:p w14:paraId="049130F1">
            <w:pPr>
              <w:pStyle w:val="46"/>
              <w:rPr>
                <w:rFonts w:hint="eastAsia"/>
                <w:color w:val="auto"/>
                <w:highlight w:val="none"/>
              </w:rPr>
            </w:pPr>
          </w:p>
          <w:p w14:paraId="4F334B9A">
            <w:pPr>
              <w:rPr>
                <w:rFonts w:hint="eastAsia"/>
                <w:color w:val="auto"/>
                <w:highlight w:val="none"/>
              </w:rPr>
            </w:pPr>
          </w:p>
          <w:p w14:paraId="3BC52A08">
            <w:pPr>
              <w:pStyle w:val="44"/>
              <w:rPr>
                <w:color w:val="auto"/>
                <w:highlight w:val="none"/>
              </w:rPr>
            </w:pPr>
          </w:p>
          <w:p w14:paraId="2BEB7F63">
            <w:pPr>
              <w:pStyle w:val="46"/>
              <w:rPr>
                <w:rFonts w:hint="eastAsia"/>
                <w:color w:val="auto"/>
                <w:highlight w:val="none"/>
              </w:rPr>
            </w:pPr>
          </w:p>
          <w:p w14:paraId="3105D451">
            <w:pPr>
              <w:rPr>
                <w:rFonts w:hint="eastAsia"/>
                <w:color w:val="auto"/>
                <w:highlight w:val="none"/>
              </w:rPr>
            </w:pPr>
          </w:p>
          <w:p w14:paraId="58DBD282">
            <w:pPr>
              <w:pStyle w:val="44"/>
              <w:rPr>
                <w:color w:val="auto"/>
                <w:highlight w:val="none"/>
              </w:rPr>
            </w:pPr>
          </w:p>
          <w:p w14:paraId="0E214615">
            <w:pPr>
              <w:pStyle w:val="46"/>
              <w:rPr>
                <w:rFonts w:hint="eastAsia"/>
                <w:color w:val="auto"/>
                <w:highlight w:val="none"/>
              </w:rPr>
            </w:pPr>
          </w:p>
          <w:p w14:paraId="456388DE">
            <w:pPr>
              <w:rPr>
                <w:rFonts w:hint="eastAsia"/>
                <w:color w:val="auto"/>
                <w:highlight w:val="none"/>
              </w:rPr>
            </w:pPr>
          </w:p>
          <w:p w14:paraId="1C76149C">
            <w:pPr>
              <w:pStyle w:val="44"/>
              <w:rPr>
                <w:color w:val="auto"/>
                <w:highlight w:val="none"/>
              </w:rPr>
            </w:pPr>
          </w:p>
          <w:p w14:paraId="2E392145">
            <w:pPr>
              <w:pStyle w:val="46"/>
              <w:rPr>
                <w:rFonts w:hint="eastAsia"/>
                <w:color w:val="auto"/>
                <w:highlight w:val="none"/>
              </w:rPr>
            </w:pPr>
          </w:p>
          <w:p w14:paraId="281F6F74">
            <w:pPr>
              <w:rPr>
                <w:rFonts w:hint="eastAsia"/>
                <w:color w:val="auto"/>
                <w:highlight w:val="none"/>
              </w:rPr>
            </w:pPr>
          </w:p>
          <w:p w14:paraId="3047477D">
            <w:pPr>
              <w:pStyle w:val="44"/>
              <w:rPr>
                <w:color w:val="auto"/>
                <w:highlight w:val="none"/>
              </w:rPr>
            </w:pPr>
          </w:p>
          <w:p w14:paraId="1FEFF233">
            <w:pPr>
              <w:pStyle w:val="46"/>
              <w:rPr>
                <w:rFonts w:hint="eastAsia"/>
                <w:color w:val="auto"/>
                <w:highlight w:val="none"/>
              </w:rPr>
            </w:pPr>
          </w:p>
          <w:p w14:paraId="6552B389">
            <w:pPr>
              <w:rPr>
                <w:rFonts w:hint="eastAsia"/>
                <w:color w:val="auto"/>
                <w:highlight w:val="none"/>
              </w:rPr>
            </w:pPr>
          </w:p>
          <w:p w14:paraId="5B240EB7">
            <w:pPr>
              <w:pStyle w:val="44"/>
              <w:rPr>
                <w:color w:val="auto"/>
                <w:highlight w:val="none"/>
              </w:rPr>
            </w:pPr>
          </w:p>
          <w:p w14:paraId="66ECF3BB">
            <w:pPr>
              <w:pStyle w:val="46"/>
              <w:rPr>
                <w:rFonts w:hint="eastAsia"/>
                <w:color w:val="auto"/>
                <w:highlight w:val="none"/>
              </w:rPr>
            </w:pPr>
          </w:p>
          <w:p w14:paraId="35692E73">
            <w:pPr>
              <w:rPr>
                <w:rFonts w:hint="eastAsia"/>
                <w:color w:val="auto"/>
                <w:highlight w:val="none"/>
              </w:rPr>
            </w:pPr>
          </w:p>
          <w:p w14:paraId="3524F53A">
            <w:pPr>
              <w:pStyle w:val="44"/>
              <w:rPr>
                <w:color w:val="auto"/>
                <w:highlight w:val="none"/>
              </w:rPr>
            </w:pPr>
          </w:p>
          <w:p w14:paraId="04F82EF9">
            <w:pPr>
              <w:pStyle w:val="46"/>
              <w:rPr>
                <w:rFonts w:hint="eastAsia"/>
                <w:color w:val="auto"/>
                <w:highlight w:val="none"/>
              </w:rPr>
            </w:pPr>
          </w:p>
          <w:p w14:paraId="69587704">
            <w:pPr>
              <w:rPr>
                <w:rFonts w:hint="eastAsia"/>
                <w:color w:val="auto"/>
                <w:highlight w:val="none"/>
              </w:rPr>
            </w:pPr>
          </w:p>
          <w:p w14:paraId="6A7E4C2E">
            <w:pPr>
              <w:pStyle w:val="44"/>
              <w:rPr>
                <w:color w:val="auto"/>
                <w:highlight w:val="none"/>
              </w:rPr>
            </w:pPr>
          </w:p>
          <w:p w14:paraId="3DEA0CD2">
            <w:pPr>
              <w:pStyle w:val="46"/>
              <w:rPr>
                <w:rFonts w:hint="eastAsia"/>
                <w:color w:val="auto"/>
                <w:highlight w:val="none"/>
              </w:rPr>
            </w:pPr>
          </w:p>
          <w:p w14:paraId="1C5EE93A">
            <w:pPr>
              <w:rPr>
                <w:color w:val="auto"/>
                <w:highlight w:val="none"/>
              </w:rPr>
            </w:pPr>
          </w:p>
        </w:tc>
      </w:tr>
    </w:tbl>
    <w:p w14:paraId="31C1AD7D">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44A6961">
      <w:pPr>
        <w:pStyle w:val="25"/>
        <w:adjustRightInd w:val="0"/>
        <w:snapToGrid w:val="0"/>
        <w:spacing w:before="0" w:beforeAutospacing="0" w:after="0" w:afterAutospacing="0"/>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4D5E37A6">
      <w:pPr>
        <w:pStyle w:val="25"/>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28"/>
        <w:tblW w:w="139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633"/>
        <w:gridCol w:w="1599"/>
        <w:gridCol w:w="1276"/>
        <w:gridCol w:w="1701"/>
        <w:gridCol w:w="1559"/>
        <w:gridCol w:w="1761"/>
        <w:gridCol w:w="1680"/>
        <w:gridCol w:w="1217"/>
      </w:tblGrid>
      <w:tr w14:paraId="59CD5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74" w:type="dxa"/>
            <w:tcBorders>
              <w:tl2br w:val="single" w:color="auto" w:sz="4" w:space="0"/>
            </w:tcBorders>
            <w:noWrap w:val="0"/>
            <w:tcMar>
              <w:left w:w="28" w:type="dxa"/>
              <w:right w:w="28" w:type="dxa"/>
            </w:tcMar>
            <w:vAlign w:val="center"/>
          </w:tcPr>
          <w:p w14:paraId="105A8C4B">
            <w:pPr>
              <w:pStyle w:val="51"/>
              <w:spacing w:beforeLines="0" w:afterLines="0" w:line="240" w:lineRule="auto"/>
              <w:jc w:val="right"/>
              <w:rPr>
                <w:rFonts w:hint="eastAsia" w:ascii="黑体" w:hAnsi="黑体" w:eastAsia="黑体" w:cs="宋体"/>
                <w:snapToGrid w:val="0"/>
                <w:color w:val="auto"/>
                <w:spacing w:val="-6"/>
                <w:kern w:val="21"/>
                <w:szCs w:val="21"/>
                <w:highlight w:val="none"/>
                <w:lang w:val="en-US" w:eastAsia="zh-CN"/>
              </w:rPr>
            </w:pPr>
            <w:r>
              <w:rPr>
                <w:rFonts w:hint="eastAsia" w:ascii="黑体" w:hAnsi="黑体" w:eastAsia="黑体" w:cs="宋体"/>
                <w:snapToGrid w:val="0"/>
                <w:color w:val="auto"/>
                <w:spacing w:val="-6"/>
                <w:kern w:val="21"/>
                <w:szCs w:val="21"/>
                <w:highlight w:val="none"/>
                <w:lang w:val="en-US" w:eastAsia="zh-CN"/>
              </w:rPr>
              <w:t>项目</w:t>
            </w:r>
          </w:p>
          <w:p w14:paraId="44A41FFE">
            <w:pPr>
              <w:pStyle w:val="51"/>
              <w:spacing w:beforeLines="0" w:afterLines="0" w:line="240" w:lineRule="auto"/>
              <w:jc w:val="left"/>
              <w:rPr>
                <w:rFonts w:hint="eastAsia" w:ascii="黑体" w:hAnsi="黑体" w:eastAsia="黑体" w:cs="宋体"/>
                <w:snapToGrid w:val="0"/>
                <w:color w:val="auto"/>
                <w:spacing w:val="-6"/>
                <w:kern w:val="21"/>
                <w:szCs w:val="21"/>
                <w:highlight w:val="none"/>
                <w:lang w:val="en-US" w:eastAsia="zh-CN"/>
              </w:rPr>
            </w:pPr>
            <w:r>
              <w:rPr>
                <w:rFonts w:hint="eastAsia" w:ascii="黑体" w:hAnsi="黑体" w:eastAsia="黑体" w:cs="宋体"/>
                <w:snapToGrid w:val="0"/>
                <w:color w:val="auto"/>
                <w:spacing w:val="-6"/>
                <w:kern w:val="21"/>
                <w:szCs w:val="21"/>
                <w:highlight w:val="none"/>
                <w:lang w:val="en-US" w:eastAsia="zh-CN"/>
              </w:rPr>
              <w:t>分类</w:t>
            </w:r>
          </w:p>
        </w:tc>
        <w:tc>
          <w:tcPr>
            <w:tcW w:w="1633" w:type="dxa"/>
            <w:noWrap w:val="0"/>
            <w:tcMar>
              <w:left w:w="28" w:type="dxa"/>
              <w:right w:w="28" w:type="dxa"/>
            </w:tcMar>
            <w:vAlign w:val="center"/>
          </w:tcPr>
          <w:p w14:paraId="0A343B85">
            <w:pPr>
              <w:pStyle w:val="51"/>
              <w:spacing w:beforeLines="0" w:afterLines="0" w:line="240" w:lineRule="auto"/>
              <w:rPr>
                <w:rFonts w:hint="eastAsia" w:ascii="黑体" w:hAnsi="黑体" w:eastAsia="黑体" w:cs="宋体"/>
                <w:snapToGrid w:val="0"/>
                <w:color w:val="auto"/>
                <w:spacing w:val="-6"/>
                <w:kern w:val="21"/>
                <w:szCs w:val="21"/>
                <w:highlight w:val="none"/>
                <w:lang w:val="en-US" w:eastAsia="zh-CN"/>
              </w:rPr>
            </w:pPr>
            <w:r>
              <w:rPr>
                <w:rFonts w:hint="eastAsia" w:ascii="黑体" w:hAnsi="黑体" w:eastAsia="黑体" w:cs="宋体"/>
                <w:snapToGrid w:val="0"/>
                <w:color w:val="auto"/>
                <w:spacing w:val="-6"/>
                <w:kern w:val="21"/>
                <w:szCs w:val="21"/>
                <w:highlight w:val="none"/>
                <w:lang w:val="en-US" w:eastAsia="zh-CN"/>
              </w:rPr>
              <w:t>污染物名称</w:t>
            </w:r>
          </w:p>
        </w:tc>
        <w:tc>
          <w:tcPr>
            <w:tcW w:w="1599" w:type="dxa"/>
            <w:noWrap w:val="0"/>
            <w:tcMar>
              <w:left w:w="28" w:type="dxa"/>
              <w:right w:w="28" w:type="dxa"/>
            </w:tcMar>
            <w:vAlign w:val="center"/>
          </w:tcPr>
          <w:p w14:paraId="1DADF955">
            <w:pPr>
              <w:pStyle w:val="51"/>
              <w:spacing w:beforeLines="0" w:afterLines="0" w:line="240" w:lineRule="auto"/>
              <w:rPr>
                <w:rFonts w:hint="eastAsia"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现有工程</w:t>
            </w:r>
          </w:p>
          <w:p w14:paraId="5543B170">
            <w:pPr>
              <w:pStyle w:val="51"/>
              <w:spacing w:beforeLines="0" w:afterLines="0" w:line="240" w:lineRule="auto"/>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排放量（固</w:t>
            </w:r>
            <w:r>
              <w:rPr>
                <w:rFonts w:hint="eastAsia" w:ascii="黑体" w:hAnsi="黑体" w:eastAsia="黑体"/>
                <w:snapToGrid w:val="0"/>
                <w:color w:val="auto"/>
                <w:spacing w:val="-6"/>
                <w:kern w:val="21"/>
                <w:szCs w:val="21"/>
                <w:highlight w:val="none"/>
                <w:lang w:val="en-US" w:eastAsia="zh-CN"/>
              </w:rPr>
              <w:t>体</w:t>
            </w:r>
            <w:r>
              <w:rPr>
                <w:rFonts w:ascii="黑体" w:hAnsi="黑体" w:eastAsia="黑体"/>
                <w:snapToGrid w:val="0"/>
                <w:color w:val="auto"/>
                <w:spacing w:val="-6"/>
                <w:kern w:val="21"/>
                <w:szCs w:val="21"/>
                <w:highlight w:val="none"/>
                <w:lang w:val="en-US" w:eastAsia="zh-CN"/>
              </w:rPr>
              <w:t>废</w:t>
            </w:r>
            <w:r>
              <w:rPr>
                <w:rFonts w:hint="eastAsia" w:ascii="黑体" w:hAnsi="黑体" w:eastAsia="黑体"/>
                <w:snapToGrid w:val="0"/>
                <w:color w:val="auto"/>
                <w:spacing w:val="-6"/>
                <w:kern w:val="21"/>
                <w:szCs w:val="21"/>
                <w:highlight w:val="none"/>
                <w:lang w:val="en-US" w:eastAsia="zh-CN"/>
              </w:rPr>
              <w:t>物</w:t>
            </w:r>
            <w:r>
              <w:rPr>
                <w:rFonts w:ascii="黑体" w:hAnsi="黑体" w:eastAsia="黑体"/>
                <w:snapToGrid w:val="0"/>
                <w:color w:val="auto"/>
                <w:spacing w:val="-6"/>
                <w:kern w:val="21"/>
                <w:szCs w:val="21"/>
                <w:highlight w:val="none"/>
                <w:lang w:val="en-US" w:eastAsia="zh-CN"/>
              </w:rPr>
              <w:t>产生量）</w:t>
            </w:r>
            <w:r>
              <w:rPr>
                <w:rFonts w:ascii="黑体" w:hAnsi="黑体" w:eastAsia="黑体"/>
                <w:snapToGrid w:val="0"/>
                <w:color w:val="auto"/>
                <w:spacing w:val="-6"/>
                <w:kern w:val="21"/>
                <w:szCs w:val="21"/>
                <w:highlight w:val="none"/>
                <w:lang w:val="en-US" w:eastAsia="zh-CN"/>
              </w:rPr>
              <w:fldChar w:fldCharType="begin"/>
            </w:r>
            <w:r>
              <w:rPr>
                <w:rFonts w:ascii="黑体" w:hAnsi="黑体" w:eastAsia="黑体"/>
                <w:snapToGrid w:val="0"/>
                <w:color w:val="auto"/>
                <w:spacing w:val="-6"/>
                <w:kern w:val="21"/>
                <w:szCs w:val="21"/>
                <w:highlight w:val="none"/>
                <w:lang w:val="en-US" w:eastAsia="zh-CN"/>
              </w:rPr>
              <w:instrText xml:space="preserve"> = 1 \* GB3 \* MERGEFORMAT </w:instrText>
            </w:r>
            <w:r>
              <w:rPr>
                <w:rFonts w:ascii="黑体" w:hAnsi="黑体" w:eastAsia="黑体"/>
                <w:snapToGrid w:val="0"/>
                <w:color w:val="auto"/>
                <w:spacing w:val="-6"/>
                <w:kern w:val="21"/>
                <w:szCs w:val="21"/>
                <w:highlight w:val="none"/>
                <w:lang w:val="en-US" w:eastAsia="zh-CN"/>
              </w:rPr>
              <w:fldChar w:fldCharType="separate"/>
            </w:r>
            <w:r>
              <w:rPr>
                <w:rFonts w:hint="eastAsia" w:ascii="黑体" w:hAnsi="黑体" w:eastAsia="黑体" w:cs="宋体"/>
                <w:color w:val="auto"/>
                <w:kern w:val="2"/>
                <w:szCs w:val="21"/>
                <w:highlight w:val="none"/>
                <w:lang w:val="en-US" w:eastAsia="zh-CN"/>
              </w:rPr>
              <w:t>①</w:t>
            </w:r>
            <w:r>
              <w:rPr>
                <w:rFonts w:ascii="黑体" w:hAnsi="黑体" w:eastAsia="黑体"/>
                <w:snapToGrid w:val="0"/>
                <w:color w:val="auto"/>
                <w:spacing w:val="-6"/>
                <w:kern w:val="21"/>
                <w:szCs w:val="21"/>
                <w:highlight w:val="none"/>
                <w:lang w:val="en-US" w:eastAsia="zh-CN"/>
              </w:rPr>
              <w:fldChar w:fldCharType="end"/>
            </w:r>
          </w:p>
        </w:tc>
        <w:tc>
          <w:tcPr>
            <w:tcW w:w="1276" w:type="dxa"/>
            <w:noWrap w:val="0"/>
            <w:tcMar>
              <w:left w:w="28" w:type="dxa"/>
              <w:right w:w="28" w:type="dxa"/>
            </w:tcMar>
            <w:vAlign w:val="center"/>
          </w:tcPr>
          <w:p w14:paraId="14A9E340">
            <w:pPr>
              <w:pStyle w:val="51"/>
              <w:spacing w:beforeLines="0" w:afterLines="0" w:line="240" w:lineRule="auto"/>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现有工程</w:t>
            </w:r>
          </w:p>
          <w:p w14:paraId="7A16D6FC">
            <w:pPr>
              <w:pStyle w:val="51"/>
              <w:spacing w:beforeLines="0" w:afterLines="0" w:line="240" w:lineRule="auto"/>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许可排放量</w:t>
            </w:r>
          </w:p>
          <w:p w14:paraId="15AF3D37">
            <w:pPr>
              <w:pStyle w:val="51"/>
              <w:spacing w:beforeLines="0" w:afterLines="0"/>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fldChar w:fldCharType="begin"/>
            </w:r>
            <w:r>
              <w:rPr>
                <w:rFonts w:ascii="黑体" w:hAnsi="黑体" w:eastAsia="黑体"/>
                <w:snapToGrid w:val="0"/>
                <w:color w:val="auto"/>
                <w:spacing w:val="-6"/>
                <w:kern w:val="21"/>
                <w:szCs w:val="21"/>
                <w:highlight w:val="none"/>
                <w:lang w:val="en-US" w:eastAsia="zh-CN"/>
              </w:rPr>
              <w:instrText xml:space="preserve"> = 2 \* GB3 \* MERGEFORMAT </w:instrText>
            </w:r>
            <w:r>
              <w:rPr>
                <w:rFonts w:ascii="黑体" w:hAnsi="黑体" w:eastAsia="黑体"/>
                <w:snapToGrid w:val="0"/>
                <w:color w:val="auto"/>
                <w:spacing w:val="-6"/>
                <w:kern w:val="21"/>
                <w:szCs w:val="21"/>
                <w:highlight w:val="none"/>
                <w:lang w:val="en-US" w:eastAsia="zh-CN"/>
              </w:rPr>
              <w:fldChar w:fldCharType="separate"/>
            </w:r>
            <w:r>
              <w:rPr>
                <w:rFonts w:hint="eastAsia" w:ascii="黑体" w:hAnsi="黑体" w:eastAsia="黑体" w:cs="宋体"/>
                <w:snapToGrid w:val="0"/>
                <w:color w:val="auto"/>
                <w:spacing w:val="-6"/>
                <w:kern w:val="21"/>
                <w:szCs w:val="21"/>
                <w:highlight w:val="none"/>
                <w:lang w:val="en-US" w:eastAsia="zh-CN"/>
              </w:rPr>
              <w:t>②</w:t>
            </w:r>
            <w:r>
              <w:rPr>
                <w:rFonts w:ascii="黑体" w:hAnsi="黑体" w:eastAsia="黑体"/>
                <w:snapToGrid w:val="0"/>
                <w:color w:val="auto"/>
                <w:spacing w:val="-6"/>
                <w:kern w:val="21"/>
                <w:szCs w:val="21"/>
                <w:highlight w:val="none"/>
                <w:lang w:val="en-US" w:eastAsia="zh-CN"/>
              </w:rPr>
              <w:fldChar w:fldCharType="end"/>
            </w:r>
          </w:p>
        </w:tc>
        <w:tc>
          <w:tcPr>
            <w:tcW w:w="1701" w:type="dxa"/>
            <w:noWrap w:val="0"/>
            <w:tcMar>
              <w:left w:w="28" w:type="dxa"/>
              <w:right w:w="28" w:type="dxa"/>
            </w:tcMar>
            <w:vAlign w:val="center"/>
          </w:tcPr>
          <w:p w14:paraId="3AB848B1">
            <w:pPr>
              <w:pStyle w:val="51"/>
              <w:spacing w:beforeLines="0" w:afterLines="0" w:line="240" w:lineRule="auto"/>
              <w:rPr>
                <w:rFonts w:hint="eastAsia"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在建工程</w:t>
            </w:r>
          </w:p>
          <w:p w14:paraId="18137C62">
            <w:pPr>
              <w:pStyle w:val="51"/>
              <w:spacing w:beforeLines="0" w:afterLines="0" w:line="240" w:lineRule="auto"/>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排放量（固</w:t>
            </w:r>
            <w:r>
              <w:rPr>
                <w:rFonts w:hint="eastAsia" w:ascii="黑体" w:hAnsi="黑体" w:eastAsia="黑体"/>
                <w:snapToGrid w:val="0"/>
                <w:color w:val="auto"/>
                <w:spacing w:val="-6"/>
                <w:kern w:val="21"/>
                <w:szCs w:val="21"/>
                <w:highlight w:val="none"/>
                <w:lang w:val="en-US" w:eastAsia="zh-CN"/>
              </w:rPr>
              <w:t>体</w:t>
            </w:r>
            <w:r>
              <w:rPr>
                <w:rFonts w:ascii="黑体" w:hAnsi="黑体" w:eastAsia="黑体"/>
                <w:snapToGrid w:val="0"/>
                <w:color w:val="auto"/>
                <w:spacing w:val="-6"/>
                <w:kern w:val="21"/>
                <w:szCs w:val="21"/>
                <w:highlight w:val="none"/>
                <w:lang w:val="en-US" w:eastAsia="zh-CN"/>
              </w:rPr>
              <w:t>废</w:t>
            </w:r>
            <w:r>
              <w:rPr>
                <w:rFonts w:hint="eastAsia" w:ascii="黑体" w:hAnsi="黑体" w:eastAsia="黑体"/>
                <w:snapToGrid w:val="0"/>
                <w:color w:val="auto"/>
                <w:spacing w:val="-6"/>
                <w:kern w:val="21"/>
                <w:szCs w:val="21"/>
                <w:highlight w:val="none"/>
                <w:lang w:val="en-US" w:eastAsia="zh-CN"/>
              </w:rPr>
              <w:t>物</w:t>
            </w:r>
            <w:r>
              <w:rPr>
                <w:rFonts w:ascii="黑体" w:hAnsi="黑体" w:eastAsia="黑体"/>
                <w:snapToGrid w:val="0"/>
                <w:color w:val="auto"/>
                <w:spacing w:val="-6"/>
                <w:kern w:val="21"/>
                <w:szCs w:val="21"/>
                <w:highlight w:val="none"/>
                <w:lang w:val="en-US" w:eastAsia="zh-CN"/>
              </w:rPr>
              <w:t>产生量）</w:t>
            </w:r>
            <w:r>
              <w:rPr>
                <w:rFonts w:ascii="黑体" w:hAnsi="黑体" w:eastAsia="黑体"/>
                <w:snapToGrid w:val="0"/>
                <w:color w:val="auto"/>
                <w:spacing w:val="-6"/>
                <w:kern w:val="21"/>
                <w:szCs w:val="21"/>
                <w:highlight w:val="none"/>
                <w:lang w:val="en-US" w:eastAsia="zh-CN"/>
              </w:rPr>
              <w:fldChar w:fldCharType="begin"/>
            </w:r>
            <w:r>
              <w:rPr>
                <w:rFonts w:ascii="黑体" w:hAnsi="黑体" w:eastAsia="黑体"/>
                <w:snapToGrid w:val="0"/>
                <w:color w:val="auto"/>
                <w:spacing w:val="-6"/>
                <w:kern w:val="21"/>
                <w:szCs w:val="21"/>
                <w:highlight w:val="none"/>
                <w:lang w:val="en-US" w:eastAsia="zh-CN"/>
              </w:rPr>
              <w:instrText xml:space="preserve"> = 3 \* GB3 \* MERGEFORMAT </w:instrText>
            </w:r>
            <w:r>
              <w:rPr>
                <w:rFonts w:ascii="黑体" w:hAnsi="黑体" w:eastAsia="黑体"/>
                <w:snapToGrid w:val="0"/>
                <w:color w:val="auto"/>
                <w:spacing w:val="-6"/>
                <w:kern w:val="21"/>
                <w:szCs w:val="21"/>
                <w:highlight w:val="none"/>
                <w:lang w:val="en-US" w:eastAsia="zh-CN"/>
              </w:rPr>
              <w:fldChar w:fldCharType="separate"/>
            </w:r>
            <w:r>
              <w:rPr>
                <w:rFonts w:hint="eastAsia" w:ascii="黑体" w:hAnsi="黑体" w:eastAsia="黑体" w:cs="宋体"/>
                <w:color w:val="auto"/>
                <w:kern w:val="2"/>
                <w:szCs w:val="21"/>
                <w:highlight w:val="none"/>
                <w:lang w:val="en-US" w:eastAsia="zh-CN"/>
              </w:rPr>
              <w:t>③</w:t>
            </w:r>
            <w:r>
              <w:rPr>
                <w:rFonts w:ascii="黑体" w:hAnsi="黑体" w:eastAsia="黑体"/>
                <w:snapToGrid w:val="0"/>
                <w:color w:val="auto"/>
                <w:spacing w:val="-6"/>
                <w:kern w:val="21"/>
                <w:szCs w:val="21"/>
                <w:highlight w:val="none"/>
                <w:lang w:val="en-US" w:eastAsia="zh-CN"/>
              </w:rPr>
              <w:fldChar w:fldCharType="end"/>
            </w:r>
          </w:p>
        </w:tc>
        <w:tc>
          <w:tcPr>
            <w:tcW w:w="1559" w:type="dxa"/>
            <w:noWrap w:val="0"/>
            <w:tcMar>
              <w:left w:w="28" w:type="dxa"/>
              <w:right w:w="28" w:type="dxa"/>
            </w:tcMar>
            <w:vAlign w:val="center"/>
          </w:tcPr>
          <w:p w14:paraId="36474C34">
            <w:pPr>
              <w:pStyle w:val="51"/>
              <w:spacing w:beforeLines="0" w:afterLines="0" w:line="240" w:lineRule="auto"/>
              <w:rPr>
                <w:rFonts w:hint="eastAsia"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本项目</w:t>
            </w:r>
          </w:p>
          <w:p w14:paraId="38EA6AD8">
            <w:pPr>
              <w:pStyle w:val="51"/>
              <w:spacing w:beforeLines="0" w:afterLines="0" w:line="240" w:lineRule="auto"/>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排放量（固</w:t>
            </w:r>
            <w:r>
              <w:rPr>
                <w:rFonts w:hint="eastAsia" w:ascii="黑体" w:hAnsi="黑体" w:eastAsia="黑体"/>
                <w:snapToGrid w:val="0"/>
                <w:color w:val="auto"/>
                <w:spacing w:val="-6"/>
                <w:kern w:val="21"/>
                <w:szCs w:val="21"/>
                <w:highlight w:val="none"/>
                <w:lang w:val="en-US" w:eastAsia="zh-CN"/>
              </w:rPr>
              <w:t>体</w:t>
            </w:r>
            <w:r>
              <w:rPr>
                <w:rFonts w:ascii="黑体" w:hAnsi="黑体" w:eastAsia="黑体"/>
                <w:snapToGrid w:val="0"/>
                <w:color w:val="auto"/>
                <w:spacing w:val="-6"/>
                <w:kern w:val="21"/>
                <w:szCs w:val="21"/>
                <w:highlight w:val="none"/>
                <w:lang w:val="en-US" w:eastAsia="zh-CN"/>
              </w:rPr>
              <w:t>废</w:t>
            </w:r>
            <w:r>
              <w:rPr>
                <w:rFonts w:hint="eastAsia" w:ascii="黑体" w:hAnsi="黑体" w:eastAsia="黑体"/>
                <w:snapToGrid w:val="0"/>
                <w:color w:val="auto"/>
                <w:spacing w:val="-6"/>
                <w:kern w:val="21"/>
                <w:szCs w:val="21"/>
                <w:highlight w:val="none"/>
                <w:lang w:val="en-US" w:eastAsia="zh-CN"/>
              </w:rPr>
              <w:t>物</w:t>
            </w:r>
            <w:r>
              <w:rPr>
                <w:rFonts w:ascii="黑体" w:hAnsi="黑体" w:eastAsia="黑体"/>
                <w:snapToGrid w:val="0"/>
                <w:color w:val="auto"/>
                <w:spacing w:val="-6"/>
                <w:kern w:val="21"/>
                <w:szCs w:val="21"/>
                <w:highlight w:val="none"/>
                <w:lang w:val="en-US" w:eastAsia="zh-CN"/>
              </w:rPr>
              <w:t>产生量）</w:t>
            </w:r>
            <w:r>
              <w:rPr>
                <w:rFonts w:ascii="黑体" w:hAnsi="黑体" w:eastAsia="黑体"/>
                <w:snapToGrid w:val="0"/>
                <w:color w:val="auto"/>
                <w:spacing w:val="-6"/>
                <w:kern w:val="21"/>
                <w:szCs w:val="21"/>
                <w:highlight w:val="none"/>
                <w:lang w:val="en-US" w:eastAsia="zh-CN"/>
              </w:rPr>
              <w:fldChar w:fldCharType="begin"/>
            </w:r>
            <w:r>
              <w:rPr>
                <w:rFonts w:ascii="黑体" w:hAnsi="黑体" w:eastAsia="黑体"/>
                <w:snapToGrid w:val="0"/>
                <w:color w:val="auto"/>
                <w:spacing w:val="-6"/>
                <w:kern w:val="21"/>
                <w:szCs w:val="21"/>
                <w:highlight w:val="none"/>
                <w:lang w:val="en-US" w:eastAsia="zh-CN"/>
              </w:rPr>
              <w:instrText xml:space="preserve"> = 4 \* GB3 \* MERGEFORMAT </w:instrText>
            </w:r>
            <w:r>
              <w:rPr>
                <w:rFonts w:ascii="黑体" w:hAnsi="黑体" w:eastAsia="黑体"/>
                <w:snapToGrid w:val="0"/>
                <w:color w:val="auto"/>
                <w:spacing w:val="-6"/>
                <w:kern w:val="21"/>
                <w:szCs w:val="21"/>
                <w:highlight w:val="none"/>
                <w:lang w:val="en-US" w:eastAsia="zh-CN"/>
              </w:rPr>
              <w:fldChar w:fldCharType="separate"/>
            </w:r>
            <w:r>
              <w:rPr>
                <w:rFonts w:hint="eastAsia" w:ascii="黑体" w:hAnsi="黑体" w:eastAsia="黑体" w:cs="宋体"/>
                <w:color w:val="auto"/>
                <w:kern w:val="2"/>
                <w:szCs w:val="21"/>
                <w:highlight w:val="none"/>
                <w:lang w:val="en-US" w:eastAsia="zh-CN"/>
              </w:rPr>
              <w:t>④</w:t>
            </w:r>
            <w:r>
              <w:rPr>
                <w:rFonts w:ascii="黑体" w:hAnsi="黑体" w:eastAsia="黑体"/>
                <w:snapToGrid w:val="0"/>
                <w:color w:val="auto"/>
                <w:spacing w:val="-6"/>
                <w:kern w:val="21"/>
                <w:szCs w:val="21"/>
                <w:highlight w:val="none"/>
                <w:lang w:val="en-US" w:eastAsia="zh-CN"/>
              </w:rPr>
              <w:fldChar w:fldCharType="end"/>
            </w:r>
          </w:p>
        </w:tc>
        <w:tc>
          <w:tcPr>
            <w:tcW w:w="1761" w:type="dxa"/>
            <w:noWrap w:val="0"/>
            <w:tcMar>
              <w:left w:w="28" w:type="dxa"/>
              <w:right w:w="28" w:type="dxa"/>
            </w:tcMar>
            <w:vAlign w:val="center"/>
          </w:tcPr>
          <w:p w14:paraId="3E7F5A19">
            <w:pPr>
              <w:pStyle w:val="51"/>
              <w:spacing w:beforeLines="0" w:afterLines="0" w:line="240" w:lineRule="auto"/>
              <w:rPr>
                <w:rFonts w:hint="eastAsia" w:ascii="黑体" w:hAnsi="黑体" w:eastAsia="黑体"/>
                <w:snapToGrid w:val="0"/>
                <w:color w:val="auto"/>
                <w:spacing w:val="-16"/>
                <w:kern w:val="21"/>
                <w:szCs w:val="21"/>
                <w:highlight w:val="none"/>
                <w:lang w:val="en-US" w:eastAsia="zh-CN"/>
              </w:rPr>
            </w:pPr>
            <w:r>
              <w:rPr>
                <w:rFonts w:ascii="黑体" w:hAnsi="黑体" w:eastAsia="黑体"/>
                <w:snapToGrid w:val="0"/>
                <w:color w:val="auto"/>
                <w:spacing w:val="-16"/>
                <w:kern w:val="21"/>
                <w:szCs w:val="21"/>
                <w:highlight w:val="none"/>
                <w:lang w:val="en-US" w:eastAsia="zh-CN"/>
              </w:rPr>
              <w:t>以新带老削减量</w:t>
            </w:r>
          </w:p>
          <w:p w14:paraId="29107A43">
            <w:pPr>
              <w:pStyle w:val="51"/>
              <w:spacing w:beforeLines="0" w:afterLines="0" w:line="240" w:lineRule="auto"/>
              <w:rPr>
                <w:rFonts w:ascii="黑体" w:hAnsi="黑体" w:eastAsia="黑体"/>
                <w:snapToGrid w:val="0"/>
                <w:color w:val="auto"/>
                <w:spacing w:val="-16"/>
                <w:kern w:val="21"/>
                <w:szCs w:val="21"/>
                <w:highlight w:val="none"/>
                <w:lang w:val="en-US" w:eastAsia="zh-CN"/>
              </w:rPr>
            </w:pPr>
            <w:r>
              <w:rPr>
                <w:rFonts w:ascii="黑体" w:hAnsi="黑体" w:eastAsia="黑体"/>
                <w:snapToGrid w:val="0"/>
                <w:color w:val="auto"/>
                <w:spacing w:val="-16"/>
                <w:kern w:val="21"/>
                <w:szCs w:val="21"/>
                <w:highlight w:val="none"/>
                <w:lang w:val="en-US" w:eastAsia="zh-CN"/>
              </w:rPr>
              <w:t>（新建项目不填）</w:t>
            </w:r>
            <w:r>
              <w:rPr>
                <w:rFonts w:ascii="黑体" w:hAnsi="黑体" w:eastAsia="黑体"/>
                <w:snapToGrid w:val="0"/>
                <w:color w:val="auto"/>
                <w:spacing w:val="-16"/>
                <w:kern w:val="21"/>
                <w:szCs w:val="21"/>
                <w:highlight w:val="none"/>
                <w:lang w:val="en-US" w:eastAsia="zh-CN"/>
              </w:rPr>
              <w:fldChar w:fldCharType="begin"/>
            </w:r>
            <w:r>
              <w:rPr>
                <w:rFonts w:ascii="黑体" w:hAnsi="黑体" w:eastAsia="黑体"/>
                <w:snapToGrid w:val="0"/>
                <w:color w:val="auto"/>
                <w:spacing w:val="-16"/>
                <w:kern w:val="21"/>
                <w:szCs w:val="21"/>
                <w:highlight w:val="none"/>
                <w:lang w:val="en-US" w:eastAsia="zh-CN"/>
              </w:rPr>
              <w:instrText xml:space="preserve"> = 5 \* GB3 \* MERGEFORMAT </w:instrText>
            </w:r>
            <w:r>
              <w:rPr>
                <w:rFonts w:ascii="黑体" w:hAnsi="黑体" w:eastAsia="黑体"/>
                <w:snapToGrid w:val="0"/>
                <w:color w:val="auto"/>
                <w:spacing w:val="-16"/>
                <w:kern w:val="21"/>
                <w:szCs w:val="21"/>
                <w:highlight w:val="none"/>
                <w:lang w:val="en-US" w:eastAsia="zh-CN"/>
              </w:rPr>
              <w:fldChar w:fldCharType="separate"/>
            </w:r>
            <w:r>
              <w:rPr>
                <w:rFonts w:hint="eastAsia" w:ascii="黑体" w:hAnsi="黑体" w:eastAsia="黑体" w:cs="宋体"/>
                <w:color w:val="auto"/>
                <w:kern w:val="2"/>
                <w:szCs w:val="21"/>
                <w:highlight w:val="none"/>
                <w:lang w:val="en-US" w:eastAsia="zh-CN"/>
              </w:rPr>
              <w:t>⑤</w:t>
            </w:r>
            <w:r>
              <w:rPr>
                <w:rFonts w:ascii="黑体" w:hAnsi="黑体" w:eastAsia="黑体"/>
                <w:snapToGrid w:val="0"/>
                <w:color w:val="auto"/>
                <w:spacing w:val="-16"/>
                <w:kern w:val="21"/>
                <w:szCs w:val="21"/>
                <w:highlight w:val="none"/>
                <w:lang w:val="en-US" w:eastAsia="zh-CN"/>
              </w:rPr>
              <w:fldChar w:fldCharType="end"/>
            </w:r>
          </w:p>
        </w:tc>
        <w:tc>
          <w:tcPr>
            <w:tcW w:w="1680" w:type="dxa"/>
            <w:noWrap w:val="0"/>
            <w:tcMar>
              <w:left w:w="28" w:type="dxa"/>
              <w:right w:w="28" w:type="dxa"/>
            </w:tcMar>
            <w:vAlign w:val="center"/>
          </w:tcPr>
          <w:p w14:paraId="6B97A499">
            <w:pPr>
              <w:pStyle w:val="51"/>
              <w:spacing w:beforeLines="0" w:afterLines="0" w:line="240" w:lineRule="auto"/>
              <w:rPr>
                <w:rFonts w:hint="eastAsia" w:ascii="黑体" w:hAnsi="黑体" w:eastAsia="黑体"/>
                <w:snapToGrid w:val="0"/>
                <w:color w:val="auto"/>
                <w:spacing w:val="-16"/>
                <w:kern w:val="21"/>
                <w:szCs w:val="21"/>
                <w:highlight w:val="none"/>
                <w:lang w:val="en-US" w:eastAsia="zh-CN"/>
              </w:rPr>
            </w:pPr>
            <w:r>
              <w:rPr>
                <w:rFonts w:ascii="黑体" w:hAnsi="黑体" w:eastAsia="黑体"/>
                <w:snapToGrid w:val="0"/>
                <w:color w:val="auto"/>
                <w:spacing w:val="-16"/>
                <w:kern w:val="21"/>
                <w:szCs w:val="21"/>
                <w:highlight w:val="none"/>
                <w:lang w:val="en-US" w:eastAsia="zh-CN"/>
              </w:rPr>
              <w:t>本项目建成后</w:t>
            </w:r>
          </w:p>
          <w:p w14:paraId="2158F8EA">
            <w:pPr>
              <w:pStyle w:val="51"/>
              <w:spacing w:beforeLines="0" w:afterLines="0" w:line="240" w:lineRule="auto"/>
              <w:rPr>
                <w:rFonts w:ascii="黑体" w:hAnsi="黑体" w:eastAsia="黑体"/>
                <w:snapToGrid w:val="0"/>
                <w:color w:val="auto"/>
                <w:spacing w:val="-16"/>
                <w:kern w:val="21"/>
                <w:szCs w:val="21"/>
                <w:highlight w:val="none"/>
                <w:lang w:val="en-US" w:eastAsia="zh-CN"/>
              </w:rPr>
            </w:pPr>
            <w:r>
              <w:rPr>
                <w:rFonts w:hint="eastAsia" w:ascii="黑体" w:hAnsi="黑体" w:eastAsia="黑体"/>
                <w:snapToGrid w:val="0"/>
                <w:color w:val="auto"/>
                <w:spacing w:val="-16"/>
                <w:kern w:val="21"/>
                <w:szCs w:val="21"/>
                <w:highlight w:val="none"/>
                <w:lang w:val="en-US" w:eastAsia="zh-CN"/>
              </w:rPr>
              <w:t>全厂</w:t>
            </w:r>
            <w:r>
              <w:rPr>
                <w:rFonts w:ascii="黑体" w:hAnsi="黑体" w:eastAsia="黑体"/>
                <w:snapToGrid w:val="0"/>
                <w:color w:val="auto"/>
                <w:spacing w:val="-16"/>
                <w:kern w:val="21"/>
                <w:szCs w:val="21"/>
                <w:highlight w:val="none"/>
                <w:lang w:val="en-US" w:eastAsia="zh-CN"/>
              </w:rPr>
              <w:t>排放量（固</w:t>
            </w:r>
            <w:r>
              <w:rPr>
                <w:rFonts w:hint="eastAsia" w:ascii="黑体" w:hAnsi="黑体" w:eastAsia="黑体"/>
                <w:snapToGrid w:val="0"/>
                <w:color w:val="auto"/>
                <w:spacing w:val="-16"/>
                <w:kern w:val="21"/>
                <w:szCs w:val="21"/>
                <w:highlight w:val="none"/>
                <w:lang w:val="en-US" w:eastAsia="zh-CN"/>
              </w:rPr>
              <w:t>体</w:t>
            </w:r>
            <w:r>
              <w:rPr>
                <w:rFonts w:ascii="黑体" w:hAnsi="黑体" w:eastAsia="黑体"/>
                <w:snapToGrid w:val="0"/>
                <w:color w:val="auto"/>
                <w:spacing w:val="-16"/>
                <w:kern w:val="21"/>
                <w:szCs w:val="21"/>
                <w:highlight w:val="none"/>
                <w:lang w:val="en-US" w:eastAsia="zh-CN"/>
              </w:rPr>
              <w:t>废</w:t>
            </w:r>
            <w:r>
              <w:rPr>
                <w:rFonts w:hint="eastAsia" w:ascii="黑体" w:hAnsi="黑体" w:eastAsia="黑体"/>
                <w:snapToGrid w:val="0"/>
                <w:color w:val="auto"/>
                <w:spacing w:val="-16"/>
                <w:kern w:val="21"/>
                <w:szCs w:val="21"/>
                <w:highlight w:val="none"/>
                <w:lang w:val="en-US" w:eastAsia="zh-CN"/>
              </w:rPr>
              <w:t>物</w:t>
            </w:r>
            <w:r>
              <w:rPr>
                <w:rFonts w:ascii="黑体" w:hAnsi="黑体" w:eastAsia="黑体"/>
                <w:snapToGrid w:val="0"/>
                <w:color w:val="auto"/>
                <w:spacing w:val="-16"/>
                <w:kern w:val="21"/>
                <w:szCs w:val="21"/>
                <w:highlight w:val="none"/>
                <w:lang w:val="en-US" w:eastAsia="zh-CN"/>
              </w:rPr>
              <w:t>产生量）</w:t>
            </w:r>
            <w:r>
              <w:rPr>
                <w:rFonts w:ascii="黑体" w:hAnsi="黑体" w:eastAsia="黑体"/>
                <w:snapToGrid w:val="0"/>
                <w:color w:val="auto"/>
                <w:spacing w:val="-16"/>
                <w:kern w:val="21"/>
                <w:szCs w:val="21"/>
                <w:highlight w:val="none"/>
                <w:lang w:val="en-US" w:eastAsia="zh-CN"/>
              </w:rPr>
              <w:fldChar w:fldCharType="begin"/>
            </w:r>
            <w:r>
              <w:rPr>
                <w:rFonts w:ascii="黑体" w:hAnsi="黑体" w:eastAsia="黑体"/>
                <w:snapToGrid w:val="0"/>
                <w:color w:val="auto"/>
                <w:spacing w:val="-16"/>
                <w:kern w:val="21"/>
                <w:szCs w:val="21"/>
                <w:highlight w:val="none"/>
                <w:lang w:val="en-US" w:eastAsia="zh-CN"/>
              </w:rPr>
              <w:instrText xml:space="preserve"> = 6 \* GB3 \* MERGEFORMAT </w:instrText>
            </w:r>
            <w:r>
              <w:rPr>
                <w:rFonts w:ascii="黑体" w:hAnsi="黑体" w:eastAsia="黑体"/>
                <w:snapToGrid w:val="0"/>
                <w:color w:val="auto"/>
                <w:spacing w:val="-16"/>
                <w:kern w:val="21"/>
                <w:szCs w:val="21"/>
                <w:highlight w:val="none"/>
                <w:lang w:val="en-US" w:eastAsia="zh-CN"/>
              </w:rPr>
              <w:fldChar w:fldCharType="separate"/>
            </w:r>
            <w:r>
              <w:rPr>
                <w:rFonts w:hint="eastAsia" w:ascii="黑体" w:hAnsi="黑体" w:eastAsia="黑体" w:cs="宋体"/>
                <w:color w:val="auto"/>
                <w:kern w:val="2"/>
                <w:szCs w:val="21"/>
                <w:highlight w:val="none"/>
                <w:lang w:val="en-US" w:eastAsia="zh-CN"/>
              </w:rPr>
              <w:t>⑥</w:t>
            </w:r>
            <w:r>
              <w:rPr>
                <w:rFonts w:ascii="黑体" w:hAnsi="黑体" w:eastAsia="黑体"/>
                <w:snapToGrid w:val="0"/>
                <w:color w:val="auto"/>
                <w:spacing w:val="-16"/>
                <w:kern w:val="21"/>
                <w:szCs w:val="21"/>
                <w:highlight w:val="none"/>
                <w:lang w:val="en-US" w:eastAsia="zh-CN"/>
              </w:rPr>
              <w:fldChar w:fldCharType="end"/>
            </w:r>
          </w:p>
        </w:tc>
        <w:tc>
          <w:tcPr>
            <w:tcW w:w="1217" w:type="dxa"/>
            <w:noWrap w:val="0"/>
            <w:tcMar>
              <w:left w:w="28" w:type="dxa"/>
              <w:right w:w="28" w:type="dxa"/>
            </w:tcMar>
            <w:vAlign w:val="center"/>
          </w:tcPr>
          <w:p w14:paraId="41332DAE">
            <w:pPr>
              <w:pStyle w:val="51"/>
              <w:spacing w:beforeLines="0" w:afterLines="0" w:line="240" w:lineRule="auto"/>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t>变化量</w:t>
            </w:r>
          </w:p>
          <w:p w14:paraId="7AEBB18E">
            <w:pPr>
              <w:pStyle w:val="51"/>
              <w:spacing w:beforeLines="0" w:afterLines="0" w:line="240" w:lineRule="auto"/>
              <w:rPr>
                <w:rFonts w:ascii="黑体" w:hAnsi="黑体" w:eastAsia="黑体"/>
                <w:snapToGrid w:val="0"/>
                <w:color w:val="auto"/>
                <w:spacing w:val="-6"/>
                <w:kern w:val="21"/>
                <w:szCs w:val="21"/>
                <w:highlight w:val="none"/>
                <w:lang w:val="en-US" w:eastAsia="zh-CN"/>
              </w:rPr>
            </w:pPr>
            <w:r>
              <w:rPr>
                <w:rFonts w:ascii="黑体" w:hAnsi="黑体" w:eastAsia="黑体"/>
                <w:snapToGrid w:val="0"/>
                <w:color w:val="auto"/>
                <w:spacing w:val="-6"/>
                <w:kern w:val="21"/>
                <w:szCs w:val="21"/>
                <w:highlight w:val="none"/>
                <w:lang w:val="en-US" w:eastAsia="zh-CN"/>
              </w:rPr>
              <w:fldChar w:fldCharType="begin"/>
            </w:r>
            <w:r>
              <w:rPr>
                <w:rFonts w:ascii="黑体" w:hAnsi="黑体" w:eastAsia="黑体"/>
                <w:snapToGrid w:val="0"/>
                <w:color w:val="auto"/>
                <w:spacing w:val="-6"/>
                <w:kern w:val="21"/>
                <w:szCs w:val="21"/>
                <w:highlight w:val="none"/>
                <w:lang w:val="en-US" w:eastAsia="zh-CN"/>
              </w:rPr>
              <w:instrText xml:space="preserve"> = 7 \* GB3 \* MERGEFORMAT </w:instrText>
            </w:r>
            <w:r>
              <w:rPr>
                <w:rFonts w:ascii="黑体" w:hAnsi="黑体" w:eastAsia="黑体"/>
                <w:snapToGrid w:val="0"/>
                <w:color w:val="auto"/>
                <w:spacing w:val="-6"/>
                <w:kern w:val="21"/>
                <w:szCs w:val="21"/>
                <w:highlight w:val="none"/>
                <w:lang w:val="en-US" w:eastAsia="zh-CN"/>
              </w:rPr>
              <w:fldChar w:fldCharType="separate"/>
            </w:r>
            <w:r>
              <w:rPr>
                <w:rFonts w:hint="eastAsia" w:ascii="黑体" w:hAnsi="黑体" w:eastAsia="黑体" w:cs="宋体"/>
                <w:color w:val="auto"/>
                <w:kern w:val="2"/>
                <w:szCs w:val="21"/>
                <w:highlight w:val="none"/>
                <w:lang w:val="en-US" w:eastAsia="zh-CN"/>
              </w:rPr>
              <w:t>⑦</w:t>
            </w:r>
            <w:r>
              <w:rPr>
                <w:rFonts w:ascii="黑体" w:hAnsi="黑体" w:eastAsia="黑体"/>
                <w:snapToGrid w:val="0"/>
                <w:color w:val="auto"/>
                <w:spacing w:val="-6"/>
                <w:kern w:val="21"/>
                <w:szCs w:val="21"/>
                <w:highlight w:val="none"/>
                <w:lang w:val="en-US" w:eastAsia="zh-CN"/>
              </w:rPr>
              <w:fldChar w:fldCharType="end"/>
            </w:r>
          </w:p>
        </w:tc>
      </w:tr>
      <w:tr w14:paraId="5141E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74" w:type="dxa"/>
            <w:noWrap w:val="0"/>
            <w:vAlign w:val="center"/>
          </w:tcPr>
          <w:p w14:paraId="113795C5">
            <w:pPr>
              <w:pStyle w:val="51"/>
              <w:spacing w:beforeLines="0" w:afterLines="0" w:line="240" w:lineRule="auto"/>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废气</w:t>
            </w:r>
          </w:p>
        </w:tc>
        <w:tc>
          <w:tcPr>
            <w:tcW w:w="1633" w:type="dxa"/>
            <w:noWrap w:val="0"/>
            <w:vAlign w:val="center"/>
          </w:tcPr>
          <w:p w14:paraId="7F4E2F4F">
            <w:pPr>
              <w:adjustRightInd w:val="0"/>
              <w:snapToGrid w:val="0"/>
              <w:jc w:val="center"/>
              <w:rPr>
                <w:rFonts w:hint="eastAsia" w:hAnsi="宋体" w:cs="宋体"/>
                <w:snapToGrid w:val="0"/>
                <w:color w:val="auto"/>
                <w:kern w:val="21"/>
                <w:szCs w:val="21"/>
                <w:highlight w:val="none"/>
              </w:rPr>
            </w:pPr>
            <w:r>
              <w:rPr>
                <w:rFonts w:hint="eastAsia" w:ascii="宋体" w:hAnsi="宋体" w:cs="宋体"/>
                <w:color w:val="auto"/>
                <w:szCs w:val="21"/>
                <w:highlight w:val="none"/>
                <w:lang w:val="en-US" w:eastAsia="zh-CN"/>
              </w:rPr>
              <w:t>油烟废气</w:t>
            </w:r>
          </w:p>
        </w:tc>
        <w:tc>
          <w:tcPr>
            <w:tcW w:w="1599" w:type="dxa"/>
            <w:noWrap w:val="0"/>
            <w:vAlign w:val="center"/>
          </w:tcPr>
          <w:p w14:paraId="42016EC9">
            <w:pPr>
              <w:pStyle w:val="51"/>
              <w:spacing w:beforeLines="0" w:afterLines="0" w:line="240" w:lineRule="auto"/>
              <w:rPr>
                <w:rFonts w:ascii="Times New Roman"/>
                <w:snapToGrid w:val="0"/>
                <w:color w:val="auto"/>
                <w:kern w:val="21"/>
                <w:szCs w:val="21"/>
                <w:highlight w:val="none"/>
                <w:lang w:val="en-US" w:eastAsia="zh-CN"/>
              </w:rPr>
            </w:pPr>
          </w:p>
        </w:tc>
        <w:tc>
          <w:tcPr>
            <w:tcW w:w="1276" w:type="dxa"/>
            <w:noWrap w:val="0"/>
            <w:vAlign w:val="center"/>
          </w:tcPr>
          <w:p w14:paraId="64A3C29D">
            <w:pPr>
              <w:pStyle w:val="51"/>
              <w:spacing w:beforeLines="0" w:afterLines="0" w:line="240" w:lineRule="auto"/>
              <w:rPr>
                <w:rFonts w:ascii="Times New Roman"/>
                <w:snapToGrid w:val="0"/>
                <w:color w:val="auto"/>
                <w:kern w:val="21"/>
                <w:szCs w:val="21"/>
                <w:highlight w:val="none"/>
                <w:lang w:val="en-US" w:eastAsia="zh-CN"/>
              </w:rPr>
            </w:pPr>
          </w:p>
        </w:tc>
        <w:tc>
          <w:tcPr>
            <w:tcW w:w="1701" w:type="dxa"/>
            <w:noWrap w:val="0"/>
            <w:vAlign w:val="center"/>
          </w:tcPr>
          <w:p w14:paraId="185275F1">
            <w:pPr>
              <w:adjustRightInd w:val="0"/>
              <w:snapToGrid w:val="0"/>
              <w:jc w:val="center"/>
              <w:rPr>
                <w:snapToGrid w:val="0"/>
                <w:color w:val="auto"/>
                <w:kern w:val="21"/>
                <w:szCs w:val="21"/>
                <w:highlight w:val="none"/>
              </w:rPr>
            </w:pPr>
          </w:p>
        </w:tc>
        <w:tc>
          <w:tcPr>
            <w:tcW w:w="1559" w:type="dxa"/>
            <w:noWrap w:val="0"/>
            <w:vAlign w:val="center"/>
          </w:tcPr>
          <w:p w14:paraId="2F1C771A">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0.00</w:t>
            </w:r>
            <w:r>
              <w:rPr>
                <w:rFonts w:hint="eastAsia" w:ascii="Times New Roman" w:cs="Times New Roman"/>
                <w:color w:val="auto"/>
                <w:kern w:val="0"/>
                <w:sz w:val="21"/>
                <w:szCs w:val="21"/>
                <w:highlight w:val="none"/>
                <w:lang w:val="en-US" w:eastAsia="zh-CN"/>
              </w:rPr>
              <w:t>351</w:t>
            </w:r>
            <w:r>
              <w:rPr>
                <w:rFonts w:hint="default" w:ascii="Times New Roman" w:hAnsi="Times New Roman" w:cs="Times New Roman"/>
                <w:snapToGrid w:val="0"/>
                <w:color w:val="auto"/>
                <w:kern w:val="21"/>
                <w:sz w:val="21"/>
                <w:szCs w:val="21"/>
                <w:highlight w:val="none"/>
                <w:lang w:val="en-US" w:eastAsia="zh-CN"/>
              </w:rPr>
              <w:t>t/a</w:t>
            </w:r>
          </w:p>
        </w:tc>
        <w:tc>
          <w:tcPr>
            <w:tcW w:w="1761" w:type="dxa"/>
            <w:noWrap w:val="0"/>
            <w:vAlign w:val="center"/>
          </w:tcPr>
          <w:p w14:paraId="27235589">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p>
        </w:tc>
        <w:tc>
          <w:tcPr>
            <w:tcW w:w="1680" w:type="dxa"/>
            <w:noWrap w:val="0"/>
            <w:vAlign w:val="center"/>
          </w:tcPr>
          <w:p w14:paraId="653C29DA">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0.00</w:t>
            </w:r>
            <w:r>
              <w:rPr>
                <w:rFonts w:hint="eastAsia" w:ascii="Times New Roman" w:cs="Times New Roman"/>
                <w:color w:val="auto"/>
                <w:kern w:val="0"/>
                <w:sz w:val="21"/>
                <w:szCs w:val="21"/>
                <w:highlight w:val="none"/>
                <w:lang w:val="en-US" w:eastAsia="zh-CN"/>
              </w:rPr>
              <w:t>351</w:t>
            </w:r>
            <w:r>
              <w:rPr>
                <w:rFonts w:hint="default" w:ascii="Times New Roman" w:hAnsi="Times New Roman" w:cs="Times New Roman"/>
                <w:snapToGrid w:val="0"/>
                <w:color w:val="auto"/>
                <w:kern w:val="21"/>
                <w:sz w:val="21"/>
                <w:szCs w:val="21"/>
                <w:highlight w:val="none"/>
                <w:lang w:val="en-US" w:eastAsia="zh-CN"/>
              </w:rPr>
              <w:t>t/a</w:t>
            </w:r>
          </w:p>
        </w:tc>
        <w:tc>
          <w:tcPr>
            <w:tcW w:w="1217" w:type="dxa"/>
            <w:noWrap w:val="0"/>
            <w:vAlign w:val="center"/>
          </w:tcPr>
          <w:p w14:paraId="2CE2776A">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r>
      <w:tr w14:paraId="11284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74" w:type="dxa"/>
            <w:vMerge w:val="restart"/>
            <w:noWrap w:val="0"/>
            <w:vAlign w:val="center"/>
          </w:tcPr>
          <w:p w14:paraId="44EF32AF">
            <w:pPr>
              <w:pStyle w:val="51"/>
              <w:spacing w:beforeLines="0" w:afterLines="0" w:line="240" w:lineRule="auto"/>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废水</w:t>
            </w:r>
          </w:p>
        </w:tc>
        <w:tc>
          <w:tcPr>
            <w:tcW w:w="1633" w:type="dxa"/>
            <w:noWrap w:val="0"/>
            <w:vAlign w:val="center"/>
          </w:tcPr>
          <w:p w14:paraId="010DAEC5">
            <w:pPr>
              <w:pStyle w:val="51"/>
              <w:spacing w:beforeLines="0" w:afterLines="0" w:line="240" w:lineRule="auto"/>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生产废水</w:t>
            </w:r>
          </w:p>
        </w:tc>
        <w:tc>
          <w:tcPr>
            <w:tcW w:w="1599" w:type="dxa"/>
            <w:noWrap w:val="0"/>
            <w:vAlign w:val="center"/>
          </w:tcPr>
          <w:p w14:paraId="4088D827">
            <w:pPr>
              <w:pStyle w:val="51"/>
              <w:spacing w:beforeLines="0" w:afterLines="0" w:line="240" w:lineRule="auto"/>
              <w:rPr>
                <w:rFonts w:ascii="Times New Roman"/>
                <w:snapToGrid w:val="0"/>
                <w:color w:val="auto"/>
                <w:kern w:val="21"/>
                <w:szCs w:val="21"/>
                <w:highlight w:val="none"/>
                <w:lang w:val="en-US" w:eastAsia="zh-CN"/>
              </w:rPr>
            </w:pPr>
          </w:p>
        </w:tc>
        <w:tc>
          <w:tcPr>
            <w:tcW w:w="1276" w:type="dxa"/>
            <w:noWrap w:val="0"/>
            <w:vAlign w:val="center"/>
          </w:tcPr>
          <w:p w14:paraId="3AC51075">
            <w:pPr>
              <w:pStyle w:val="51"/>
              <w:spacing w:beforeLines="0" w:afterLines="0" w:line="240" w:lineRule="auto"/>
              <w:rPr>
                <w:rFonts w:ascii="Times New Roman"/>
                <w:snapToGrid w:val="0"/>
                <w:color w:val="auto"/>
                <w:kern w:val="21"/>
                <w:szCs w:val="21"/>
                <w:highlight w:val="none"/>
                <w:lang w:val="en-US" w:eastAsia="zh-CN"/>
              </w:rPr>
            </w:pPr>
          </w:p>
        </w:tc>
        <w:tc>
          <w:tcPr>
            <w:tcW w:w="1701" w:type="dxa"/>
            <w:noWrap w:val="0"/>
            <w:vAlign w:val="center"/>
          </w:tcPr>
          <w:p w14:paraId="49B0190A">
            <w:pPr>
              <w:adjustRightInd w:val="0"/>
              <w:snapToGrid w:val="0"/>
              <w:jc w:val="center"/>
              <w:rPr>
                <w:snapToGrid w:val="0"/>
                <w:color w:val="auto"/>
                <w:kern w:val="21"/>
                <w:szCs w:val="21"/>
                <w:highlight w:val="none"/>
              </w:rPr>
            </w:pPr>
          </w:p>
        </w:tc>
        <w:tc>
          <w:tcPr>
            <w:tcW w:w="1559" w:type="dxa"/>
            <w:noWrap w:val="0"/>
            <w:vAlign w:val="center"/>
          </w:tcPr>
          <w:p w14:paraId="2A9C8BC3">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475.55</w:t>
            </w:r>
            <w:r>
              <w:rPr>
                <w:rFonts w:hint="default" w:ascii="Times New Roman" w:hAnsi="Times New Roman" w:cs="Times New Roman"/>
                <w:snapToGrid w:val="0"/>
                <w:color w:val="auto"/>
                <w:kern w:val="21"/>
                <w:sz w:val="21"/>
                <w:szCs w:val="21"/>
                <w:highlight w:val="none"/>
                <w:lang w:val="en-US" w:eastAsia="zh-CN"/>
              </w:rPr>
              <w:t>t/a</w:t>
            </w:r>
          </w:p>
        </w:tc>
        <w:tc>
          <w:tcPr>
            <w:tcW w:w="1761" w:type="dxa"/>
            <w:noWrap w:val="0"/>
            <w:vAlign w:val="center"/>
          </w:tcPr>
          <w:p w14:paraId="628D1A13">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p>
        </w:tc>
        <w:tc>
          <w:tcPr>
            <w:tcW w:w="1680" w:type="dxa"/>
            <w:noWrap w:val="0"/>
            <w:vAlign w:val="center"/>
          </w:tcPr>
          <w:p w14:paraId="2DC01180">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475.55</w:t>
            </w:r>
            <w:r>
              <w:rPr>
                <w:rFonts w:hint="default" w:ascii="Times New Roman" w:hAnsi="Times New Roman" w:cs="Times New Roman"/>
                <w:snapToGrid w:val="0"/>
                <w:color w:val="auto"/>
                <w:kern w:val="21"/>
                <w:sz w:val="21"/>
                <w:szCs w:val="21"/>
                <w:highlight w:val="none"/>
                <w:lang w:val="en-US" w:eastAsia="zh-CN"/>
              </w:rPr>
              <w:t>t/a</w:t>
            </w:r>
          </w:p>
        </w:tc>
        <w:tc>
          <w:tcPr>
            <w:tcW w:w="1217" w:type="dxa"/>
            <w:noWrap w:val="0"/>
            <w:vAlign w:val="center"/>
          </w:tcPr>
          <w:p w14:paraId="02FC56BD">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r>
      <w:tr w14:paraId="3F771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474" w:type="dxa"/>
            <w:vMerge w:val="continue"/>
            <w:noWrap w:val="0"/>
            <w:vAlign w:val="center"/>
          </w:tcPr>
          <w:p w14:paraId="1AEFFC5B">
            <w:pPr>
              <w:pStyle w:val="51"/>
              <w:spacing w:beforeLines="0" w:afterLines="0" w:line="240" w:lineRule="auto"/>
              <w:rPr>
                <w:rFonts w:hint="eastAsia" w:hAnsi="宋体" w:cs="宋体"/>
                <w:snapToGrid w:val="0"/>
                <w:color w:val="auto"/>
                <w:kern w:val="21"/>
                <w:szCs w:val="21"/>
                <w:highlight w:val="none"/>
                <w:lang w:val="en-US" w:eastAsia="zh-CN"/>
              </w:rPr>
            </w:pPr>
          </w:p>
        </w:tc>
        <w:tc>
          <w:tcPr>
            <w:tcW w:w="1633" w:type="dxa"/>
            <w:noWrap w:val="0"/>
            <w:vAlign w:val="center"/>
          </w:tcPr>
          <w:p w14:paraId="4975C44B">
            <w:pPr>
              <w:pStyle w:val="51"/>
              <w:spacing w:beforeLines="0" w:afterLines="0" w:line="240" w:lineRule="auto"/>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生活污水</w:t>
            </w:r>
          </w:p>
        </w:tc>
        <w:tc>
          <w:tcPr>
            <w:tcW w:w="1599" w:type="dxa"/>
            <w:noWrap w:val="0"/>
            <w:vAlign w:val="center"/>
          </w:tcPr>
          <w:p w14:paraId="4EAEC3A8">
            <w:pPr>
              <w:pStyle w:val="51"/>
              <w:spacing w:beforeLines="0" w:afterLines="0" w:line="240" w:lineRule="auto"/>
              <w:rPr>
                <w:rFonts w:ascii="Times New Roman"/>
                <w:snapToGrid w:val="0"/>
                <w:color w:val="auto"/>
                <w:kern w:val="21"/>
                <w:szCs w:val="21"/>
                <w:highlight w:val="none"/>
                <w:lang w:val="en-US" w:eastAsia="zh-CN"/>
              </w:rPr>
            </w:pPr>
          </w:p>
        </w:tc>
        <w:tc>
          <w:tcPr>
            <w:tcW w:w="1276" w:type="dxa"/>
            <w:noWrap w:val="0"/>
            <w:vAlign w:val="center"/>
          </w:tcPr>
          <w:p w14:paraId="5B3B7CC3">
            <w:pPr>
              <w:pStyle w:val="51"/>
              <w:spacing w:beforeLines="0" w:afterLines="0" w:line="240" w:lineRule="auto"/>
              <w:rPr>
                <w:rFonts w:ascii="Times New Roman"/>
                <w:snapToGrid w:val="0"/>
                <w:color w:val="auto"/>
                <w:kern w:val="21"/>
                <w:szCs w:val="21"/>
                <w:highlight w:val="none"/>
                <w:lang w:val="en-US" w:eastAsia="zh-CN"/>
              </w:rPr>
            </w:pPr>
          </w:p>
        </w:tc>
        <w:tc>
          <w:tcPr>
            <w:tcW w:w="1701" w:type="dxa"/>
            <w:noWrap w:val="0"/>
            <w:vAlign w:val="center"/>
          </w:tcPr>
          <w:p w14:paraId="6FD19321">
            <w:pPr>
              <w:adjustRightInd w:val="0"/>
              <w:snapToGrid w:val="0"/>
              <w:jc w:val="center"/>
              <w:rPr>
                <w:snapToGrid w:val="0"/>
                <w:color w:val="auto"/>
                <w:kern w:val="21"/>
                <w:szCs w:val="21"/>
                <w:highlight w:val="none"/>
              </w:rPr>
            </w:pPr>
          </w:p>
        </w:tc>
        <w:tc>
          <w:tcPr>
            <w:tcW w:w="1559" w:type="dxa"/>
            <w:noWrap w:val="0"/>
            <w:vAlign w:val="center"/>
          </w:tcPr>
          <w:p w14:paraId="74BBCE72">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156</w:t>
            </w:r>
            <w:r>
              <w:rPr>
                <w:rFonts w:hint="default" w:ascii="Times New Roman" w:hAnsi="Times New Roman" w:cs="Times New Roman"/>
                <w:snapToGrid w:val="0"/>
                <w:color w:val="auto"/>
                <w:kern w:val="21"/>
                <w:sz w:val="21"/>
                <w:szCs w:val="21"/>
                <w:highlight w:val="none"/>
                <w:lang w:val="en-US" w:eastAsia="zh-CN"/>
              </w:rPr>
              <w:t>t/a</w:t>
            </w:r>
          </w:p>
        </w:tc>
        <w:tc>
          <w:tcPr>
            <w:tcW w:w="1761" w:type="dxa"/>
            <w:noWrap w:val="0"/>
            <w:vAlign w:val="center"/>
          </w:tcPr>
          <w:p w14:paraId="4F01E4BE">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p>
        </w:tc>
        <w:tc>
          <w:tcPr>
            <w:tcW w:w="1680" w:type="dxa"/>
            <w:noWrap w:val="0"/>
            <w:vAlign w:val="center"/>
          </w:tcPr>
          <w:p w14:paraId="79FB746C">
            <w:pPr>
              <w:pStyle w:val="51"/>
              <w:spacing w:beforeLines="0" w:afterLines="0" w:line="240" w:lineRule="auto"/>
              <w:rPr>
                <w:rFonts w:hint="default"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156</w:t>
            </w:r>
            <w:r>
              <w:rPr>
                <w:rFonts w:hint="default" w:ascii="Times New Roman" w:hAnsi="Times New Roman" w:cs="Times New Roman"/>
                <w:snapToGrid w:val="0"/>
                <w:color w:val="auto"/>
                <w:kern w:val="21"/>
                <w:sz w:val="21"/>
                <w:szCs w:val="21"/>
                <w:highlight w:val="none"/>
                <w:lang w:val="en-US" w:eastAsia="zh-CN"/>
              </w:rPr>
              <w:t>t/a</w:t>
            </w:r>
          </w:p>
        </w:tc>
        <w:tc>
          <w:tcPr>
            <w:tcW w:w="1217" w:type="dxa"/>
            <w:noWrap w:val="0"/>
            <w:vAlign w:val="center"/>
          </w:tcPr>
          <w:p w14:paraId="38D09C34">
            <w:pPr>
              <w:spacing w:beforeLines="0" w:afterLines="0" w:line="240" w:lineRule="auto"/>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r>
      <w:tr w14:paraId="1B0CB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474" w:type="dxa"/>
            <w:vMerge w:val="restart"/>
            <w:noWrap w:val="0"/>
            <w:vAlign w:val="center"/>
          </w:tcPr>
          <w:p w14:paraId="791B6AEE">
            <w:pPr>
              <w:pStyle w:val="51"/>
              <w:spacing w:beforeLines="0" w:afterLines="0" w:line="240" w:lineRule="auto"/>
              <w:rPr>
                <w:rFonts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一般工业</w:t>
            </w:r>
          </w:p>
          <w:p w14:paraId="0467AC8A">
            <w:pPr>
              <w:pStyle w:val="51"/>
              <w:spacing w:beforeLines="0" w:afterLines="0" w:line="240" w:lineRule="auto"/>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固体废物</w:t>
            </w:r>
          </w:p>
        </w:tc>
        <w:tc>
          <w:tcPr>
            <w:tcW w:w="1633" w:type="dxa"/>
            <w:noWrap w:val="0"/>
            <w:vAlign w:val="center"/>
          </w:tcPr>
          <w:p w14:paraId="339CC6CA">
            <w:pPr>
              <w:jc w:val="center"/>
              <w:rPr>
                <w:rFonts w:hAnsi="宋体" w:cs="宋体"/>
                <w:snapToGrid w:val="0"/>
                <w:color w:val="auto"/>
                <w:kern w:val="21"/>
                <w:szCs w:val="21"/>
                <w:highlight w:val="none"/>
              </w:rPr>
            </w:pPr>
            <w:r>
              <w:rPr>
                <w:rFonts w:hint="eastAsia" w:hAnsi="宋体" w:cs="宋体"/>
                <w:snapToGrid w:val="0"/>
                <w:color w:val="auto"/>
                <w:kern w:val="21"/>
                <w:szCs w:val="21"/>
                <w:highlight w:val="none"/>
              </w:rPr>
              <w:t>山茱萸果核</w:t>
            </w:r>
          </w:p>
        </w:tc>
        <w:tc>
          <w:tcPr>
            <w:tcW w:w="1599" w:type="dxa"/>
            <w:noWrap w:val="0"/>
            <w:vAlign w:val="center"/>
          </w:tcPr>
          <w:p w14:paraId="14573248">
            <w:pPr>
              <w:adjustRightInd w:val="0"/>
              <w:snapToGrid w:val="0"/>
              <w:jc w:val="center"/>
              <w:rPr>
                <w:snapToGrid w:val="0"/>
                <w:color w:val="auto"/>
                <w:kern w:val="21"/>
                <w:szCs w:val="21"/>
                <w:highlight w:val="none"/>
              </w:rPr>
            </w:pPr>
          </w:p>
        </w:tc>
        <w:tc>
          <w:tcPr>
            <w:tcW w:w="1276" w:type="dxa"/>
            <w:noWrap w:val="0"/>
            <w:vAlign w:val="center"/>
          </w:tcPr>
          <w:p w14:paraId="0C1FF4C1">
            <w:pPr>
              <w:pStyle w:val="51"/>
              <w:spacing w:beforeLines="0" w:afterLines="0" w:line="240" w:lineRule="auto"/>
              <w:rPr>
                <w:rFonts w:ascii="Times New Roman"/>
                <w:snapToGrid w:val="0"/>
                <w:color w:val="auto"/>
                <w:kern w:val="21"/>
                <w:szCs w:val="21"/>
                <w:highlight w:val="none"/>
                <w:lang w:val="en-US" w:eastAsia="zh-CN"/>
              </w:rPr>
            </w:pPr>
          </w:p>
        </w:tc>
        <w:tc>
          <w:tcPr>
            <w:tcW w:w="1701" w:type="dxa"/>
            <w:noWrap w:val="0"/>
            <w:vAlign w:val="center"/>
          </w:tcPr>
          <w:p w14:paraId="1CFB18EE">
            <w:pPr>
              <w:adjustRightInd w:val="0"/>
              <w:snapToGrid w:val="0"/>
              <w:jc w:val="center"/>
              <w:rPr>
                <w:snapToGrid w:val="0"/>
                <w:color w:val="auto"/>
                <w:kern w:val="21"/>
                <w:szCs w:val="21"/>
                <w:highlight w:val="none"/>
              </w:rPr>
            </w:pPr>
          </w:p>
        </w:tc>
        <w:tc>
          <w:tcPr>
            <w:tcW w:w="1559" w:type="dxa"/>
            <w:noWrap w:val="0"/>
            <w:vAlign w:val="center"/>
          </w:tcPr>
          <w:p w14:paraId="01CE340F">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750t</w:t>
            </w:r>
            <w:r>
              <w:rPr>
                <w:snapToGrid w:val="0"/>
                <w:color w:val="auto"/>
                <w:kern w:val="21"/>
                <w:szCs w:val="21"/>
                <w:highlight w:val="none"/>
              </w:rPr>
              <w:t>/a</w:t>
            </w:r>
          </w:p>
        </w:tc>
        <w:tc>
          <w:tcPr>
            <w:tcW w:w="1761" w:type="dxa"/>
            <w:noWrap w:val="0"/>
            <w:vAlign w:val="center"/>
          </w:tcPr>
          <w:p w14:paraId="0CF119EA">
            <w:pPr>
              <w:adjustRightInd w:val="0"/>
              <w:snapToGrid w:val="0"/>
              <w:jc w:val="center"/>
              <w:rPr>
                <w:rFonts w:hint="eastAsia"/>
                <w:snapToGrid w:val="0"/>
                <w:color w:val="auto"/>
                <w:kern w:val="21"/>
                <w:szCs w:val="21"/>
                <w:highlight w:val="none"/>
              </w:rPr>
            </w:pPr>
          </w:p>
        </w:tc>
        <w:tc>
          <w:tcPr>
            <w:tcW w:w="1680" w:type="dxa"/>
            <w:noWrap w:val="0"/>
            <w:vAlign w:val="center"/>
          </w:tcPr>
          <w:p w14:paraId="1EFA0B5F">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750</w:t>
            </w:r>
            <w:r>
              <w:rPr>
                <w:snapToGrid w:val="0"/>
                <w:color w:val="auto"/>
                <w:kern w:val="21"/>
                <w:szCs w:val="21"/>
                <w:highlight w:val="none"/>
              </w:rPr>
              <w:t>t/a</w:t>
            </w:r>
          </w:p>
        </w:tc>
        <w:tc>
          <w:tcPr>
            <w:tcW w:w="1217" w:type="dxa"/>
            <w:noWrap w:val="0"/>
            <w:vAlign w:val="center"/>
          </w:tcPr>
          <w:p w14:paraId="0D2A670A">
            <w:pPr>
              <w:spacing w:beforeLines="0" w:afterLines="0" w:line="240" w:lineRule="auto"/>
              <w:jc w:val="center"/>
              <w:rPr>
                <w:rFonts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r>
      <w:tr w14:paraId="5DF14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474" w:type="dxa"/>
            <w:vMerge w:val="continue"/>
            <w:noWrap w:val="0"/>
            <w:vAlign w:val="center"/>
          </w:tcPr>
          <w:p w14:paraId="793A3251">
            <w:pPr>
              <w:pStyle w:val="51"/>
              <w:spacing w:beforeLines="0" w:afterLines="0" w:line="240" w:lineRule="auto"/>
              <w:rPr>
                <w:rFonts w:hint="eastAsia" w:hAnsi="宋体" w:cs="宋体"/>
                <w:snapToGrid w:val="0"/>
                <w:color w:val="auto"/>
                <w:kern w:val="21"/>
                <w:szCs w:val="21"/>
                <w:highlight w:val="none"/>
                <w:lang w:val="en-US" w:eastAsia="zh-CN"/>
              </w:rPr>
            </w:pPr>
          </w:p>
        </w:tc>
        <w:tc>
          <w:tcPr>
            <w:tcW w:w="1633" w:type="dxa"/>
            <w:noWrap w:val="0"/>
            <w:vAlign w:val="center"/>
          </w:tcPr>
          <w:p w14:paraId="69DC1AB2">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色选杂质</w:t>
            </w:r>
          </w:p>
        </w:tc>
        <w:tc>
          <w:tcPr>
            <w:tcW w:w="1599" w:type="dxa"/>
            <w:noWrap w:val="0"/>
            <w:vAlign w:val="center"/>
          </w:tcPr>
          <w:p w14:paraId="35EA4F78">
            <w:pPr>
              <w:pStyle w:val="51"/>
              <w:spacing w:beforeLines="0" w:afterLines="0" w:line="240" w:lineRule="auto"/>
              <w:rPr>
                <w:rFonts w:ascii="Times New Roman"/>
                <w:snapToGrid w:val="0"/>
                <w:color w:val="auto"/>
                <w:kern w:val="21"/>
                <w:szCs w:val="21"/>
                <w:highlight w:val="none"/>
                <w:lang w:val="en-US" w:eastAsia="zh-CN"/>
              </w:rPr>
            </w:pPr>
          </w:p>
        </w:tc>
        <w:tc>
          <w:tcPr>
            <w:tcW w:w="1276" w:type="dxa"/>
            <w:noWrap w:val="0"/>
            <w:vAlign w:val="center"/>
          </w:tcPr>
          <w:p w14:paraId="45A01146">
            <w:pPr>
              <w:pStyle w:val="51"/>
              <w:spacing w:beforeLines="0" w:afterLines="0" w:line="240" w:lineRule="auto"/>
              <w:rPr>
                <w:rFonts w:ascii="Times New Roman"/>
                <w:snapToGrid w:val="0"/>
                <w:color w:val="auto"/>
                <w:kern w:val="21"/>
                <w:szCs w:val="21"/>
                <w:highlight w:val="none"/>
                <w:lang w:val="en-US" w:eastAsia="zh-CN"/>
              </w:rPr>
            </w:pPr>
          </w:p>
        </w:tc>
        <w:tc>
          <w:tcPr>
            <w:tcW w:w="1701" w:type="dxa"/>
            <w:noWrap w:val="0"/>
            <w:vAlign w:val="center"/>
          </w:tcPr>
          <w:p w14:paraId="2713ECBB">
            <w:pPr>
              <w:adjustRightInd w:val="0"/>
              <w:snapToGrid w:val="0"/>
              <w:jc w:val="center"/>
              <w:rPr>
                <w:snapToGrid w:val="0"/>
                <w:color w:val="auto"/>
                <w:kern w:val="21"/>
                <w:szCs w:val="21"/>
                <w:highlight w:val="none"/>
              </w:rPr>
            </w:pPr>
          </w:p>
        </w:tc>
        <w:tc>
          <w:tcPr>
            <w:tcW w:w="1559" w:type="dxa"/>
            <w:noWrap w:val="0"/>
            <w:vAlign w:val="center"/>
          </w:tcPr>
          <w:p w14:paraId="409F70D5">
            <w:pPr>
              <w:adjustRightInd w:val="0"/>
              <w:snapToGrid w:val="0"/>
              <w:jc w:val="center"/>
              <w:rPr>
                <w:rFonts w:hint="default" w:eastAsia="宋体"/>
                <w:snapToGrid w:val="0"/>
                <w:color w:val="auto"/>
                <w:kern w:val="21"/>
                <w:szCs w:val="21"/>
                <w:highlight w:val="none"/>
                <w:lang w:val="en-US" w:eastAsia="zh-CN"/>
              </w:rPr>
            </w:pPr>
            <w:r>
              <w:rPr>
                <w:rFonts w:hint="eastAsia"/>
                <w:snapToGrid w:val="0"/>
                <w:color w:val="auto"/>
                <w:kern w:val="21"/>
                <w:szCs w:val="21"/>
                <w:highlight w:val="none"/>
                <w:lang w:val="en-US" w:eastAsia="zh-CN"/>
              </w:rPr>
              <w:t>2.5t</w:t>
            </w:r>
            <w:r>
              <w:rPr>
                <w:snapToGrid w:val="0"/>
                <w:color w:val="auto"/>
                <w:kern w:val="21"/>
                <w:szCs w:val="21"/>
                <w:highlight w:val="none"/>
              </w:rPr>
              <w:t>/a</w:t>
            </w:r>
          </w:p>
        </w:tc>
        <w:tc>
          <w:tcPr>
            <w:tcW w:w="1761" w:type="dxa"/>
            <w:noWrap w:val="0"/>
            <w:vAlign w:val="center"/>
          </w:tcPr>
          <w:p w14:paraId="6882780A">
            <w:pPr>
              <w:adjustRightInd w:val="0"/>
              <w:snapToGrid w:val="0"/>
              <w:jc w:val="center"/>
              <w:rPr>
                <w:rFonts w:hint="eastAsia"/>
                <w:snapToGrid w:val="0"/>
                <w:color w:val="auto"/>
                <w:kern w:val="21"/>
                <w:szCs w:val="21"/>
                <w:highlight w:val="none"/>
              </w:rPr>
            </w:pPr>
          </w:p>
        </w:tc>
        <w:tc>
          <w:tcPr>
            <w:tcW w:w="1680" w:type="dxa"/>
            <w:noWrap w:val="0"/>
            <w:vAlign w:val="center"/>
          </w:tcPr>
          <w:p w14:paraId="5C3A4396">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2.5</w:t>
            </w:r>
            <w:r>
              <w:rPr>
                <w:snapToGrid w:val="0"/>
                <w:color w:val="auto"/>
                <w:kern w:val="21"/>
                <w:szCs w:val="21"/>
                <w:highlight w:val="none"/>
              </w:rPr>
              <w:t>t/a</w:t>
            </w:r>
          </w:p>
        </w:tc>
        <w:tc>
          <w:tcPr>
            <w:tcW w:w="1217" w:type="dxa"/>
            <w:noWrap w:val="0"/>
            <w:vAlign w:val="center"/>
          </w:tcPr>
          <w:p w14:paraId="26D3A44B">
            <w:pPr>
              <w:adjustRightInd w:val="0"/>
              <w:snapToGrid w:val="0"/>
              <w:jc w:val="center"/>
              <w:rPr>
                <w:rFonts w:hint="eastAsia"/>
                <w:snapToGrid w:val="0"/>
                <w:color w:val="auto"/>
                <w:kern w:val="21"/>
                <w:szCs w:val="21"/>
                <w:highlight w:val="none"/>
              </w:rPr>
            </w:pPr>
            <w:r>
              <w:rPr>
                <w:rFonts w:hint="eastAsia" w:ascii="Times New Roman"/>
                <w:snapToGrid w:val="0"/>
                <w:color w:val="auto"/>
                <w:kern w:val="21"/>
                <w:szCs w:val="21"/>
                <w:highlight w:val="none"/>
                <w:lang w:val="en-US" w:eastAsia="zh-CN"/>
              </w:rPr>
              <w:t>0</w:t>
            </w:r>
          </w:p>
        </w:tc>
      </w:tr>
      <w:tr w14:paraId="59645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474" w:type="dxa"/>
            <w:vMerge w:val="continue"/>
            <w:noWrap w:val="0"/>
            <w:vAlign w:val="center"/>
          </w:tcPr>
          <w:p w14:paraId="3B79EE2E">
            <w:pPr>
              <w:pStyle w:val="51"/>
              <w:spacing w:beforeLines="0" w:afterLines="0" w:line="240" w:lineRule="auto"/>
              <w:rPr>
                <w:rFonts w:hint="eastAsia" w:hAnsi="宋体" w:cs="宋体"/>
                <w:snapToGrid w:val="0"/>
                <w:color w:val="auto"/>
                <w:kern w:val="21"/>
                <w:szCs w:val="21"/>
                <w:highlight w:val="none"/>
                <w:lang w:val="en-US" w:eastAsia="zh-CN"/>
              </w:rPr>
            </w:pPr>
          </w:p>
        </w:tc>
        <w:tc>
          <w:tcPr>
            <w:tcW w:w="1633" w:type="dxa"/>
            <w:noWrap w:val="0"/>
            <w:vAlign w:val="center"/>
          </w:tcPr>
          <w:p w14:paraId="7E0EE00A">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废包装</w:t>
            </w:r>
          </w:p>
        </w:tc>
        <w:tc>
          <w:tcPr>
            <w:tcW w:w="1599" w:type="dxa"/>
            <w:noWrap w:val="0"/>
            <w:vAlign w:val="center"/>
          </w:tcPr>
          <w:p w14:paraId="2D9645BB">
            <w:pPr>
              <w:pStyle w:val="51"/>
              <w:spacing w:beforeLines="0" w:afterLines="0" w:line="240" w:lineRule="auto"/>
              <w:rPr>
                <w:rFonts w:ascii="Times New Roman"/>
                <w:snapToGrid w:val="0"/>
                <w:color w:val="auto"/>
                <w:kern w:val="21"/>
                <w:szCs w:val="21"/>
                <w:highlight w:val="none"/>
                <w:lang w:val="en-US" w:eastAsia="zh-CN"/>
              </w:rPr>
            </w:pPr>
          </w:p>
        </w:tc>
        <w:tc>
          <w:tcPr>
            <w:tcW w:w="1276" w:type="dxa"/>
            <w:noWrap w:val="0"/>
            <w:vAlign w:val="center"/>
          </w:tcPr>
          <w:p w14:paraId="1FCBD391">
            <w:pPr>
              <w:pStyle w:val="51"/>
              <w:spacing w:beforeLines="0" w:afterLines="0" w:line="240" w:lineRule="auto"/>
              <w:rPr>
                <w:rFonts w:ascii="Times New Roman"/>
                <w:snapToGrid w:val="0"/>
                <w:color w:val="auto"/>
                <w:kern w:val="21"/>
                <w:szCs w:val="21"/>
                <w:highlight w:val="none"/>
                <w:lang w:val="en-US" w:eastAsia="zh-CN"/>
              </w:rPr>
            </w:pPr>
          </w:p>
        </w:tc>
        <w:tc>
          <w:tcPr>
            <w:tcW w:w="1701" w:type="dxa"/>
            <w:noWrap w:val="0"/>
            <w:vAlign w:val="center"/>
          </w:tcPr>
          <w:p w14:paraId="693460E7">
            <w:pPr>
              <w:adjustRightInd w:val="0"/>
              <w:snapToGrid w:val="0"/>
              <w:jc w:val="center"/>
              <w:rPr>
                <w:snapToGrid w:val="0"/>
                <w:color w:val="auto"/>
                <w:kern w:val="21"/>
                <w:szCs w:val="21"/>
                <w:highlight w:val="none"/>
              </w:rPr>
            </w:pPr>
          </w:p>
        </w:tc>
        <w:tc>
          <w:tcPr>
            <w:tcW w:w="1559" w:type="dxa"/>
            <w:noWrap w:val="0"/>
            <w:vAlign w:val="center"/>
          </w:tcPr>
          <w:p w14:paraId="256DEDB7">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7</w:t>
            </w:r>
            <w:r>
              <w:rPr>
                <w:snapToGrid w:val="0"/>
                <w:color w:val="auto"/>
                <w:kern w:val="21"/>
                <w:szCs w:val="21"/>
                <w:highlight w:val="none"/>
              </w:rPr>
              <w:t>t/a</w:t>
            </w:r>
          </w:p>
        </w:tc>
        <w:tc>
          <w:tcPr>
            <w:tcW w:w="1761" w:type="dxa"/>
            <w:noWrap w:val="0"/>
            <w:vAlign w:val="center"/>
          </w:tcPr>
          <w:p w14:paraId="15C54835">
            <w:pPr>
              <w:adjustRightInd w:val="0"/>
              <w:snapToGrid w:val="0"/>
              <w:jc w:val="center"/>
              <w:rPr>
                <w:rFonts w:hint="eastAsia"/>
                <w:snapToGrid w:val="0"/>
                <w:color w:val="auto"/>
                <w:kern w:val="21"/>
                <w:szCs w:val="21"/>
                <w:highlight w:val="none"/>
              </w:rPr>
            </w:pPr>
          </w:p>
        </w:tc>
        <w:tc>
          <w:tcPr>
            <w:tcW w:w="1680" w:type="dxa"/>
            <w:noWrap w:val="0"/>
            <w:vAlign w:val="center"/>
          </w:tcPr>
          <w:p w14:paraId="7A8A75C9">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7</w:t>
            </w:r>
            <w:r>
              <w:rPr>
                <w:snapToGrid w:val="0"/>
                <w:color w:val="auto"/>
                <w:kern w:val="21"/>
                <w:szCs w:val="21"/>
                <w:highlight w:val="none"/>
              </w:rPr>
              <w:t>t/a</w:t>
            </w:r>
          </w:p>
        </w:tc>
        <w:tc>
          <w:tcPr>
            <w:tcW w:w="1217" w:type="dxa"/>
            <w:noWrap w:val="0"/>
            <w:vAlign w:val="center"/>
          </w:tcPr>
          <w:p w14:paraId="4B93DCDC">
            <w:pPr>
              <w:adjustRightInd w:val="0"/>
              <w:snapToGrid w:val="0"/>
              <w:jc w:val="center"/>
              <w:rPr>
                <w:snapToGrid w:val="0"/>
                <w:color w:val="auto"/>
                <w:kern w:val="21"/>
                <w:szCs w:val="21"/>
                <w:highlight w:val="none"/>
              </w:rPr>
            </w:pPr>
            <w:r>
              <w:rPr>
                <w:rFonts w:hint="eastAsia" w:ascii="Times New Roman"/>
                <w:snapToGrid w:val="0"/>
                <w:color w:val="auto"/>
                <w:kern w:val="21"/>
                <w:szCs w:val="21"/>
                <w:highlight w:val="none"/>
                <w:lang w:val="en-US" w:eastAsia="zh-CN"/>
              </w:rPr>
              <w:t>0</w:t>
            </w:r>
          </w:p>
        </w:tc>
      </w:tr>
      <w:tr w14:paraId="75F90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474" w:type="dxa"/>
            <w:vMerge w:val="continue"/>
            <w:noWrap w:val="0"/>
            <w:vAlign w:val="center"/>
          </w:tcPr>
          <w:p w14:paraId="2339A60B">
            <w:pPr>
              <w:pStyle w:val="51"/>
              <w:spacing w:beforeLines="0" w:afterLines="0" w:line="240" w:lineRule="auto"/>
              <w:rPr>
                <w:rFonts w:hint="eastAsia" w:hAnsi="宋体" w:cs="宋体"/>
                <w:snapToGrid w:val="0"/>
                <w:color w:val="auto"/>
                <w:kern w:val="21"/>
                <w:szCs w:val="21"/>
                <w:highlight w:val="none"/>
                <w:lang w:val="en-US" w:eastAsia="zh-CN"/>
              </w:rPr>
            </w:pPr>
          </w:p>
        </w:tc>
        <w:tc>
          <w:tcPr>
            <w:tcW w:w="1633" w:type="dxa"/>
            <w:noWrap w:val="0"/>
            <w:vAlign w:val="center"/>
          </w:tcPr>
          <w:p w14:paraId="2B136677">
            <w:pPr>
              <w:jc w:val="center"/>
              <w:rPr>
                <w:rFonts w:hint="eastAsia" w:hAnsi="宋体" w:cs="宋体"/>
                <w:snapToGrid w:val="0"/>
                <w:color w:val="auto"/>
                <w:kern w:val="21"/>
                <w:szCs w:val="21"/>
                <w:highlight w:val="none"/>
              </w:rPr>
            </w:pPr>
            <w:r>
              <w:rPr>
                <w:rFonts w:hint="eastAsia" w:hAnsi="宋体" w:cs="宋体"/>
                <w:snapToGrid w:val="0"/>
                <w:color w:val="auto"/>
                <w:kern w:val="21"/>
                <w:szCs w:val="21"/>
                <w:highlight w:val="none"/>
              </w:rPr>
              <w:t>生活垃圾</w:t>
            </w:r>
          </w:p>
        </w:tc>
        <w:tc>
          <w:tcPr>
            <w:tcW w:w="1599" w:type="dxa"/>
            <w:noWrap w:val="0"/>
            <w:vAlign w:val="center"/>
          </w:tcPr>
          <w:p w14:paraId="7C083E75">
            <w:pPr>
              <w:adjustRightInd w:val="0"/>
              <w:snapToGrid w:val="0"/>
              <w:jc w:val="center"/>
              <w:rPr>
                <w:snapToGrid w:val="0"/>
                <w:color w:val="auto"/>
                <w:kern w:val="21"/>
                <w:szCs w:val="21"/>
                <w:highlight w:val="none"/>
              </w:rPr>
            </w:pPr>
          </w:p>
        </w:tc>
        <w:tc>
          <w:tcPr>
            <w:tcW w:w="1276" w:type="dxa"/>
            <w:noWrap w:val="0"/>
            <w:vAlign w:val="center"/>
          </w:tcPr>
          <w:p w14:paraId="49F0040A">
            <w:pPr>
              <w:pStyle w:val="51"/>
              <w:spacing w:beforeLines="0" w:afterLines="0" w:line="240" w:lineRule="auto"/>
              <w:rPr>
                <w:rFonts w:ascii="Times New Roman"/>
                <w:snapToGrid w:val="0"/>
                <w:color w:val="auto"/>
                <w:kern w:val="21"/>
                <w:szCs w:val="21"/>
                <w:highlight w:val="none"/>
                <w:lang w:val="en-US" w:eastAsia="zh-CN"/>
              </w:rPr>
            </w:pPr>
          </w:p>
        </w:tc>
        <w:tc>
          <w:tcPr>
            <w:tcW w:w="1701" w:type="dxa"/>
            <w:noWrap w:val="0"/>
            <w:vAlign w:val="center"/>
          </w:tcPr>
          <w:p w14:paraId="195FAC98">
            <w:pPr>
              <w:adjustRightInd w:val="0"/>
              <w:snapToGrid w:val="0"/>
              <w:jc w:val="center"/>
              <w:rPr>
                <w:snapToGrid w:val="0"/>
                <w:color w:val="auto"/>
                <w:kern w:val="21"/>
                <w:szCs w:val="21"/>
                <w:highlight w:val="none"/>
              </w:rPr>
            </w:pPr>
          </w:p>
        </w:tc>
        <w:tc>
          <w:tcPr>
            <w:tcW w:w="1559" w:type="dxa"/>
            <w:noWrap w:val="0"/>
            <w:vAlign w:val="center"/>
          </w:tcPr>
          <w:p w14:paraId="63E3995D">
            <w:pPr>
              <w:adjustRightInd w:val="0"/>
              <w:snapToGrid w:val="0"/>
              <w:jc w:val="center"/>
              <w:rPr>
                <w:snapToGrid w:val="0"/>
                <w:color w:val="auto"/>
                <w:kern w:val="21"/>
                <w:szCs w:val="21"/>
                <w:highlight w:val="none"/>
              </w:rPr>
            </w:pPr>
            <w:r>
              <w:rPr>
                <w:rFonts w:hint="eastAsia"/>
                <w:snapToGrid w:val="0"/>
                <w:color w:val="auto"/>
                <w:kern w:val="21"/>
                <w:szCs w:val="21"/>
                <w:highlight w:val="none"/>
              </w:rPr>
              <w:t>0.</w:t>
            </w:r>
            <w:r>
              <w:rPr>
                <w:rFonts w:hint="eastAsia"/>
                <w:snapToGrid w:val="0"/>
                <w:color w:val="auto"/>
                <w:kern w:val="21"/>
                <w:szCs w:val="21"/>
                <w:highlight w:val="none"/>
                <w:lang w:val="en-US" w:eastAsia="zh-CN"/>
              </w:rPr>
              <w:t>5</w:t>
            </w:r>
            <w:r>
              <w:rPr>
                <w:rFonts w:hint="eastAsia"/>
                <w:snapToGrid w:val="0"/>
                <w:color w:val="auto"/>
                <w:kern w:val="21"/>
                <w:szCs w:val="21"/>
                <w:highlight w:val="none"/>
              </w:rPr>
              <w:t>9</w:t>
            </w:r>
            <w:r>
              <w:rPr>
                <w:snapToGrid w:val="0"/>
                <w:color w:val="auto"/>
                <w:kern w:val="21"/>
                <w:szCs w:val="21"/>
                <w:highlight w:val="none"/>
              </w:rPr>
              <w:t>t/a</w:t>
            </w:r>
          </w:p>
        </w:tc>
        <w:tc>
          <w:tcPr>
            <w:tcW w:w="1761" w:type="dxa"/>
            <w:noWrap w:val="0"/>
            <w:vAlign w:val="center"/>
          </w:tcPr>
          <w:p w14:paraId="3FCB4ECF">
            <w:pPr>
              <w:adjustRightInd w:val="0"/>
              <w:snapToGrid w:val="0"/>
              <w:jc w:val="center"/>
              <w:rPr>
                <w:rFonts w:hint="eastAsia"/>
                <w:snapToGrid w:val="0"/>
                <w:color w:val="auto"/>
                <w:kern w:val="21"/>
                <w:szCs w:val="21"/>
                <w:highlight w:val="none"/>
              </w:rPr>
            </w:pPr>
          </w:p>
        </w:tc>
        <w:tc>
          <w:tcPr>
            <w:tcW w:w="1680" w:type="dxa"/>
            <w:noWrap w:val="0"/>
            <w:vAlign w:val="center"/>
          </w:tcPr>
          <w:p w14:paraId="3670F5F8">
            <w:pPr>
              <w:adjustRightInd w:val="0"/>
              <w:snapToGrid w:val="0"/>
              <w:jc w:val="center"/>
              <w:rPr>
                <w:snapToGrid w:val="0"/>
                <w:color w:val="auto"/>
                <w:kern w:val="21"/>
                <w:szCs w:val="21"/>
                <w:highlight w:val="none"/>
              </w:rPr>
            </w:pPr>
            <w:r>
              <w:rPr>
                <w:rFonts w:hint="eastAsia"/>
                <w:snapToGrid w:val="0"/>
                <w:color w:val="auto"/>
                <w:kern w:val="21"/>
                <w:szCs w:val="21"/>
                <w:highlight w:val="none"/>
                <w:lang w:val="en-US" w:eastAsia="zh-CN"/>
              </w:rPr>
              <w:t>0.59</w:t>
            </w:r>
            <w:r>
              <w:rPr>
                <w:snapToGrid w:val="0"/>
                <w:color w:val="auto"/>
                <w:kern w:val="21"/>
                <w:szCs w:val="21"/>
                <w:highlight w:val="none"/>
              </w:rPr>
              <w:t>t/a</w:t>
            </w:r>
          </w:p>
        </w:tc>
        <w:tc>
          <w:tcPr>
            <w:tcW w:w="1217" w:type="dxa"/>
            <w:noWrap w:val="0"/>
            <w:vAlign w:val="center"/>
          </w:tcPr>
          <w:p w14:paraId="5CFD4BD4">
            <w:pPr>
              <w:spacing w:beforeLines="0" w:afterLines="0" w:line="240" w:lineRule="auto"/>
              <w:jc w:val="center"/>
              <w:rPr>
                <w:rFonts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r>
      <w:tr w14:paraId="43EC2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474" w:type="dxa"/>
            <w:noWrap w:val="0"/>
            <w:vAlign w:val="center"/>
          </w:tcPr>
          <w:p w14:paraId="39A56EC9">
            <w:pPr>
              <w:pStyle w:val="51"/>
              <w:spacing w:beforeLines="0" w:afterLines="0" w:line="240" w:lineRule="auto"/>
              <w:rPr>
                <w:rFonts w:hint="eastAsia" w:hAnsi="宋体" w:cs="宋体"/>
                <w:snapToGrid w:val="0"/>
                <w:color w:val="auto"/>
                <w:kern w:val="21"/>
                <w:szCs w:val="21"/>
                <w:highlight w:val="none"/>
                <w:lang w:val="en-US" w:eastAsia="zh-CN"/>
              </w:rPr>
            </w:pPr>
            <w:r>
              <w:rPr>
                <w:rFonts w:hint="eastAsia" w:hAnsi="宋体" w:cs="宋体"/>
                <w:snapToGrid w:val="0"/>
                <w:color w:val="auto"/>
                <w:kern w:val="21"/>
                <w:szCs w:val="21"/>
                <w:highlight w:val="none"/>
                <w:lang w:val="en-US" w:eastAsia="zh-CN"/>
              </w:rPr>
              <w:t>危险废物</w:t>
            </w:r>
          </w:p>
        </w:tc>
        <w:tc>
          <w:tcPr>
            <w:tcW w:w="1633" w:type="dxa"/>
            <w:noWrap w:val="0"/>
            <w:vAlign w:val="center"/>
          </w:tcPr>
          <w:p w14:paraId="23E75D0B">
            <w:pPr>
              <w:jc w:val="center"/>
              <w:rPr>
                <w:rFonts w:hint="eastAsia" w:hAnsi="宋体" w:eastAsia="宋体" w:cs="宋体"/>
                <w:snapToGrid w:val="0"/>
                <w:color w:val="auto"/>
                <w:kern w:val="21"/>
                <w:szCs w:val="21"/>
                <w:highlight w:val="none"/>
                <w:lang w:eastAsia="zh-CN"/>
              </w:rPr>
            </w:pPr>
            <w:r>
              <w:rPr>
                <w:rFonts w:hint="eastAsia"/>
                <w:color w:val="auto"/>
                <w:szCs w:val="21"/>
                <w:highlight w:val="none"/>
              </w:rPr>
              <w:t>检验</w:t>
            </w:r>
            <w:r>
              <w:rPr>
                <w:rFonts w:hint="eastAsia"/>
                <w:color w:val="auto"/>
                <w:szCs w:val="21"/>
                <w:highlight w:val="none"/>
                <w:lang w:eastAsia="zh-CN"/>
              </w:rPr>
              <w:t>废液</w:t>
            </w:r>
          </w:p>
        </w:tc>
        <w:tc>
          <w:tcPr>
            <w:tcW w:w="1599" w:type="dxa"/>
            <w:noWrap w:val="0"/>
            <w:vAlign w:val="center"/>
          </w:tcPr>
          <w:p w14:paraId="6D7965F1">
            <w:pPr>
              <w:pStyle w:val="51"/>
              <w:spacing w:beforeLines="0" w:afterLines="0" w:line="240" w:lineRule="auto"/>
              <w:rPr>
                <w:rFonts w:hAnsi="宋体" w:cs="宋体"/>
                <w:snapToGrid w:val="0"/>
                <w:color w:val="auto"/>
                <w:kern w:val="21"/>
                <w:szCs w:val="21"/>
                <w:highlight w:val="none"/>
                <w:lang w:val="en-US" w:eastAsia="zh-CN"/>
              </w:rPr>
            </w:pPr>
          </w:p>
        </w:tc>
        <w:tc>
          <w:tcPr>
            <w:tcW w:w="1276" w:type="dxa"/>
            <w:noWrap w:val="0"/>
            <w:vAlign w:val="center"/>
          </w:tcPr>
          <w:p w14:paraId="4E2F6526">
            <w:pPr>
              <w:pStyle w:val="51"/>
              <w:spacing w:beforeLines="0" w:afterLines="0" w:line="240" w:lineRule="auto"/>
              <w:rPr>
                <w:rFonts w:hAnsi="宋体" w:cs="宋体"/>
                <w:snapToGrid w:val="0"/>
                <w:color w:val="auto"/>
                <w:kern w:val="21"/>
                <w:szCs w:val="21"/>
                <w:highlight w:val="none"/>
                <w:lang w:val="en-US" w:eastAsia="zh-CN"/>
              </w:rPr>
            </w:pPr>
          </w:p>
        </w:tc>
        <w:tc>
          <w:tcPr>
            <w:tcW w:w="1701" w:type="dxa"/>
            <w:noWrap w:val="0"/>
            <w:vAlign w:val="center"/>
          </w:tcPr>
          <w:p w14:paraId="136E1769">
            <w:pPr>
              <w:adjustRightInd w:val="0"/>
              <w:snapToGrid w:val="0"/>
              <w:jc w:val="center"/>
              <w:rPr>
                <w:rFonts w:hint="eastAsia" w:hAnsi="宋体" w:cs="宋体"/>
                <w:snapToGrid w:val="0"/>
                <w:color w:val="auto"/>
                <w:kern w:val="21"/>
                <w:szCs w:val="21"/>
                <w:highlight w:val="none"/>
              </w:rPr>
            </w:pPr>
          </w:p>
        </w:tc>
        <w:tc>
          <w:tcPr>
            <w:tcW w:w="1559" w:type="dxa"/>
            <w:noWrap w:val="0"/>
            <w:vAlign w:val="center"/>
          </w:tcPr>
          <w:p w14:paraId="48C4E66F">
            <w:pPr>
              <w:pStyle w:val="51"/>
              <w:spacing w:beforeLines="0" w:afterLines="0" w:line="240" w:lineRule="auto"/>
              <w:rPr>
                <w:rFonts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0.12</w:t>
            </w:r>
            <w:r>
              <w:rPr>
                <w:rFonts w:ascii="Times New Roman"/>
                <w:snapToGrid w:val="0"/>
                <w:color w:val="auto"/>
                <w:kern w:val="21"/>
                <w:szCs w:val="21"/>
                <w:highlight w:val="none"/>
                <w:lang w:val="en-US" w:eastAsia="zh-CN"/>
              </w:rPr>
              <w:t>t/a</w:t>
            </w:r>
          </w:p>
        </w:tc>
        <w:tc>
          <w:tcPr>
            <w:tcW w:w="1761" w:type="dxa"/>
            <w:noWrap w:val="0"/>
            <w:vAlign w:val="center"/>
          </w:tcPr>
          <w:p w14:paraId="7A71687F">
            <w:pPr>
              <w:pStyle w:val="51"/>
              <w:spacing w:beforeLines="0" w:afterLines="0" w:line="240" w:lineRule="auto"/>
              <w:rPr>
                <w:rFonts w:ascii="Times New Roman"/>
                <w:snapToGrid w:val="0"/>
                <w:color w:val="auto"/>
                <w:kern w:val="21"/>
                <w:szCs w:val="21"/>
                <w:highlight w:val="none"/>
                <w:lang w:val="en-US" w:eastAsia="zh-CN"/>
              </w:rPr>
            </w:pPr>
          </w:p>
        </w:tc>
        <w:tc>
          <w:tcPr>
            <w:tcW w:w="1680" w:type="dxa"/>
            <w:noWrap w:val="0"/>
            <w:vAlign w:val="center"/>
          </w:tcPr>
          <w:p w14:paraId="7EB53F1D">
            <w:pPr>
              <w:pStyle w:val="51"/>
              <w:spacing w:beforeLines="0" w:afterLines="0" w:line="240" w:lineRule="auto"/>
              <w:rPr>
                <w:rFonts w:hint="eastAsia"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0.12</w:t>
            </w:r>
            <w:r>
              <w:rPr>
                <w:rFonts w:ascii="Times New Roman"/>
                <w:snapToGrid w:val="0"/>
                <w:color w:val="auto"/>
                <w:kern w:val="21"/>
                <w:szCs w:val="21"/>
                <w:highlight w:val="none"/>
                <w:lang w:val="en-US" w:eastAsia="zh-CN"/>
              </w:rPr>
              <w:t>t/a</w:t>
            </w:r>
          </w:p>
        </w:tc>
        <w:tc>
          <w:tcPr>
            <w:tcW w:w="1217" w:type="dxa"/>
            <w:noWrap w:val="0"/>
            <w:vAlign w:val="center"/>
          </w:tcPr>
          <w:p w14:paraId="1DE4F1B0">
            <w:pPr>
              <w:spacing w:beforeLines="0" w:afterLines="0" w:line="240" w:lineRule="auto"/>
              <w:jc w:val="center"/>
              <w:rPr>
                <w:rFonts w:ascii="Times New Roman"/>
                <w:snapToGrid w:val="0"/>
                <w:color w:val="auto"/>
                <w:kern w:val="21"/>
                <w:szCs w:val="21"/>
                <w:highlight w:val="none"/>
                <w:lang w:val="en-US" w:eastAsia="zh-CN"/>
              </w:rPr>
            </w:pPr>
            <w:r>
              <w:rPr>
                <w:rFonts w:hint="eastAsia" w:ascii="Times New Roman"/>
                <w:snapToGrid w:val="0"/>
                <w:color w:val="auto"/>
                <w:kern w:val="21"/>
                <w:szCs w:val="21"/>
                <w:highlight w:val="none"/>
                <w:lang w:val="en-US" w:eastAsia="zh-CN"/>
              </w:rPr>
              <w:t>0</w:t>
            </w:r>
          </w:p>
        </w:tc>
      </w:tr>
    </w:tbl>
    <w:p w14:paraId="3231E2F7">
      <w:pPr>
        <w:pStyle w:val="51"/>
        <w:spacing w:beforeLines="0" w:afterLines="0" w:line="260" w:lineRule="auto"/>
        <w:jc w:val="left"/>
        <w:rPr>
          <w:rFonts w:hint="eastAsia"/>
          <w:color w:val="auto"/>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长城楷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Times New Roman PS MT">
    <w:altName w:val="Times New Roman"/>
    <w:panose1 w:val="00000000000000000000"/>
    <w:charset w:val="00"/>
    <w:family w:val="auto"/>
    <w:pitch w:val="default"/>
    <w:sig w:usb0="00000000" w:usb1="00000000" w:usb2="00000000"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 w:name="KSOF6B657194">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05F1F">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F4343">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39F78">
    <w:pPr>
      <w:pStyle w:val="21"/>
      <w:jc w:val="right"/>
      <w:rPr>
        <w:rStyle w:val="31"/>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0B39B">
                          <w:pPr>
                            <w:pStyle w:val="21"/>
                            <w:jc w:val="right"/>
                          </w:pPr>
                          <w:r>
                            <w:rPr>
                              <w:rStyle w:val="31"/>
                              <w:rFonts w:hint="eastAsia" w:ascii="宋体" w:hAnsi="宋体"/>
                              <w:sz w:val="28"/>
                              <w:szCs w:val="28"/>
                            </w:rPr>
                            <w:t>—</w:t>
                          </w:r>
                          <w:r>
                            <w:rPr>
                              <w:rStyle w:val="31"/>
                              <w:rFonts w:hint="eastAsia" w:ascii="宋体" w:hAnsi="宋体"/>
                              <w:sz w:val="20"/>
                            </w:rPr>
                            <w:t xml:space="preserve"> </w:t>
                          </w:r>
                          <w:r>
                            <w:rPr>
                              <w:rStyle w:val="31"/>
                              <w:sz w:val="20"/>
                            </w:rPr>
                            <w:t xml:space="preserve"> </w:t>
                          </w:r>
                          <w:r>
                            <w:rPr>
                              <w:rStyle w:val="31"/>
                              <w:sz w:val="26"/>
                              <w:szCs w:val="26"/>
                            </w:rPr>
                            <w:fldChar w:fldCharType="begin"/>
                          </w:r>
                          <w:r>
                            <w:rPr>
                              <w:rStyle w:val="31"/>
                              <w:sz w:val="26"/>
                              <w:szCs w:val="26"/>
                            </w:rPr>
                            <w:instrText xml:space="preserve">PAGE  </w:instrText>
                          </w:r>
                          <w:r>
                            <w:rPr>
                              <w:rStyle w:val="31"/>
                              <w:sz w:val="26"/>
                              <w:szCs w:val="26"/>
                            </w:rPr>
                            <w:fldChar w:fldCharType="separate"/>
                          </w:r>
                          <w:r>
                            <w:rPr>
                              <w:rStyle w:val="31"/>
                              <w:sz w:val="26"/>
                              <w:szCs w:val="26"/>
                            </w:rPr>
                            <w:t>1</w:t>
                          </w:r>
                          <w:r>
                            <w:rPr>
                              <w:rStyle w:val="31"/>
                              <w:sz w:val="26"/>
                              <w:szCs w:val="26"/>
                            </w:rPr>
                            <w:fldChar w:fldCharType="end"/>
                          </w:r>
                          <w:r>
                            <w:rPr>
                              <w:rStyle w:val="31"/>
                              <w:sz w:val="20"/>
                            </w:rPr>
                            <w:t xml:space="preserve">  </w:t>
                          </w:r>
                          <w:r>
                            <w:rPr>
                              <w:rStyle w:val="3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V0Ed0BAAC+AwAADgAAAGRycy9lMm9Eb2MueG1srVNBrtMwEN0jcQfL&#10;e5q0Eq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NX/OmROWBn75/u3y49fl51e2&#10;TPL0PlaUdecpD4dXMNDSzP5IzsR6aINNf+LDKE7inq/iqgGZTJfWq/W6pJCk2Hwg/OL+ug8R3yiw&#10;LBk1DzS9LKo4vYs4ps4pqZqDW21MnqBxfzkIM3mK1PvYY7Jw2A8ToT00Z+JDz4DqdBC+cNbTEtTc&#10;0c5zZt460jjty2yE2djPhnCSLtYcORvN1zju1dEHfejypqWmon95ROo0E0htjLWn7misWYJpBdPe&#10;/HnOWffPb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hVdBHdAQAAvgMAAA4AAAAAAAAA&#10;AQAgAAAAHgEAAGRycy9lMm9Eb2MueG1sUEsFBgAAAAAGAAYAWQEAAG0FAAAAAA==&#10;">
              <v:fill on="f" focussize="0,0"/>
              <v:stroke on="f"/>
              <v:imagedata o:title=""/>
              <o:lock v:ext="edit" aspectratio="f"/>
              <v:textbox inset="0mm,0mm,0mm,0mm" style="mso-fit-shape-to-text:t;">
                <w:txbxContent>
                  <w:p w14:paraId="2C10B39B">
                    <w:pPr>
                      <w:pStyle w:val="21"/>
                      <w:jc w:val="right"/>
                    </w:pPr>
                    <w:r>
                      <w:rPr>
                        <w:rStyle w:val="31"/>
                        <w:rFonts w:hint="eastAsia" w:ascii="宋体" w:hAnsi="宋体"/>
                        <w:sz w:val="28"/>
                        <w:szCs w:val="28"/>
                      </w:rPr>
                      <w:t>—</w:t>
                    </w:r>
                    <w:r>
                      <w:rPr>
                        <w:rStyle w:val="31"/>
                        <w:rFonts w:hint="eastAsia" w:ascii="宋体" w:hAnsi="宋体"/>
                        <w:sz w:val="20"/>
                      </w:rPr>
                      <w:t xml:space="preserve"> </w:t>
                    </w:r>
                    <w:r>
                      <w:rPr>
                        <w:rStyle w:val="31"/>
                        <w:sz w:val="20"/>
                      </w:rPr>
                      <w:t xml:space="preserve"> </w:t>
                    </w:r>
                    <w:r>
                      <w:rPr>
                        <w:rStyle w:val="31"/>
                        <w:sz w:val="26"/>
                        <w:szCs w:val="26"/>
                      </w:rPr>
                      <w:fldChar w:fldCharType="begin"/>
                    </w:r>
                    <w:r>
                      <w:rPr>
                        <w:rStyle w:val="31"/>
                        <w:sz w:val="26"/>
                        <w:szCs w:val="26"/>
                      </w:rPr>
                      <w:instrText xml:space="preserve">PAGE  </w:instrText>
                    </w:r>
                    <w:r>
                      <w:rPr>
                        <w:rStyle w:val="31"/>
                        <w:sz w:val="26"/>
                        <w:szCs w:val="26"/>
                      </w:rPr>
                      <w:fldChar w:fldCharType="separate"/>
                    </w:r>
                    <w:r>
                      <w:rPr>
                        <w:rStyle w:val="31"/>
                        <w:sz w:val="26"/>
                        <w:szCs w:val="26"/>
                      </w:rPr>
                      <w:t>1</w:t>
                    </w:r>
                    <w:r>
                      <w:rPr>
                        <w:rStyle w:val="31"/>
                        <w:sz w:val="26"/>
                        <w:szCs w:val="26"/>
                      </w:rPr>
                      <w:fldChar w:fldCharType="end"/>
                    </w:r>
                    <w:r>
                      <w:rPr>
                        <w:rStyle w:val="31"/>
                        <w:sz w:val="20"/>
                      </w:rPr>
                      <w:t xml:space="preserve">  </w:t>
                    </w:r>
                    <w:r>
                      <w:rPr>
                        <w:rStyle w:val="31"/>
                        <w:rFonts w:hint="eastAsia" w:ascii="宋体" w:hAnsi="宋体"/>
                        <w:sz w:val="28"/>
                        <w:szCs w:val="28"/>
                      </w:rPr>
                      <w:t>—</w:t>
                    </w:r>
                  </w:p>
                </w:txbxContent>
              </v:textbox>
            </v:shape>
          </w:pict>
        </mc:Fallback>
      </mc:AlternateContent>
    </w:r>
  </w:p>
  <w:p w14:paraId="26006EB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62995">
    <w:pPr>
      <w:pStyle w:val="21"/>
      <w:framePr w:wrap="around" w:vAnchor="text" w:hAnchor="page" w:x="1565" w:y="-41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sz w:val="20"/>
      </w:rPr>
      <w:t xml:space="preserve"> </w:t>
    </w:r>
    <w:r>
      <w:rPr>
        <w:rStyle w:val="31"/>
        <w:sz w:val="26"/>
        <w:szCs w:val="26"/>
      </w:rPr>
      <w:fldChar w:fldCharType="begin"/>
    </w:r>
    <w:r>
      <w:rPr>
        <w:rStyle w:val="31"/>
        <w:sz w:val="26"/>
        <w:szCs w:val="26"/>
      </w:rPr>
      <w:instrText xml:space="preserve">PAGE  </w:instrText>
    </w:r>
    <w:r>
      <w:rPr>
        <w:rStyle w:val="31"/>
        <w:sz w:val="26"/>
        <w:szCs w:val="26"/>
      </w:rPr>
      <w:fldChar w:fldCharType="separate"/>
    </w:r>
    <w:r>
      <w:rPr>
        <w:rStyle w:val="31"/>
        <w:sz w:val="26"/>
        <w:szCs w:val="26"/>
      </w:rPr>
      <w:t>2</w:t>
    </w:r>
    <w:r>
      <w:rPr>
        <w:rStyle w:val="31"/>
        <w:sz w:val="26"/>
        <w:szCs w:val="26"/>
      </w:rPr>
      <w:fldChar w:fldCharType="end"/>
    </w:r>
    <w:r>
      <w:rPr>
        <w:rStyle w:val="31"/>
        <w:sz w:val="20"/>
      </w:rPr>
      <w:t xml:space="preserve">  </w:t>
    </w:r>
    <w:r>
      <w:rPr>
        <w:rStyle w:val="31"/>
        <w:rFonts w:hint="eastAsia" w:ascii="宋体" w:hAnsi="宋体"/>
        <w:sz w:val="28"/>
        <w:szCs w:val="28"/>
      </w:rPr>
      <w:t>—</w:t>
    </w:r>
  </w:p>
  <w:p w14:paraId="1834137E">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8392C">
    <w:pPr>
      <w:pStyle w:val="21"/>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612A20">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sz w:val="26"/>
                              <w:szCs w:val="26"/>
                            </w:rPr>
                            <w:fldChar w:fldCharType="begin"/>
                          </w:r>
                          <w:r>
                            <w:rPr>
                              <w:rStyle w:val="31"/>
                              <w:sz w:val="26"/>
                              <w:szCs w:val="26"/>
                            </w:rPr>
                            <w:instrText xml:space="preserve">PAGE  </w:instrText>
                          </w:r>
                          <w:r>
                            <w:rPr>
                              <w:rStyle w:val="31"/>
                              <w:sz w:val="26"/>
                              <w:szCs w:val="26"/>
                            </w:rPr>
                            <w:fldChar w:fldCharType="separate"/>
                          </w:r>
                          <w:r>
                            <w:rPr>
                              <w:rStyle w:val="31"/>
                              <w:sz w:val="26"/>
                              <w:szCs w:val="26"/>
                            </w:rPr>
                            <w:t>71</w:t>
                          </w:r>
                          <w:r>
                            <w:rPr>
                              <w:rStyle w:val="31"/>
                              <w:sz w:val="26"/>
                              <w:szCs w:val="26"/>
                            </w:rPr>
                            <w:fldChar w:fldCharType="end"/>
                          </w:r>
                          <w:r>
                            <w:rPr>
                              <w:rStyle w:val="31"/>
                              <w:sz w:val="20"/>
                            </w:rPr>
                            <w:t xml:space="preserve">  </w:t>
                          </w:r>
                          <w:r>
                            <w:rPr>
                              <w:rStyle w:val="31"/>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fB6d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bXnDlhaeDn79/OP36df35l&#10;yyRP70NFWQ+e8uLwBgZamtkfyJlYDy3a9Cc+jOIk7ukirhoik+nSarlalRSSFJsPhF88XvcY4r0C&#10;y5JRc6TpZVHF8V2IY+qckqo5uNPG5Aka95eDMJOnSL2PPSYrDrthIrSD5kR86BlQnQ7wC2c9LUHN&#10;He08Z+atI43TvswGzsZuNoSTdLHmkbPRvI3jXh086n2XNy01FfzrQ6ROM4HUxlh76o7GmiWYVjDt&#10;zZ/nnPX47D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GN8Hp3gEAAL4DAAAOAAAAAAAA&#10;AAEAIAAAAB4BAABkcnMvZTJvRG9jLnhtbFBLBQYAAAAABgAGAFkBAABuBQAAAAA=&#10;">
              <v:fill on="f" focussize="0,0"/>
              <v:stroke on="f"/>
              <v:imagedata o:title=""/>
              <o:lock v:ext="edit" aspectratio="f"/>
              <v:textbox inset="0mm,0mm,0mm,0mm" style="mso-fit-shape-to-text:t;">
                <w:txbxContent>
                  <w:p w14:paraId="30612A20">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sz w:val="26"/>
                        <w:szCs w:val="26"/>
                      </w:rPr>
                      <w:fldChar w:fldCharType="begin"/>
                    </w:r>
                    <w:r>
                      <w:rPr>
                        <w:rStyle w:val="31"/>
                        <w:sz w:val="26"/>
                        <w:szCs w:val="26"/>
                      </w:rPr>
                      <w:instrText xml:space="preserve">PAGE  </w:instrText>
                    </w:r>
                    <w:r>
                      <w:rPr>
                        <w:rStyle w:val="31"/>
                        <w:sz w:val="26"/>
                        <w:szCs w:val="26"/>
                      </w:rPr>
                      <w:fldChar w:fldCharType="separate"/>
                    </w:r>
                    <w:r>
                      <w:rPr>
                        <w:rStyle w:val="31"/>
                        <w:sz w:val="26"/>
                        <w:szCs w:val="26"/>
                      </w:rPr>
                      <w:t>71</w:t>
                    </w:r>
                    <w:r>
                      <w:rPr>
                        <w:rStyle w:val="31"/>
                        <w:sz w:val="26"/>
                        <w:szCs w:val="26"/>
                      </w:rPr>
                      <w:fldChar w:fldCharType="end"/>
                    </w:r>
                    <w:r>
                      <w:rPr>
                        <w:rStyle w:val="31"/>
                        <w:sz w:val="20"/>
                      </w:rPr>
                      <w:t xml:space="preserve">  </w:t>
                    </w:r>
                    <w:r>
                      <w:rPr>
                        <w:rStyle w:val="3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70AA4"/>
    <w:multiLevelType w:val="singleLevel"/>
    <w:tmpl w:val="82D70AA4"/>
    <w:lvl w:ilvl="0" w:tentative="0">
      <w:start w:val="3"/>
      <w:numFmt w:val="decimal"/>
      <w:suff w:val="nothing"/>
      <w:lvlText w:val="（%1）"/>
      <w:lvlJc w:val="left"/>
    </w:lvl>
  </w:abstractNum>
  <w:abstractNum w:abstractNumId="1">
    <w:nsid w:val="BEA7AEC0"/>
    <w:multiLevelType w:val="singleLevel"/>
    <w:tmpl w:val="BEA7AEC0"/>
    <w:lvl w:ilvl="0" w:tentative="0">
      <w:start w:val="1"/>
      <w:numFmt w:val="decimal"/>
      <w:lvlText w:val="%1."/>
      <w:lvlJc w:val="left"/>
      <w:pPr>
        <w:tabs>
          <w:tab w:val="left" w:pos="312"/>
        </w:tabs>
      </w:pPr>
    </w:lvl>
  </w:abstractNum>
  <w:abstractNum w:abstractNumId="2">
    <w:nsid w:val="C37FEC6C"/>
    <w:multiLevelType w:val="singleLevel"/>
    <w:tmpl w:val="C37FEC6C"/>
    <w:lvl w:ilvl="0" w:tentative="0">
      <w:start w:val="1"/>
      <w:numFmt w:val="decimal"/>
      <w:lvlText w:val="%1."/>
      <w:lvlJc w:val="left"/>
      <w:pPr>
        <w:tabs>
          <w:tab w:val="left" w:pos="312"/>
        </w:tabs>
        <w:ind w:left="100" w:firstLine="0"/>
      </w:pPr>
    </w:lvl>
  </w:abstractNum>
  <w:abstractNum w:abstractNumId="3">
    <w:nsid w:val="EA3E966B"/>
    <w:multiLevelType w:val="singleLevel"/>
    <w:tmpl w:val="EA3E966B"/>
    <w:lvl w:ilvl="0" w:tentative="0">
      <w:start w:val="1"/>
      <w:numFmt w:val="decimal"/>
      <w:suff w:val="nothing"/>
      <w:lvlText w:val="（%1）"/>
      <w:lvlJc w:val="left"/>
    </w:lvl>
  </w:abstractNum>
  <w:abstractNum w:abstractNumId="4">
    <w:nsid w:val="FCBE3878"/>
    <w:multiLevelType w:val="singleLevel"/>
    <w:tmpl w:val="FCBE3878"/>
    <w:lvl w:ilvl="0" w:tentative="0">
      <w:start w:val="3"/>
      <w:numFmt w:val="decimal"/>
      <w:suff w:val="nothing"/>
      <w:lvlText w:val="（%1）"/>
      <w:lvlJc w:val="left"/>
    </w:lvl>
  </w:abstractNum>
  <w:abstractNum w:abstractNumId="5">
    <w:nsid w:val="FFFFFFFB"/>
    <w:multiLevelType w:val="multilevel"/>
    <w:tmpl w:val="FFFFFFFB"/>
    <w:lvl w:ilvl="0" w:tentative="0">
      <w:start w:val="1"/>
      <w:numFmt w:val="chineseCountingThousand"/>
      <w:lvlText w:val="第%1章"/>
      <w:legacy w:legacy="1" w:legacySpace="0" w:legacyIndent="0"/>
      <w:lvlJc w:val="left"/>
      <w:rPr>
        <w:rFonts w:hint="eastAsia" w:ascii="长城楷体" w:eastAsia="长城楷体"/>
        <w:b/>
        <w:i w:val="0"/>
        <w:sz w:val="30"/>
        <w:u w:val="none"/>
      </w:rPr>
    </w:lvl>
    <w:lvl w:ilvl="1" w:tentative="0">
      <w:start w:val="1"/>
      <w:numFmt w:val="chineseCountingThousand"/>
      <w:lvlText w:val="%2、"/>
      <w:legacy w:legacy="1" w:legacySpace="0" w:legacyIndent="397"/>
      <w:lvlJc w:val="left"/>
      <w:rPr>
        <w:rFonts w:hint="eastAsia" w:ascii="长城楷体" w:eastAsia="长城楷体"/>
        <w:b/>
        <w:i w:val="0"/>
        <w:sz w:val="24"/>
      </w:rPr>
    </w:lvl>
    <w:lvl w:ilvl="2" w:tentative="0">
      <w:start w:val="1"/>
      <w:numFmt w:val="chineseCountingThousand"/>
      <w:lvlText w:val="(%3)"/>
      <w:legacy w:legacy="1" w:legacySpace="0" w:legacyIndent="0"/>
      <w:lvlJc w:val="left"/>
      <w:rPr>
        <w:rFonts w:hint="eastAsia" w:ascii="长城楷体" w:eastAsia="长城楷体"/>
        <w:b/>
        <w:i w:val="0"/>
        <w:sz w:val="24"/>
      </w:rPr>
    </w:lvl>
    <w:lvl w:ilvl="3" w:tentative="0">
      <w:start w:val="1"/>
      <w:numFmt w:val="none"/>
      <w:pStyle w:val="5"/>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6">
    <w:nsid w:val="0E18C360"/>
    <w:multiLevelType w:val="singleLevel"/>
    <w:tmpl w:val="0E18C360"/>
    <w:lvl w:ilvl="0" w:tentative="0">
      <w:start w:val="1"/>
      <w:numFmt w:val="decimal"/>
      <w:lvlText w:val="%1."/>
      <w:lvlJc w:val="left"/>
      <w:pPr>
        <w:tabs>
          <w:tab w:val="left" w:pos="312"/>
        </w:tabs>
      </w:pPr>
    </w:lvl>
  </w:abstractNum>
  <w:abstractNum w:abstractNumId="7">
    <w:nsid w:val="155A6AB8"/>
    <w:multiLevelType w:val="singleLevel"/>
    <w:tmpl w:val="155A6AB8"/>
    <w:lvl w:ilvl="0" w:tentative="0">
      <w:start w:val="1"/>
      <w:numFmt w:val="decimal"/>
      <w:lvlText w:val="%1."/>
      <w:lvlJc w:val="left"/>
      <w:pPr>
        <w:tabs>
          <w:tab w:val="left" w:pos="312"/>
        </w:tabs>
      </w:pPr>
    </w:lvl>
  </w:abstractNum>
  <w:abstractNum w:abstractNumId="8">
    <w:nsid w:val="19784997"/>
    <w:multiLevelType w:val="singleLevel"/>
    <w:tmpl w:val="19784997"/>
    <w:lvl w:ilvl="0" w:tentative="0">
      <w:start w:val="2"/>
      <w:numFmt w:val="decimal"/>
      <w:suff w:val="nothing"/>
      <w:lvlText w:val="（%1）"/>
      <w:lvlJc w:val="left"/>
    </w:lvl>
  </w:abstractNum>
  <w:abstractNum w:abstractNumId="9">
    <w:nsid w:val="1D43F18E"/>
    <w:multiLevelType w:val="singleLevel"/>
    <w:tmpl w:val="1D43F18E"/>
    <w:lvl w:ilvl="0" w:tentative="0">
      <w:start w:val="1"/>
      <w:numFmt w:val="decimal"/>
      <w:suff w:val="nothing"/>
      <w:lvlText w:val="%1、"/>
      <w:lvlJc w:val="left"/>
    </w:lvl>
  </w:abstractNum>
  <w:abstractNum w:abstractNumId="10">
    <w:nsid w:val="1DA7BC6B"/>
    <w:multiLevelType w:val="singleLevel"/>
    <w:tmpl w:val="1DA7BC6B"/>
    <w:lvl w:ilvl="0" w:tentative="0">
      <w:start w:val="3"/>
      <w:numFmt w:val="chineseCounting"/>
      <w:suff w:val="nothing"/>
      <w:lvlText w:val="%1、"/>
      <w:lvlJc w:val="left"/>
      <w:rPr>
        <w:rFonts w:hint="eastAsia"/>
      </w:rPr>
    </w:lvl>
  </w:abstractNum>
  <w:abstractNum w:abstractNumId="11">
    <w:nsid w:val="23165B6B"/>
    <w:multiLevelType w:val="singleLevel"/>
    <w:tmpl w:val="23165B6B"/>
    <w:lvl w:ilvl="0" w:tentative="0">
      <w:start w:val="3"/>
      <w:numFmt w:val="chineseCounting"/>
      <w:suff w:val="nothing"/>
      <w:lvlText w:val="%1、"/>
      <w:lvlJc w:val="left"/>
      <w:rPr>
        <w:rFonts w:hint="eastAsia"/>
      </w:rPr>
    </w:lvl>
  </w:abstractNum>
  <w:abstractNum w:abstractNumId="12">
    <w:nsid w:val="2838FF89"/>
    <w:multiLevelType w:val="singleLevel"/>
    <w:tmpl w:val="2838FF89"/>
    <w:lvl w:ilvl="0" w:tentative="0">
      <w:start w:val="2"/>
      <w:numFmt w:val="decimal"/>
      <w:lvlText w:val="%1."/>
      <w:lvlJc w:val="left"/>
      <w:pPr>
        <w:tabs>
          <w:tab w:val="left" w:pos="312"/>
        </w:tabs>
      </w:pPr>
    </w:lvl>
  </w:abstractNum>
  <w:abstractNum w:abstractNumId="13">
    <w:nsid w:val="7DAD844E"/>
    <w:multiLevelType w:val="singleLevel"/>
    <w:tmpl w:val="7DAD844E"/>
    <w:lvl w:ilvl="0" w:tentative="0">
      <w:start w:val="1"/>
      <w:numFmt w:val="chineseCounting"/>
      <w:suff w:val="nothing"/>
      <w:lvlText w:val="%1、"/>
      <w:lvlJc w:val="left"/>
      <w:pPr>
        <w:ind w:left="-62"/>
      </w:pPr>
      <w:rPr>
        <w:rFonts w:hint="eastAsia"/>
      </w:rPr>
    </w:lvl>
  </w:abstractNum>
  <w:num w:numId="1">
    <w:abstractNumId w:val="5"/>
  </w:num>
  <w:num w:numId="2">
    <w:abstractNumId w:val="2"/>
  </w:num>
  <w:num w:numId="3">
    <w:abstractNumId w:val="6"/>
  </w:num>
  <w:num w:numId="4">
    <w:abstractNumId w:val="1"/>
  </w:num>
  <w:num w:numId="5">
    <w:abstractNumId w:val="3"/>
  </w:num>
  <w:num w:numId="6">
    <w:abstractNumId w:val="7"/>
  </w:num>
  <w:num w:numId="7">
    <w:abstractNumId w:val="12"/>
  </w:num>
  <w:num w:numId="8">
    <w:abstractNumId w:val="11"/>
  </w:num>
  <w:num w:numId="9">
    <w:abstractNumId w:val="10"/>
  </w:num>
  <w:num w:numId="10">
    <w:abstractNumId w:val="4"/>
  </w:num>
  <w:num w:numId="11">
    <w:abstractNumId w:val="13"/>
  </w:num>
  <w:num w:numId="12">
    <w:abstractNumId w:val="9"/>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evenAndOddHeaders w:val="1"/>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lOTUwNGU1ODEzM2ZlNDljZmMwZDI2ODFiOWM2YjUifQ=="/>
  </w:docVars>
  <w:rsids>
    <w:rsidRoot w:val="00A14947"/>
    <w:rsid w:val="000060B3"/>
    <w:rsid w:val="00006D30"/>
    <w:rsid w:val="0004364B"/>
    <w:rsid w:val="00061B1F"/>
    <w:rsid w:val="000733C4"/>
    <w:rsid w:val="00074783"/>
    <w:rsid w:val="000749E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6C93"/>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4498C"/>
    <w:rsid w:val="002506BC"/>
    <w:rsid w:val="00254345"/>
    <w:rsid w:val="00257C46"/>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35F3"/>
    <w:rsid w:val="003051C2"/>
    <w:rsid w:val="00312296"/>
    <w:rsid w:val="00314F0E"/>
    <w:rsid w:val="00321D8E"/>
    <w:rsid w:val="00325928"/>
    <w:rsid w:val="00332863"/>
    <w:rsid w:val="00334E38"/>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A6A8E"/>
    <w:rsid w:val="005D36AB"/>
    <w:rsid w:val="00605FD8"/>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77296"/>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27EA9"/>
    <w:rsid w:val="008306BD"/>
    <w:rsid w:val="00831A80"/>
    <w:rsid w:val="00833743"/>
    <w:rsid w:val="008340A4"/>
    <w:rsid w:val="0087135F"/>
    <w:rsid w:val="0087167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1596"/>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238BA"/>
    <w:rsid w:val="00A32A83"/>
    <w:rsid w:val="00A368DB"/>
    <w:rsid w:val="00A423AA"/>
    <w:rsid w:val="00A53EC6"/>
    <w:rsid w:val="00A55C0F"/>
    <w:rsid w:val="00A82A67"/>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12CB"/>
    <w:rsid w:val="00B22C5C"/>
    <w:rsid w:val="00B24F30"/>
    <w:rsid w:val="00B31ABF"/>
    <w:rsid w:val="00B33BE3"/>
    <w:rsid w:val="00B53B5D"/>
    <w:rsid w:val="00B6055E"/>
    <w:rsid w:val="00B6317D"/>
    <w:rsid w:val="00B6781D"/>
    <w:rsid w:val="00B7723F"/>
    <w:rsid w:val="00B80534"/>
    <w:rsid w:val="00B8433C"/>
    <w:rsid w:val="00B87491"/>
    <w:rsid w:val="00B91B97"/>
    <w:rsid w:val="00BA08D7"/>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EA"/>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290D"/>
    <w:rsid w:val="00DD318D"/>
    <w:rsid w:val="00DF2E12"/>
    <w:rsid w:val="00DF3F59"/>
    <w:rsid w:val="00DF514A"/>
    <w:rsid w:val="00DF57F5"/>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D2FB5"/>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0FF1C97"/>
    <w:rsid w:val="01290F7E"/>
    <w:rsid w:val="015D1E09"/>
    <w:rsid w:val="01A44CAD"/>
    <w:rsid w:val="025C1016"/>
    <w:rsid w:val="02697903"/>
    <w:rsid w:val="027A005C"/>
    <w:rsid w:val="02C82F30"/>
    <w:rsid w:val="02F96569"/>
    <w:rsid w:val="035E1C7C"/>
    <w:rsid w:val="03AE0950"/>
    <w:rsid w:val="03BE3219"/>
    <w:rsid w:val="03EA7B21"/>
    <w:rsid w:val="04334B94"/>
    <w:rsid w:val="043809FF"/>
    <w:rsid w:val="0499321F"/>
    <w:rsid w:val="04D952F3"/>
    <w:rsid w:val="04E2771B"/>
    <w:rsid w:val="053C3A82"/>
    <w:rsid w:val="05F83EAE"/>
    <w:rsid w:val="063E7D85"/>
    <w:rsid w:val="06CC70B5"/>
    <w:rsid w:val="07293586"/>
    <w:rsid w:val="07295285"/>
    <w:rsid w:val="07636392"/>
    <w:rsid w:val="07770C56"/>
    <w:rsid w:val="07E67B35"/>
    <w:rsid w:val="080D690E"/>
    <w:rsid w:val="08BF3B07"/>
    <w:rsid w:val="08C10617"/>
    <w:rsid w:val="092217DD"/>
    <w:rsid w:val="093A7294"/>
    <w:rsid w:val="09417D21"/>
    <w:rsid w:val="096F6434"/>
    <w:rsid w:val="09FF2C39"/>
    <w:rsid w:val="0A263993"/>
    <w:rsid w:val="0A2D3AC2"/>
    <w:rsid w:val="0A6A19C6"/>
    <w:rsid w:val="0AA755DF"/>
    <w:rsid w:val="0ACE6829"/>
    <w:rsid w:val="0AD4630C"/>
    <w:rsid w:val="0B113311"/>
    <w:rsid w:val="0B120D44"/>
    <w:rsid w:val="0BD27BF6"/>
    <w:rsid w:val="0C28036C"/>
    <w:rsid w:val="0C3B3C7D"/>
    <w:rsid w:val="0CAB2EAE"/>
    <w:rsid w:val="0CF64D5D"/>
    <w:rsid w:val="0D621C7D"/>
    <w:rsid w:val="0D8367D4"/>
    <w:rsid w:val="0E2D3DBE"/>
    <w:rsid w:val="0E73034D"/>
    <w:rsid w:val="0E927B6D"/>
    <w:rsid w:val="0F012986"/>
    <w:rsid w:val="0F13775A"/>
    <w:rsid w:val="0F5F45FE"/>
    <w:rsid w:val="0F6128E5"/>
    <w:rsid w:val="0F7A0D2D"/>
    <w:rsid w:val="0F9A112B"/>
    <w:rsid w:val="0FD403F2"/>
    <w:rsid w:val="10125409"/>
    <w:rsid w:val="106D2F64"/>
    <w:rsid w:val="107E4F25"/>
    <w:rsid w:val="10B244F7"/>
    <w:rsid w:val="10B63710"/>
    <w:rsid w:val="10F10820"/>
    <w:rsid w:val="10F50BF5"/>
    <w:rsid w:val="111C2F7A"/>
    <w:rsid w:val="11665CA1"/>
    <w:rsid w:val="119A3908"/>
    <w:rsid w:val="13951726"/>
    <w:rsid w:val="13E72709"/>
    <w:rsid w:val="143716C3"/>
    <w:rsid w:val="14396509"/>
    <w:rsid w:val="14777A0C"/>
    <w:rsid w:val="147E12BF"/>
    <w:rsid w:val="149A311A"/>
    <w:rsid w:val="14D053F8"/>
    <w:rsid w:val="14DD2C3C"/>
    <w:rsid w:val="15587752"/>
    <w:rsid w:val="15E56DAD"/>
    <w:rsid w:val="16087E1D"/>
    <w:rsid w:val="1626576B"/>
    <w:rsid w:val="16A36DBB"/>
    <w:rsid w:val="172C1BA1"/>
    <w:rsid w:val="173E6603"/>
    <w:rsid w:val="17701D14"/>
    <w:rsid w:val="17735226"/>
    <w:rsid w:val="17F360C0"/>
    <w:rsid w:val="18172B48"/>
    <w:rsid w:val="189F624C"/>
    <w:rsid w:val="18D23988"/>
    <w:rsid w:val="19232435"/>
    <w:rsid w:val="195A4AA5"/>
    <w:rsid w:val="199C07DD"/>
    <w:rsid w:val="19BE68BB"/>
    <w:rsid w:val="1A184E0C"/>
    <w:rsid w:val="1A1C66C0"/>
    <w:rsid w:val="1A42393B"/>
    <w:rsid w:val="1A84167E"/>
    <w:rsid w:val="1AAD45DE"/>
    <w:rsid w:val="1B046F80"/>
    <w:rsid w:val="1B3267B5"/>
    <w:rsid w:val="1B40161D"/>
    <w:rsid w:val="1B441859"/>
    <w:rsid w:val="1B5D6C22"/>
    <w:rsid w:val="1B6606B1"/>
    <w:rsid w:val="1B813443"/>
    <w:rsid w:val="1C4E180C"/>
    <w:rsid w:val="1C5E7925"/>
    <w:rsid w:val="1C9A0C60"/>
    <w:rsid w:val="1CB735C0"/>
    <w:rsid w:val="1CFD070F"/>
    <w:rsid w:val="1D0C4EF2"/>
    <w:rsid w:val="1D4961E3"/>
    <w:rsid w:val="1D5F6196"/>
    <w:rsid w:val="1D6132A5"/>
    <w:rsid w:val="1D671807"/>
    <w:rsid w:val="1D73011E"/>
    <w:rsid w:val="1D8E56D5"/>
    <w:rsid w:val="1DCE334A"/>
    <w:rsid w:val="1DF911F5"/>
    <w:rsid w:val="1E7A43DA"/>
    <w:rsid w:val="1E7D7EF2"/>
    <w:rsid w:val="1EC003DC"/>
    <w:rsid w:val="1F953961"/>
    <w:rsid w:val="1FA152A2"/>
    <w:rsid w:val="1FA92F69"/>
    <w:rsid w:val="1FAB4F33"/>
    <w:rsid w:val="1FE521F3"/>
    <w:rsid w:val="1FE7539E"/>
    <w:rsid w:val="205B1413"/>
    <w:rsid w:val="20671BE0"/>
    <w:rsid w:val="20934F94"/>
    <w:rsid w:val="20963CB8"/>
    <w:rsid w:val="20A81A1B"/>
    <w:rsid w:val="20B07FB6"/>
    <w:rsid w:val="20B646FB"/>
    <w:rsid w:val="20B7137B"/>
    <w:rsid w:val="211D6350"/>
    <w:rsid w:val="213B74B1"/>
    <w:rsid w:val="215A2310"/>
    <w:rsid w:val="21BE0F4D"/>
    <w:rsid w:val="21C155EC"/>
    <w:rsid w:val="21DE318A"/>
    <w:rsid w:val="21E0264C"/>
    <w:rsid w:val="21EF5B80"/>
    <w:rsid w:val="22576990"/>
    <w:rsid w:val="22F47480"/>
    <w:rsid w:val="23DE1C48"/>
    <w:rsid w:val="240210CD"/>
    <w:rsid w:val="241B23AB"/>
    <w:rsid w:val="24BF09F7"/>
    <w:rsid w:val="252D53FE"/>
    <w:rsid w:val="25C40884"/>
    <w:rsid w:val="25EC2D81"/>
    <w:rsid w:val="26076FCE"/>
    <w:rsid w:val="261849A4"/>
    <w:rsid w:val="261A4BC0"/>
    <w:rsid w:val="263B2E0B"/>
    <w:rsid w:val="2692636B"/>
    <w:rsid w:val="26A74146"/>
    <w:rsid w:val="2739372B"/>
    <w:rsid w:val="27505DE9"/>
    <w:rsid w:val="277057A2"/>
    <w:rsid w:val="28A13EF9"/>
    <w:rsid w:val="28BE1833"/>
    <w:rsid w:val="28ED7C80"/>
    <w:rsid w:val="28F050A3"/>
    <w:rsid w:val="29206EB8"/>
    <w:rsid w:val="29595666"/>
    <w:rsid w:val="29874881"/>
    <w:rsid w:val="29CD12B6"/>
    <w:rsid w:val="29E325E0"/>
    <w:rsid w:val="29FB71D4"/>
    <w:rsid w:val="2A452503"/>
    <w:rsid w:val="2AFB1E0F"/>
    <w:rsid w:val="2B586FB0"/>
    <w:rsid w:val="2BA936A8"/>
    <w:rsid w:val="2BEF05D5"/>
    <w:rsid w:val="2C0C0673"/>
    <w:rsid w:val="2C24612C"/>
    <w:rsid w:val="2C315A5A"/>
    <w:rsid w:val="2C4B1C25"/>
    <w:rsid w:val="2C781282"/>
    <w:rsid w:val="2CC80ED2"/>
    <w:rsid w:val="2D54158C"/>
    <w:rsid w:val="2D6E1A4D"/>
    <w:rsid w:val="2D761326"/>
    <w:rsid w:val="2D9E56F5"/>
    <w:rsid w:val="2DB23588"/>
    <w:rsid w:val="2DF51A09"/>
    <w:rsid w:val="2E114AFB"/>
    <w:rsid w:val="2E3F391F"/>
    <w:rsid w:val="2E667F96"/>
    <w:rsid w:val="2E8226AB"/>
    <w:rsid w:val="2F3E05E3"/>
    <w:rsid w:val="2FD065E6"/>
    <w:rsid w:val="2FD96870"/>
    <w:rsid w:val="305360A3"/>
    <w:rsid w:val="30580BC9"/>
    <w:rsid w:val="3078268E"/>
    <w:rsid w:val="311E2ED7"/>
    <w:rsid w:val="315619EE"/>
    <w:rsid w:val="315C449C"/>
    <w:rsid w:val="31B82709"/>
    <w:rsid w:val="31D05482"/>
    <w:rsid w:val="32400B34"/>
    <w:rsid w:val="329E6876"/>
    <w:rsid w:val="32A900CA"/>
    <w:rsid w:val="3319432B"/>
    <w:rsid w:val="333015F2"/>
    <w:rsid w:val="333A1E9A"/>
    <w:rsid w:val="33476451"/>
    <w:rsid w:val="334B6320"/>
    <w:rsid w:val="33B02DDD"/>
    <w:rsid w:val="33D934D4"/>
    <w:rsid w:val="33FE2F6A"/>
    <w:rsid w:val="340E07E5"/>
    <w:rsid w:val="34235BF7"/>
    <w:rsid w:val="34394E0F"/>
    <w:rsid w:val="34A35D81"/>
    <w:rsid w:val="34CC52D7"/>
    <w:rsid w:val="34E24AFB"/>
    <w:rsid w:val="352B73B2"/>
    <w:rsid w:val="357D2535"/>
    <w:rsid w:val="358C5FA8"/>
    <w:rsid w:val="359A03AD"/>
    <w:rsid w:val="35A736FB"/>
    <w:rsid w:val="35C15DF1"/>
    <w:rsid w:val="36074A7F"/>
    <w:rsid w:val="364638A1"/>
    <w:rsid w:val="36481243"/>
    <w:rsid w:val="36715DA0"/>
    <w:rsid w:val="36923549"/>
    <w:rsid w:val="36B75FBF"/>
    <w:rsid w:val="36BD0C45"/>
    <w:rsid w:val="36D06247"/>
    <w:rsid w:val="36D555FC"/>
    <w:rsid w:val="3761484A"/>
    <w:rsid w:val="377F0D27"/>
    <w:rsid w:val="379E457E"/>
    <w:rsid w:val="37E00298"/>
    <w:rsid w:val="37E052C2"/>
    <w:rsid w:val="384920A8"/>
    <w:rsid w:val="389E51DD"/>
    <w:rsid w:val="38B302F9"/>
    <w:rsid w:val="38F12CD3"/>
    <w:rsid w:val="38F94775"/>
    <w:rsid w:val="392971ED"/>
    <w:rsid w:val="39325651"/>
    <w:rsid w:val="39934C1A"/>
    <w:rsid w:val="3A086DB2"/>
    <w:rsid w:val="3A4607AD"/>
    <w:rsid w:val="3A6A4CC1"/>
    <w:rsid w:val="3A872856"/>
    <w:rsid w:val="3A9F26D3"/>
    <w:rsid w:val="3ACA22B9"/>
    <w:rsid w:val="3AF13B40"/>
    <w:rsid w:val="3B121902"/>
    <w:rsid w:val="3B3763D1"/>
    <w:rsid w:val="3C2F6E1E"/>
    <w:rsid w:val="3C4F64BA"/>
    <w:rsid w:val="3C6B187A"/>
    <w:rsid w:val="3C7324DC"/>
    <w:rsid w:val="3CDA245A"/>
    <w:rsid w:val="3D0F66A9"/>
    <w:rsid w:val="3D1D4149"/>
    <w:rsid w:val="3D1E06B7"/>
    <w:rsid w:val="3D8E5820"/>
    <w:rsid w:val="3D8E75CE"/>
    <w:rsid w:val="3D966AC6"/>
    <w:rsid w:val="3D992978"/>
    <w:rsid w:val="3DAE39FF"/>
    <w:rsid w:val="3E790CEC"/>
    <w:rsid w:val="3ED36353"/>
    <w:rsid w:val="3EDA0523"/>
    <w:rsid w:val="3EE17A5D"/>
    <w:rsid w:val="3F087854"/>
    <w:rsid w:val="3FAF2F50"/>
    <w:rsid w:val="3FC03C8B"/>
    <w:rsid w:val="401307B5"/>
    <w:rsid w:val="403C77B5"/>
    <w:rsid w:val="407A6407"/>
    <w:rsid w:val="40BF5DC5"/>
    <w:rsid w:val="40DC1184"/>
    <w:rsid w:val="40F2256A"/>
    <w:rsid w:val="418710A4"/>
    <w:rsid w:val="41A15F69"/>
    <w:rsid w:val="41BB524D"/>
    <w:rsid w:val="4200449D"/>
    <w:rsid w:val="423A3BCC"/>
    <w:rsid w:val="424E57D2"/>
    <w:rsid w:val="42594011"/>
    <w:rsid w:val="42B26C49"/>
    <w:rsid w:val="42BE6B91"/>
    <w:rsid w:val="43112E75"/>
    <w:rsid w:val="433A6FE6"/>
    <w:rsid w:val="43480868"/>
    <w:rsid w:val="4350713C"/>
    <w:rsid w:val="436653E0"/>
    <w:rsid w:val="43B6162D"/>
    <w:rsid w:val="43C4431A"/>
    <w:rsid w:val="44020D16"/>
    <w:rsid w:val="441E1C1A"/>
    <w:rsid w:val="44641089"/>
    <w:rsid w:val="44831660"/>
    <w:rsid w:val="44B01CBA"/>
    <w:rsid w:val="44B951CC"/>
    <w:rsid w:val="44CB6597"/>
    <w:rsid w:val="44CD14E0"/>
    <w:rsid w:val="44F20B0B"/>
    <w:rsid w:val="452E5F4C"/>
    <w:rsid w:val="45612018"/>
    <w:rsid w:val="458946E9"/>
    <w:rsid w:val="45A47C0E"/>
    <w:rsid w:val="46577FD6"/>
    <w:rsid w:val="46D955A7"/>
    <w:rsid w:val="47033563"/>
    <w:rsid w:val="47084895"/>
    <w:rsid w:val="47133957"/>
    <w:rsid w:val="47136822"/>
    <w:rsid w:val="47484C91"/>
    <w:rsid w:val="47A07E0C"/>
    <w:rsid w:val="47E250E6"/>
    <w:rsid w:val="48551305"/>
    <w:rsid w:val="4870272E"/>
    <w:rsid w:val="499C1A26"/>
    <w:rsid w:val="49B80962"/>
    <w:rsid w:val="49DC7715"/>
    <w:rsid w:val="4A023139"/>
    <w:rsid w:val="4A534079"/>
    <w:rsid w:val="4A7B576F"/>
    <w:rsid w:val="4AA2301F"/>
    <w:rsid w:val="4ABB5E33"/>
    <w:rsid w:val="4AF561A9"/>
    <w:rsid w:val="4B04589E"/>
    <w:rsid w:val="4B054C48"/>
    <w:rsid w:val="4B386DCB"/>
    <w:rsid w:val="4B5B44E8"/>
    <w:rsid w:val="4B79756E"/>
    <w:rsid w:val="4BC204D5"/>
    <w:rsid w:val="4C265A52"/>
    <w:rsid w:val="4C4A0649"/>
    <w:rsid w:val="4C7E5ECA"/>
    <w:rsid w:val="4C876AA5"/>
    <w:rsid w:val="4CE5423C"/>
    <w:rsid w:val="4CF65190"/>
    <w:rsid w:val="4D0E00FB"/>
    <w:rsid w:val="4D135D42"/>
    <w:rsid w:val="4D176606"/>
    <w:rsid w:val="4DEC4FB0"/>
    <w:rsid w:val="4E075D8A"/>
    <w:rsid w:val="4EC00FAD"/>
    <w:rsid w:val="4F9843DC"/>
    <w:rsid w:val="4FC62A8C"/>
    <w:rsid w:val="4FE20F0D"/>
    <w:rsid w:val="4FE51552"/>
    <w:rsid w:val="502F01D3"/>
    <w:rsid w:val="50504C4B"/>
    <w:rsid w:val="506B564B"/>
    <w:rsid w:val="509C6E7C"/>
    <w:rsid w:val="50DA6322"/>
    <w:rsid w:val="50DE2632"/>
    <w:rsid w:val="5162104E"/>
    <w:rsid w:val="516537EB"/>
    <w:rsid w:val="518740B5"/>
    <w:rsid w:val="519805C3"/>
    <w:rsid w:val="51A451BA"/>
    <w:rsid w:val="51C33887"/>
    <w:rsid w:val="52CB4B5A"/>
    <w:rsid w:val="53A039CC"/>
    <w:rsid w:val="53A1505A"/>
    <w:rsid w:val="53B46D9B"/>
    <w:rsid w:val="53D572DD"/>
    <w:rsid w:val="54063E08"/>
    <w:rsid w:val="543232C3"/>
    <w:rsid w:val="543437E8"/>
    <w:rsid w:val="54352A41"/>
    <w:rsid w:val="544523B4"/>
    <w:rsid w:val="547C5F7A"/>
    <w:rsid w:val="54C618EB"/>
    <w:rsid w:val="54F73313"/>
    <w:rsid w:val="54F80955"/>
    <w:rsid w:val="55240E90"/>
    <w:rsid w:val="553807F6"/>
    <w:rsid w:val="555170A7"/>
    <w:rsid w:val="5587536D"/>
    <w:rsid w:val="558E1F9A"/>
    <w:rsid w:val="559B174B"/>
    <w:rsid w:val="55B26614"/>
    <w:rsid w:val="55CE0CF4"/>
    <w:rsid w:val="56B22A9C"/>
    <w:rsid w:val="56BC4D54"/>
    <w:rsid w:val="574D71D1"/>
    <w:rsid w:val="576F7FB4"/>
    <w:rsid w:val="57875362"/>
    <w:rsid w:val="57B72A76"/>
    <w:rsid w:val="57C3426C"/>
    <w:rsid w:val="57CA16F3"/>
    <w:rsid w:val="57CE1F93"/>
    <w:rsid w:val="57D62E5F"/>
    <w:rsid w:val="587753D7"/>
    <w:rsid w:val="587C0C3F"/>
    <w:rsid w:val="588743D1"/>
    <w:rsid w:val="5887701A"/>
    <w:rsid w:val="594E1767"/>
    <w:rsid w:val="59917B90"/>
    <w:rsid w:val="59C0439F"/>
    <w:rsid w:val="5A056147"/>
    <w:rsid w:val="5A9E6A62"/>
    <w:rsid w:val="5ABE2233"/>
    <w:rsid w:val="5AC00C5A"/>
    <w:rsid w:val="5B2A2BD4"/>
    <w:rsid w:val="5B2D41AF"/>
    <w:rsid w:val="5BB73D3C"/>
    <w:rsid w:val="5BDF5D95"/>
    <w:rsid w:val="5BE06742"/>
    <w:rsid w:val="5BFE7528"/>
    <w:rsid w:val="5C161BFB"/>
    <w:rsid w:val="5D447851"/>
    <w:rsid w:val="5D570314"/>
    <w:rsid w:val="5DA56542"/>
    <w:rsid w:val="5DF04052"/>
    <w:rsid w:val="5DF35F71"/>
    <w:rsid w:val="5DFE5C52"/>
    <w:rsid w:val="5E08087F"/>
    <w:rsid w:val="5E2467F1"/>
    <w:rsid w:val="5E7924DF"/>
    <w:rsid w:val="5EB84053"/>
    <w:rsid w:val="5EBB3A9F"/>
    <w:rsid w:val="5EFF14E7"/>
    <w:rsid w:val="5F1A2B43"/>
    <w:rsid w:val="5FB837BB"/>
    <w:rsid w:val="5FE85E64"/>
    <w:rsid w:val="605204D7"/>
    <w:rsid w:val="60541D9A"/>
    <w:rsid w:val="608A32BA"/>
    <w:rsid w:val="60907AC2"/>
    <w:rsid w:val="60BD3BA3"/>
    <w:rsid w:val="60CC405A"/>
    <w:rsid w:val="61023CAB"/>
    <w:rsid w:val="61443F41"/>
    <w:rsid w:val="615A2174"/>
    <w:rsid w:val="61C62F2B"/>
    <w:rsid w:val="61D446AE"/>
    <w:rsid w:val="61E215D8"/>
    <w:rsid w:val="621B3775"/>
    <w:rsid w:val="62364782"/>
    <w:rsid w:val="625C0A64"/>
    <w:rsid w:val="628029A4"/>
    <w:rsid w:val="62BE4BF2"/>
    <w:rsid w:val="62CA25A7"/>
    <w:rsid w:val="635558C7"/>
    <w:rsid w:val="63911317"/>
    <w:rsid w:val="6394356A"/>
    <w:rsid w:val="63AB5A45"/>
    <w:rsid w:val="63BE0A8F"/>
    <w:rsid w:val="63C074B7"/>
    <w:rsid w:val="63C61B2C"/>
    <w:rsid w:val="63D40BE9"/>
    <w:rsid w:val="64102431"/>
    <w:rsid w:val="64A5243A"/>
    <w:rsid w:val="64F531DE"/>
    <w:rsid w:val="64F63B27"/>
    <w:rsid w:val="65373578"/>
    <w:rsid w:val="658729D1"/>
    <w:rsid w:val="658C7FE7"/>
    <w:rsid w:val="671811AD"/>
    <w:rsid w:val="671F124A"/>
    <w:rsid w:val="677A33C6"/>
    <w:rsid w:val="681F6961"/>
    <w:rsid w:val="68430EA5"/>
    <w:rsid w:val="68610A2F"/>
    <w:rsid w:val="68805514"/>
    <w:rsid w:val="68D408EB"/>
    <w:rsid w:val="69316E2F"/>
    <w:rsid w:val="694E2071"/>
    <w:rsid w:val="69766163"/>
    <w:rsid w:val="697A3B33"/>
    <w:rsid w:val="69D44760"/>
    <w:rsid w:val="69E34A03"/>
    <w:rsid w:val="69F06F2E"/>
    <w:rsid w:val="6A520EC7"/>
    <w:rsid w:val="6A602FB0"/>
    <w:rsid w:val="6A6F1133"/>
    <w:rsid w:val="6AF87E20"/>
    <w:rsid w:val="6B2448FC"/>
    <w:rsid w:val="6B322639"/>
    <w:rsid w:val="6BC30DE6"/>
    <w:rsid w:val="6BD76018"/>
    <w:rsid w:val="6BDB3210"/>
    <w:rsid w:val="6BFF1F3B"/>
    <w:rsid w:val="6C305B70"/>
    <w:rsid w:val="6C636C38"/>
    <w:rsid w:val="6C6E3A99"/>
    <w:rsid w:val="6C97799E"/>
    <w:rsid w:val="6D0137F4"/>
    <w:rsid w:val="6D6C0E2A"/>
    <w:rsid w:val="6DB34098"/>
    <w:rsid w:val="6DB545B6"/>
    <w:rsid w:val="6DE02FB4"/>
    <w:rsid w:val="6E022153"/>
    <w:rsid w:val="6E514CED"/>
    <w:rsid w:val="6EB563D5"/>
    <w:rsid w:val="6ED92677"/>
    <w:rsid w:val="6F225983"/>
    <w:rsid w:val="6F7246F2"/>
    <w:rsid w:val="6F9E1043"/>
    <w:rsid w:val="6FC860C0"/>
    <w:rsid w:val="6FE35DE9"/>
    <w:rsid w:val="6FFC5590"/>
    <w:rsid w:val="706D1730"/>
    <w:rsid w:val="706D1DD0"/>
    <w:rsid w:val="70856B87"/>
    <w:rsid w:val="70875F7B"/>
    <w:rsid w:val="70BB0567"/>
    <w:rsid w:val="70D527EE"/>
    <w:rsid w:val="70F02E53"/>
    <w:rsid w:val="714B0D57"/>
    <w:rsid w:val="715B5300"/>
    <w:rsid w:val="71D27F8A"/>
    <w:rsid w:val="72553024"/>
    <w:rsid w:val="725D6F93"/>
    <w:rsid w:val="729F3822"/>
    <w:rsid w:val="73122968"/>
    <w:rsid w:val="731F5D5E"/>
    <w:rsid w:val="7375655F"/>
    <w:rsid w:val="73852083"/>
    <w:rsid w:val="73A83786"/>
    <w:rsid w:val="73C51AD5"/>
    <w:rsid w:val="741E793C"/>
    <w:rsid w:val="742D581D"/>
    <w:rsid w:val="745E3944"/>
    <w:rsid w:val="7486193A"/>
    <w:rsid w:val="74F17E67"/>
    <w:rsid w:val="75074E31"/>
    <w:rsid w:val="75080DA0"/>
    <w:rsid w:val="753D51E4"/>
    <w:rsid w:val="758C17D0"/>
    <w:rsid w:val="7635099D"/>
    <w:rsid w:val="76392605"/>
    <w:rsid w:val="767A5837"/>
    <w:rsid w:val="769F2004"/>
    <w:rsid w:val="76FA290F"/>
    <w:rsid w:val="77610F13"/>
    <w:rsid w:val="77762421"/>
    <w:rsid w:val="77B56B1F"/>
    <w:rsid w:val="78000AED"/>
    <w:rsid w:val="780F09F4"/>
    <w:rsid w:val="781E35D9"/>
    <w:rsid w:val="787C6587"/>
    <w:rsid w:val="789305ED"/>
    <w:rsid w:val="78A90480"/>
    <w:rsid w:val="790037DD"/>
    <w:rsid w:val="791505C8"/>
    <w:rsid w:val="791F799D"/>
    <w:rsid w:val="79DB4AB8"/>
    <w:rsid w:val="7A0B733B"/>
    <w:rsid w:val="7A364017"/>
    <w:rsid w:val="7A6A66F1"/>
    <w:rsid w:val="7A8265E1"/>
    <w:rsid w:val="7AEB013C"/>
    <w:rsid w:val="7AF365EC"/>
    <w:rsid w:val="7B0F4C18"/>
    <w:rsid w:val="7B2035E5"/>
    <w:rsid w:val="7B5A75F1"/>
    <w:rsid w:val="7B686D42"/>
    <w:rsid w:val="7B841746"/>
    <w:rsid w:val="7B9C6019"/>
    <w:rsid w:val="7BF65AE5"/>
    <w:rsid w:val="7C0956B2"/>
    <w:rsid w:val="7C2B3C5E"/>
    <w:rsid w:val="7C6C5AC7"/>
    <w:rsid w:val="7CC6544B"/>
    <w:rsid w:val="7D0239FF"/>
    <w:rsid w:val="7D5E40CD"/>
    <w:rsid w:val="7DCD56F2"/>
    <w:rsid w:val="7DD31FFC"/>
    <w:rsid w:val="7DDA1183"/>
    <w:rsid w:val="7E0923B2"/>
    <w:rsid w:val="7E812CA1"/>
    <w:rsid w:val="7EA6683A"/>
    <w:rsid w:val="7ED54355"/>
    <w:rsid w:val="7F001CE7"/>
    <w:rsid w:val="7F601234"/>
    <w:rsid w:val="7F765B38"/>
    <w:rsid w:val="7FA91A6A"/>
    <w:rsid w:val="7FB378FD"/>
    <w:rsid w:val="7FE47E50"/>
    <w:rsid w:val="7FF16F6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outlineLvl w:val="1"/>
    </w:pPr>
    <w:rPr>
      <w:rFonts w:eastAsia="仿宋_GB2312"/>
      <w:sz w:val="28"/>
    </w:rPr>
  </w:style>
  <w:style w:type="paragraph" w:styleId="4">
    <w:name w:val="heading 3"/>
    <w:basedOn w:val="1"/>
    <w:next w:val="1"/>
    <w:qFormat/>
    <w:locked/>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locked/>
    <w:uiPriority w:val="0"/>
    <w:pPr>
      <w:keepNext/>
      <w:keepLines/>
      <w:numPr>
        <w:ilvl w:val="3"/>
        <w:numId w:val="1"/>
      </w:numPr>
      <w:spacing w:before="280" w:after="290" w:line="376" w:lineRule="atLeast"/>
      <w:ind w:left="397"/>
      <w:jc w:val="left"/>
      <w:textAlignment w:val="baseline"/>
      <w:outlineLvl w:val="3"/>
    </w:pPr>
    <w:rPr>
      <w:rFonts w:ascii="Arial" w:hAnsi="Arial" w:eastAsia="黑体"/>
      <w:b/>
      <w:kern w:val="0"/>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6">
    <w:name w:val="List 3"/>
    <w:basedOn w:val="1"/>
    <w:qFormat/>
    <w:locked/>
    <w:uiPriority w:val="0"/>
    <w:pPr>
      <w:ind w:left="100" w:leftChars="400" w:hanging="200" w:hangingChars="200"/>
    </w:pPr>
  </w:style>
  <w:style w:type="paragraph" w:styleId="7">
    <w:name w:val="toc 7"/>
    <w:basedOn w:val="1"/>
    <w:next w:val="1"/>
    <w:qFormat/>
    <w:locked/>
    <w:uiPriority w:val="0"/>
    <w:pPr>
      <w:spacing w:beforeLines="50" w:line="360" w:lineRule="auto"/>
      <w:jc w:val="center"/>
    </w:pPr>
    <w:rPr>
      <w:b/>
      <w:bCs/>
      <w:szCs w:val="18"/>
    </w:rPr>
  </w:style>
  <w:style w:type="paragraph" w:styleId="8">
    <w:name w:val="table of authorities"/>
    <w:basedOn w:val="1"/>
    <w:next w:val="1"/>
    <w:qFormat/>
    <w:locked/>
    <w:uiPriority w:val="99"/>
    <w:pPr>
      <w:ind w:left="420" w:leftChars="200"/>
    </w:pPr>
    <w:rPr>
      <w:rFonts w:ascii="Calibri" w:hAnsi="Calibri"/>
    </w:rPr>
  </w:style>
  <w:style w:type="paragraph" w:styleId="9">
    <w:name w:val="Normal Indent"/>
    <w:basedOn w:val="1"/>
    <w:unhideWhenUsed/>
    <w:qFormat/>
    <w:locked/>
    <w:uiPriority w:val="0"/>
    <w:pPr>
      <w:spacing w:line="360" w:lineRule="auto"/>
      <w:ind w:firstLine="420" w:firstLineChars="200"/>
    </w:pPr>
    <w:rPr>
      <w:kern w:val="0"/>
      <w:sz w:val="24"/>
      <w:szCs w:val="22"/>
    </w:rPr>
  </w:style>
  <w:style w:type="paragraph" w:styleId="10">
    <w:name w:val="caption"/>
    <w:basedOn w:val="1"/>
    <w:next w:val="1"/>
    <w:qFormat/>
    <w:locked/>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kern w:val="2"/>
      <w:sz w:val="21"/>
      <w:szCs w:val="20"/>
      <w:lang w:val="en-US" w:eastAsia="zh-CN" w:bidi="ar"/>
    </w:rPr>
  </w:style>
  <w:style w:type="paragraph" w:styleId="11">
    <w:name w:val="Document Map"/>
    <w:basedOn w:val="1"/>
    <w:link w:val="33"/>
    <w:qFormat/>
    <w:locked/>
    <w:uiPriority w:val="0"/>
    <w:rPr>
      <w:rFonts w:ascii="宋体"/>
      <w:sz w:val="18"/>
      <w:szCs w:val="18"/>
    </w:rPr>
  </w:style>
  <w:style w:type="paragraph" w:styleId="12">
    <w:name w:val="annotation text"/>
    <w:basedOn w:val="1"/>
    <w:link w:val="34"/>
    <w:semiHidden/>
    <w:qFormat/>
    <w:uiPriority w:val="0"/>
    <w:pPr>
      <w:jc w:val="left"/>
    </w:pPr>
    <w:rPr>
      <w:kern w:val="0"/>
      <w:sz w:val="24"/>
      <w:szCs w:val="20"/>
    </w:rPr>
  </w:style>
  <w:style w:type="paragraph" w:styleId="13">
    <w:name w:val="Body Text"/>
    <w:basedOn w:val="1"/>
    <w:next w:val="14"/>
    <w:link w:val="35"/>
    <w:qFormat/>
    <w:uiPriority w:val="0"/>
    <w:pPr>
      <w:widowControl/>
      <w:snapToGrid w:val="0"/>
      <w:spacing w:before="60" w:after="160" w:line="259" w:lineRule="auto"/>
      <w:ind w:right="113"/>
    </w:pPr>
    <w:rPr>
      <w:kern w:val="0"/>
      <w:sz w:val="18"/>
      <w:szCs w:val="20"/>
    </w:rPr>
  </w:style>
  <w:style w:type="paragraph" w:customStyle="1" w:styleId="14">
    <w:name w:val="Normal (Web)1"/>
    <w:basedOn w:val="1"/>
    <w:next w:val="15"/>
    <w:qFormat/>
    <w:uiPriority w:val="0"/>
    <w:pPr>
      <w:widowControl/>
    </w:pPr>
    <w:rPr>
      <w:rFonts w:ascii="宋体" w:eastAsia="宋体"/>
      <w:sz w:val="24"/>
      <w:szCs w:val="21"/>
    </w:rPr>
  </w:style>
  <w:style w:type="paragraph" w:customStyle="1" w:styleId="15">
    <w:name w:val="Date1"/>
    <w:basedOn w:val="1"/>
    <w:next w:val="1"/>
    <w:qFormat/>
    <w:uiPriority w:val="0"/>
    <w:pPr>
      <w:ind w:left="2500" w:leftChars="2500"/>
    </w:pPr>
  </w:style>
  <w:style w:type="paragraph" w:styleId="16">
    <w:name w:val="Body Text Indent"/>
    <w:basedOn w:val="1"/>
    <w:link w:val="36"/>
    <w:qFormat/>
    <w:uiPriority w:val="0"/>
    <w:pPr>
      <w:spacing w:after="120"/>
      <w:ind w:left="420" w:leftChars="200"/>
    </w:pPr>
    <w:rPr>
      <w:kern w:val="0"/>
      <w:sz w:val="24"/>
      <w:szCs w:val="20"/>
    </w:rPr>
  </w:style>
  <w:style w:type="paragraph" w:styleId="17">
    <w:name w:val="Block Text"/>
    <w:basedOn w:val="1"/>
    <w:qFormat/>
    <w:locked/>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18">
    <w:name w:val="Plain Text"/>
    <w:basedOn w:val="1"/>
    <w:qFormat/>
    <w:locked/>
    <w:uiPriority w:val="0"/>
    <w:rPr>
      <w:rFonts w:ascii="宋体" w:hAnsi="Courier New"/>
      <w:sz w:val="24"/>
      <w:szCs w:val="20"/>
    </w:rPr>
  </w:style>
  <w:style w:type="paragraph" w:styleId="19">
    <w:name w:val="Date"/>
    <w:basedOn w:val="1"/>
    <w:next w:val="1"/>
    <w:link w:val="37"/>
    <w:qFormat/>
    <w:uiPriority w:val="0"/>
    <w:pPr>
      <w:ind w:left="100" w:leftChars="2500"/>
    </w:pPr>
    <w:rPr>
      <w:kern w:val="0"/>
      <w:sz w:val="24"/>
      <w:szCs w:val="20"/>
    </w:rPr>
  </w:style>
  <w:style w:type="paragraph" w:styleId="20">
    <w:name w:val="Balloon Text"/>
    <w:basedOn w:val="1"/>
    <w:link w:val="38"/>
    <w:semiHidden/>
    <w:qFormat/>
    <w:uiPriority w:val="0"/>
    <w:rPr>
      <w:kern w:val="0"/>
      <w:sz w:val="18"/>
      <w:szCs w:val="20"/>
    </w:rPr>
  </w:style>
  <w:style w:type="paragraph" w:styleId="21">
    <w:name w:val="footer"/>
    <w:basedOn w:val="1"/>
    <w:link w:val="39"/>
    <w:qFormat/>
    <w:uiPriority w:val="99"/>
    <w:pPr>
      <w:tabs>
        <w:tab w:val="center" w:pos="4153"/>
        <w:tab w:val="right" w:pos="8306"/>
      </w:tabs>
      <w:snapToGrid w:val="0"/>
      <w:jc w:val="left"/>
    </w:pPr>
    <w:rPr>
      <w:kern w:val="0"/>
      <w:sz w:val="18"/>
      <w:szCs w:val="20"/>
    </w:rPr>
  </w:style>
  <w:style w:type="paragraph" w:styleId="22">
    <w:name w:val="envelope return"/>
    <w:basedOn w:val="1"/>
    <w:qFormat/>
    <w:locked/>
    <w:uiPriority w:val="0"/>
    <w:pPr>
      <w:snapToGrid w:val="0"/>
    </w:pPr>
    <w:rPr>
      <w:rFonts w:ascii="Arial" w:hAnsi="Arial"/>
    </w:rPr>
  </w:style>
  <w:style w:type="paragraph" w:styleId="23">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Body Text 2"/>
    <w:basedOn w:val="1"/>
    <w:qFormat/>
    <w:locked/>
    <w:uiPriority w:val="0"/>
    <w:pPr>
      <w:spacing w:line="500" w:lineRule="exact"/>
      <w:jc w:val="left"/>
    </w:pPr>
    <w:rPr>
      <w:rFonts w:ascii="仿宋_GB2312" w:eastAsia="仿宋_GB2312"/>
      <w:sz w:val="28"/>
    </w:rPr>
  </w:style>
  <w:style w:type="paragraph" w:styleId="25">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2"/>
    <w:next w:val="12"/>
    <w:link w:val="42"/>
    <w:semiHidden/>
    <w:qFormat/>
    <w:uiPriority w:val="0"/>
    <w:rPr>
      <w:b/>
      <w:kern w:val="2"/>
    </w:rPr>
  </w:style>
  <w:style w:type="paragraph" w:styleId="27">
    <w:name w:val="Body Text First Indent 2"/>
    <w:basedOn w:val="16"/>
    <w:next w:val="1"/>
    <w:qFormat/>
    <w:locked/>
    <w:uiPriority w:val="0"/>
    <w:pPr>
      <w:spacing w:after="120" w:line="240" w:lineRule="auto"/>
      <w:ind w:left="420" w:leftChars="200" w:firstLine="420"/>
    </w:pPr>
    <w:rPr>
      <w:sz w:val="21"/>
    </w:r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locked/>
    <w:uiPriority w:val="0"/>
  </w:style>
  <w:style w:type="character" w:styleId="32">
    <w:name w:val="annotation reference"/>
    <w:semiHidden/>
    <w:qFormat/>
    <w:uiPriority w:val="0"/>
    <w:rPr>
      <w:sz w:val="21"/>
    </w:rPr>
  </w:style>
  <w:style w:type="character" w:customStyle="1" w:styleId="33">
    <w:name w:val="文档结构图 Char"/>
    <w:basedOn w:val="30"/>
    <w:link w:val="11"/>
    <w:qFormat/>
    <w:uiPriority w:val="0"/>
    <w:rPr>
      <w:rFonts w:ascii="宋体"/>
      <w:kern w:val="2"/>
      <w:sz w:val="18"/>
      <w:szCs w:val="18"/>
    </w:rPr>
  </w:style>
  <w:style w:type="character" w:customStyle="1" w:styleId="34">
    <w:name w:val="批注文字 Char"/>
    <w:link w:val="12"/>
    <w:qFormat/>
    <w:locked/>
    <w:uiPriority w:val="0"/>
    <w:rPr>
      <w:rFonts w:ascii="Times New Roman" w:hAnsi="Times New Roman" w:eastAsia="宋体"/>
      <w:sz w:val="24"/>
    </w:rPr>
  </w:style>
  <w:style w:type="character" w:customStyle="1" w:styleId="35">
    <w:name w:val="正文文本 Char"/>
    <w:link w:val="13"/>
    <w:qFormat/>
    <w:locked/>
    <w:uiPriority w:val="0"/>
    <w:rPr>
      <w:sz w:val="18"/>
    </w:rPr>
  </w:style>
  <w:style w:type="character" w:customStyle="1" w:styleId="36">
    <w:name w:val="正文文本缩进 Char"/>
    <w:link w:val="16"/>
    <w:semiHidden/>
    <w:qFormat/>
    <w:locked/>
    <w:uiPriority w:val="0"/>
    <w:rPr>
      <w:rFonts w:ascii="Times New Roman" w:hAnsi="Times New Roman" w:eastAsia="宋体"/>
      <w:sz w:val="24"/>
    </w:rPr>
  </w:style>
  <w:style w:type="character" w:customStyle="1" w:styleId="37">
    <w:name w:val="日期 Char"/>
    <w:link w:val="19"/>
    <w:qFormat/>
    <w:locked/>
    <w:uiPriority w:val="0"/>
    <w:rPr>
      <w:rFonts w:ascii="Times New Roman" w:hAnsi="Times New Roman" w:eastAsia="宋体"/>
      <w:sz w:val="24"/>
    </w:rPr>
  </w:style>
  <w:style w:type="character" w:customStyle="1" w:styleId="38">
    <w:name w:val="批注框文本 Char"/>
    <w:link w:val="20"/>
    <w:semiHidden/>
    <w:qFormat/>
    <w:locked/>
    <w:uiPriority w:val="0"/>
    <w:rPr>
      <w:rFonts w:ascii="Times New Roman" w:hAnsi="Times New Roman" w:eastAsia="宋体"/>
      <w:sz w:val="18"/>
    </w:rPr>
  </w:style>
  <w:style w:type="character" w:customStyle="1" w:styleId="39">
    <w:name w:val="页脚 Char"/>
    <w:link w:val="21"/>
    <w:qFormat/>
    <w:locked/>
    <w:uiPriority w:val="99"/>
    <w:rPr>
      <w:sz w:val="18"/>
    </w:rPr>
  </w:style>
  <w:style w:type="character" w:customStyle="1" w:styleId="40">
    <w:name w:val="页眉 Char"/>
    <w:link w:val="23"/>
    <w:qFormat/>
    <w:locked/>
    <w:uiPriority w:val="0"/>
    <w:rPr>
      <w:sz w:val="18"/>
    </w:rPr>
  </w:style>
  <w:style w:type="character" w:customStyle="1" w:styleId="41">
    <w:name w:val="普通(网站) Char"/>
    <w:link w:val="25"/>
    <w:qFormat/>
    <w:locked/>
    <w:uiPriority w:val="0"/>
    <w:rPr>
      <w:rFonts w:ascii="宋体" w:hAnsi="宋体" w:eastAsia="宋体"/>
      <w:sz w:val="24"/>
    </w:rPr>
  </w:style>
  <w:style w:type="character" w:customStyle="1" w:styleId="42">
    <w:name w:val="批注主题 Char"/>
    <w:link w:val="26"/>
    <w:semiHidden/>
    <w:qFormat/>
    <w:locked/>
    <w:uiPriority w:val="0"/>
    <w:rPr>
      <w:rFonts w:ascii="Times New Roman" w:hAnsi="Times New Roman" w:eastAsia="宋体"/>
      <w:b/>
      <w:kern w:val="2"/>
      <w:sz w:val="24"/>
    </w:rPr>
  </w:style>
  <w:style w:type="paragraph" w:customStyle="1" w:styleId="43">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Default"/>
    <w:basedOn w:val="45"/>
    <w:next w:val="46"/>
    <w:unhideWhenUsed/>
    <w:qFormat/>
    <w:uiPriority w:val="99"/>
    <w:pPr>
      <w:widowControl w:val="0"/>
      <w:autoSpaceDE w:val="0"/>
      <w:autoSpaceDN w:val="0"/>
      <w:adjustRightInd w:val="0"/>
    </w:pPr>
    <w:rPr>
      <w:rFonts w:hint="eastAsia" w:ascii="宋体" w:hAnsi="宋体"/>
      <w:color w:val="000000"/>
      <w:sz w:val="24"/>
      <w:lang w:val="en-US" w:eastAsia="zh-CN" w:bidi="ar-SA"/>
    </w:rPr>
  </w:style>
  <w:style w:type="paragraph" w:customStyle="1" w:styleId="45">
    <w:name w:val="纯文本1"/>
    <w:basedOn w:val="1"/>
    <w:qFormat/>
    <w:uiPriority w:val="0"/>
    <w:pPr>
      <w:adjustRightInd w:val="0"/>
    </w:pPr>
    <w:rPr>
      <w:rFonts w:ascii="宋体" w:hAnsi="Courier New"/>
      <w:szCs w:val="20"/>
    </w:rPr>
  </w:style>
  <w:style w:type="paragraph" w:customStyle="1" w:styleId="4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7">
    <w:name w:val="标准正文"/>
    <w:basedOn w:val="1"/>
    <w:qFormat/>
    <w:uiPriority w:val="0"/>
    <w:pPr>
      <w:spacing w:line="280" w:lineRule="exact"/>
      <w:ind w:firstLine="480" w:firstLineChars="200"/>
    </w:pPr>
    <w:rPr>
      <w:rFonts w:hAnsi="宋体"/>
      <w:bCs/>
    </w:rPr>
  </w:style>
  <w:style w:type="character" w:customStyle="1" w:styleId="48">
    <w:name w:val="页脚 字符"/>
    <w:basedOn w:val="30"/>
    <w:qFormat/>
    <w:uiPriority w:val="99"/>
  </w:style>
  <w:style w:type="character" w:customStyle="1" w:styleId="49">
    <w:name w:val="正文文本 字符1"/>
    <w:semiHidden/>
    <w:qFormat/>
    <w:uiPriority w:val="0"/>
    <w:rPr>
      <w:rFonts w:ascii="Times New Roman" w:hAnsi="Times New Roman" w:eastAsia="宋体"/>
      <w:sz w:val="24"/>
    </w:rPr>
  </w:style>
  <w:style w:type="character" w:customStyle="1" w:styleId="50">
    <w:name w:val="表格 Char"/>
    <w:link w:val="51"/>
    <w:qFormat/>
    <w:locked/>
    <w:uiPriority w:val="0"/>
    <w:rPr>
      <w:rFonts w:ascii="宋体"/>
      <w:sz w:val="21"/>
    </w:rPr>
  </w:style>
  <w:style w:type="paragraph" w:customStyle="1" w:styleId="51">
    <w:name w:val="表格"/>
    <w:basedOn w:val="1"/>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日期 字符"/>
    <w:semiHidden/>
    <w:qFormat/>
    <w:uiPriority w:val="0"/>
    <w:rPr>
      <w:rFonts w:ascii="Times New Roman" w:hAnsi="Times New Roman" w:eastAsia="宋体"/>
      <w:sz w:val="24"/>
    </w:rPr>
  </w:style>
  <w:style w:type="character" w:customStyle="1" w:styleId="53">
    <w:name w:val="批注文字 字符1"/>
    <w:semiHidden/>
    <w:qFormat/>
    <w:uiPriority w:val="0"/>
    <w:rPr>
      <w:rFonts w:ascii="Times New Roman" w:hAnsi="Times New Roman" w:eastAsia="宋体"/>
      <w:sz w:val="24"/>
    </w:rPr>
  </w:style>
  <w:style w:type="paragraph" w:customStyle="1" w:styleId="5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表标题"/>
    <w:basedOn w:val="1"/>
    <w:qFormat/>
    <w:uiPriority w:val="0"/>
    <w:pPr>
      <w:suppressAutoHyphens/>
      <w:adjustRightInd w:val="0"/>
      <w:snapToGrid w:val="0"/>
      <w:jc w:val="center"/>
    </w:pPr>
    <w:rPr>
      <w:b/>
      <w:kern w:val="18"/>
      <w:szCs w:val="21"/>
    </w:rPr>
  </w:style>
  <w:style w:type="paragraph" w:styleId="57">
    <w:name w:val="List Paragraph"/>
    <w:basedOn w:val="1"/>
    <w:qFormat/>
    <w:uiPriority w:val="34"/>
    <w:pPr>
      <w:ind w:firstLine="420" w:firstLineChars="200"/>
    </w:pPr>
  </w:style>
  <w:style w:type="character" w:customStyle="1" w:styleId="58">
    <w:name w:val="font31"/>
    <w:qFormat/>
    <w:uiPriority w:val="0"/>
    <w:rPr>
      <w:rFonts w:hint="default" w:ascii="Times New Roman" w:hAnsi="Times New Roman" w:cs="Times New Roman"/>
      <w:color w:val="000000"/>
      <w:sz w:val="20"/>
      <w:szCs w:val="20"/>
      <w:u w:val="none"/>
    </w:rPr>
  </w:style>
  <w:style w:type="character" w:customStyle="1" w:styleId="59">
    <w:name w:val="font21"/>
    <w:qFormat/>
    <w:uiPriority w:val="0"/>
    <w:rPr>
      <w:rFonts w:hint="eastAsia" w:ascii="宋体" w:hAnsi="宋体" w:eastAsia="宋体" w:cs="宋体"/>
      <w:color w:val="000000"/>
      <w:sz w:val="18"/>
      <w:szCs w:val="18"/>
      <w:u w:val="none"/>
    </w:rPr>
  </w:style>
  <w:style w:type="paragraph" w:customStyle="1" w:styleId="60">
    <w:name w:val="样式 题注 + 首行缩进:  2 字符"/>
    <w:basedOn w:val="10"/>
    <w:qFormat/>
    <w:uiPriority w:val="0"/>
    <w:pPr>
      <w:snapToGrid w:val="0"/>
      <w:spacing w:line="360" w:lineRule="auto"/>
      <w:ind w:firstLine="502" w:firstLineChars="100"/>
      <w:jc w:val="center"/>
    </w:pPr>
    <w:rPr>
      <w:rFonts w:ascii="黑体" w:hAnsi="Times New Roman" w:cs="Times New Roman"/>
      <w:b/>
      <w:sz w:val="24"/>
    </w:rPr>
  </w:style>
  <w:style w:type="paragraph" w:customStyle="1" w:styleId="61">
    <w:name w:val="【正文】"/>
    <w:basedOn w:val="1"/>
    <w:qFormat/>
    <w:uiPriority w:val="0"/>
    <w:pPr>
      <w:spacing w:beforeLines="50" w:afterLines="50" w:line="440" w:lineRule="exact"/>
      <w:ind w:firstLine="200" w:firstLineChars="200"/>
    </w:pPr>
    <w:rPr>
      <w:rFonts w:eastAsia="新宋体" w:cs="宋体"/>
      <w:sz w:val="24"/>
      <w:szCs w:val="20"/>
    </w:rPr>
  </w:style>
  <w:style w:type="paragraph" w:customStyle="1" w:styleId="62">
    <w:name w:val="_Style 2"/>
    <w:basedOn w:val="1"/>
    <w:qFormat/>
    <w:uiPriority w:val="34"/>
    <w:pPr>
      <w:ind w:firstLine="420" w:firstLineChars="200"/>
    </w:pPr>
    <w:rPr>
      <w:rFonts w:ascii="Calibri" w:hAnsi="Calibri"/>
    </w:rPr>
  </w:style>
  <w:style w:type="paragraph" w:customStyle="1" w:styleId="63">
    <w:name w:val="报告正文"/>
    <w:basedOn w:val="1"/>
    <w:qFormat/>
    <w:uiPriority w:val="0"/>
    <w:pPr>
      <w:adjustRightInd w:val="0"/>
      <w:snapToGrid w:val="0"/>
      <w:spacing w:line="360" w:lineRule="auto"/>
      <w:ind w:firstLine="560" w:firstLineChars="200"/>
    </w:pPr>
    <w:rPr>
      <w:sz w:val="24"/>
    </w:rPr>
  </w:style>
  <w:style w:type="character" w:customStyle="1" w:styleId="64">
    <w:name w:val="font11"/>
    <w:basedOn w:val="30"/>
    <w:qFormat/>
    <w:uiPriority w:val="0"/>
    <w:rPr>
      <w:rFonts w:hint="eastAsia" w:ascii="宋体" w:hAnsi="宋体" w:eastAsia="宋体" w:cs="宋体"/>
      <w:color w:val="000000"/>
      <w:sz w:val="22"/>
      <w:szCs w:val="22"/>
      <w:u w:val="none"/>
    </w:rPr>
  </w:style>
  <w:style w:type="character" w:customStyle="1" w:styleId="65">
    <w:name w:val="font41"/>
    <w:basedOn w:val="30"/>
    <w:qFormat/>
    <w:uiPriority w:val="0"/>
    <w:rPr>
      <w:rFonts w:hint="eastAsia" w:ascii="宋体" w:hAnsi="宋体" w:eastAsia="宋体" w:cs="宋体"/>
      <w:color w:val="000000"/>
      <w:sz w:val="22"/>
      <w:szCs w:val="22"/>
      <w:u w:val="none"/>
    </w:rPr>
  </w:style>
  <w:style w:type="character" w:customStyle="1" w:styleId="66">
    <w:name w:val="font51"/>
    <w:basedOn w:val="30"/>
    <w:qFormat/>
    <w:uiPriority w:val="0"/>
    <w:rPr>
      <w:rFonts w:hint="eastAsia" w:ascii="宋体" w:hAnsi="宋体" w:eastAsia="宋体" w:cs="宋体"/>
      <w:color w:val="000000"/>
      <w:sz w:val="22"/>
      <w:szCs w:val="22"/>
      <w:u w:val="none"/>
    </w:rPr>
  </w:style>
  <w:style w:type="character" w:customStyle="1" w:styleId="67">
    <w:name w:val="font01"/>
    <w:basedOn w:val="30"/>
    <w:qFormat/>
    <w:uiPriority w:val="0"/>
    <w:rPr>
      <w:rFonts w:hint="eastAsia" w:ascii="宋体" w:hAnsi="宋体" w:eastAsia="宋体" w:cs="宋体"/>
      <w:color w:val="000000"/>
      <w:sz w:val="22"/>
      <w:szCs w:val="22"/>
      <w:u w:val="none"/>
    </w:rPr>
  </w:style>
  <w:style w:type="paragraph" w:customStyle="1" w:styleId="68">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69">
    <w:name w:val="正文_8"/>
    <w:qFormat/>
    <w:uiPriority w:val="0"/>
    <w:pPr>
      <w:widowControl w:val="0"/>
      <w:jc w:val="both"/>
    </w:pPr>
    <w:rPr>
      <w:rFonts w:ascii="Calibri" w:hAnsi="Calibri" w:eastAsia="宋体" w:cs="Times New Roman"/>
      <w:kern w:val="2"/>
      <w:sz w:val="21"/>
      <w:lang w:val="en-US" w:eastAsia="zh-CN" w:bidi="ar-SA"/>
    </w:rPr>
  </w:style>
  <w:style w:type="paragraph" w:customStyle="1" w:styleId="70">
    <w:name w:val="+正文"/>
    <w:basedOn w:val="1"/>
    <w:qFormat/>
    <w:uiPriority w:val="0"/>
    <w:pPr>
      <w:spacing w:line="360" w:lineRule="auto"/>
      <w:ind w:firstLine="200" w:firstLineChars="200"/>
    </w:pPr>
    <w:rPr>
      <w:sz w:val="28"/>
      <w:szCs w:val="28"/>
    </w:rPr>
  </w:style>
  <w:style w:type="paragraph" w:customStyle="1" w:styleId="71">
    <w:name w:val="0正文"/>
    <w:basedOn w:val="1"/>
    <w:qFormat/>
    <w:uiPriority w:val="0"/>
    <w:pPr>
      <w:spacing w:line="360" w:lineRule="auto"/>
      <w:ind w:firstLine="480" w:firstLineChars="200"/>
    </w:pPr>
    <w:rPr>
      <w:rFonts w:ascii="Calibri" w:hAnsi="Calibri"/>
      <w:sz w:val="24"/>
      <w:szCs w:val="22"/>
    </w:rPr>
  </w:style>
  <w:style w:type="paragraph" w:customStyle="1" w:styleId="7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钢--正文"/>
    <w:basedOn w:val="1"/>
    <w:qFormat/>
    <w:uiPriority w:val="0"/>
    <w:pPr>
      <w:spacing w:line="520" w:lineRule="exact"/>
      <w:ind w:firstLine="480" w:firstLineChars="200"/>
    </w:pPr>
    <w:rPr>
      <w:rFonts w:ascii="宋体" w:hAnsi="宋体"/>
      <w:sz w:val="24"/>
    </w:rPr>
  </w:style>
  <w:style w:type="paragraph" w:customStyle="1" w:styleId="74">
    <w:name w:val="正文（首行缩进两个字） + 首行缩进:  2 字符"/>
    <w:basedOn w:val="1"/>
    <w:qFormat/>
    <w:uiPriority w:val="0"/>
    <w:pPr>
      <w:widowControl/>
      <w:spacing w:line="440" w:lineRule="exact"/>
      <w:ind w:firstLine="200" w:firstLineChars="200"/>
      <w:jc w:val="left"/>
    </w:pPr>
    <w:rPr>
      <w:rFonts w:eastAsia="Cambria" w:cs="宋体"/>
      <w:sz w:val="24"/>
      <w:szCs w:val="20"/>
      <w:lang w:val="zh-CN"/>
    </w:rPr>
  </w:style>
  <w:style w:type="paragraph" w:customStyle="1" w:styleId="75">
    <w:name w:val="正文 首行缩进:  2 字符"/>
    <w:basedOn w:val="1"/>
    <w:qFormat/>
    <w:uiPriority w:val="0"/>
    <w:pPr>
      <w:adjustRightInd w:val="0"/>
      <w:snapToGrid w:val="0"/>
      <w:spacing w:line="360" w:lineRule="auto"/>
      <w:ind w:firstLine="480" w:firstLineChars="200"/>
    </w:pPr>
    <w:rPr>
      <w:bCs/>
      <w:color w:val="000000"/>
      <w:kern w:val="0"/>
      <w:sz w:val="24"/>
      <w:szCs w:val="24"/>
    </w:rPr>
  </w:style>
  <w:style w:type="paragraph" w:customStyle="1" w:styleId="76">
    <w:name w:val="图表题"/>
    <w:basedOn w:val="1"/>
    <w:next w:val="1"/>
    <w:qFormat/>
    <w:uiPriority w:val="0"/>
    <w:pPr>
      <w:adjustRightInd w:val="0"/>
      <w:snapToGrid w:val="0"/>
      <w:spacing w:line="360" w:lineRule="auto"/>
      <w:jc w:val="center"/>
    </w:pPr>
    <w:rPr>
      <w:rFonts w:eastAsia="黑体"/>
      <w:kern w:val="0"/>
      <w:sz w:val="24"/>
      <w:szCs w:val="20"/>
    </w:rPr>
  </w:style>
  <w:style w:type="paragraph" w:customStyle="1" w:styleId="77">
    <w:name w:val="图表"/>
    <w:basedOn w:val="1"/>
    <w:qFormat/>
    <w:uiPriority w:val="0"/>
    <w:pPr>
      <w:adjustRightInd w:val="0"/>
      <w:snapToGrid w:val="0"/>
      <w:spacing w:line="280" w:lineRule="exact"/>
      <w:jc w:val="center"/>
    </w:pPr>
    <w:rPr>
      <w:kern w:val="0"/>
      <w:szCs w:val="20"/>
    </w:rPr>
  </w:style>
  <w:style w:type="paragraph" w:customStyle="1" w:styleId="78">
    <w:name w:val="正文文本5"/>
    <w:basedOn w:val="1"/>
    <w:qFormat/>
    <w:uiPriority w:val="0"/>
    <w:pPr>
      <w:shd w:val="clear" w:color="auto" w:fill="FFFFFF"/>
      <w:spacing w:after="1920" w:line="0" w:lineRule="atLeast"/>
      <w:ind w:hanging="820"/>
      <w:jc w:val="right"/>
    </w:pPr>
    <w:rPr>
      <w:rFonts w:ascii="MingLiU" w:hAnsi="MingLiU" w:eastAsia="MingLiU"/>
      <w:spacing w:val="10"/>
      <w:kern w:val="0"/>
      <w:szCs w:val="21"/>
    </w:rPr>
  </w:style>
  <w:style w:type="character" w:customStyle="1" w:styleId="79">
    <w:name w:val="正文文本1"/>
    <w:qFormat/>
    <w:uiPriority w:val="0"/>
    <w:rPr>
      <w:rFonts w:ascii="MingLiU" w:hAnsi="MingLiU" w:eastAsia="MingLiU" w:cs="MingLiU"/>
      <w:color w:val="000000"/>
      <w:spacing w:val="10"/>
      <w:w w:val="100"/>
      <w:position w:val="0"/>
      <w:sz w:val="21"/>
      <w:szCs w:val="21"/>
      <w:u w:val="none"/>
      <w:lang w:val="zh-TW"/>
    </w:rPr>
  </w:style>
  <w:style w:type="paragraph" w:customStyle="1" w:styleId="80">
    <w:name w:val="样式 表中文字 + 小四"/>
    <w:basedOn w:val="1"/>
    <w:qFormat/>
    <w:uiPriority w:val="0"/>
    <w:pPr>
      <w:widowControl/>
      <w:jc w:val="center"/>
    </w:pPr>
    <w:rPr>
      <w:rFonts w:ascii="宋体" w:hAnsi="宋体" w:cs="Times New Roman"/>
      <w:kern w:val="0"/>
      <w:sz w:val="20"/>
      <w:szCs w:val="21"/>
    </w:rPr>
  </w:style>
  <w:style w:type="paragraph" w:customStyle="1" w:styleId="81">
    <w:name w:val="绘图"/>
    <w:basedOn w:val="1"/>
    <w:qFormat/>
    <w:uiPriority w:val="0"/>
    <w:pPr>
      <w:jc w:val="center"/>
    </w:pPr>
    <w:rPr>
      <w:rFonts w:ascii="Calibri" w:hAnsi="Calibri" w:eastAsia="黑体"/>
      <w:kern w:val="0"/>
      <w:sz w:val="24"/>
      <w:szCs w:val="20"/>
    </w:rPr>
  </w:style>
  <w:style w:type="paragraph" w:customStyle="1" w:styleId="82">
    <w:name w:val="正文 New"/>
    <w:qFormat/>
    <w:uiPriority w:val="0"/>
    <w:pPr>
      <w:widowControl w:val="0"/>
      <w:adjustRightInd w:val="0"/>
      <w:snapToGrid w:val="0"/>
      <w:spacing w:line="480" w:lineRule="atLeast"/>
      <w:jc w:val="both"/>
    </w:pPr>
    <w:rPr>
      <w:rFonts w:ascii="宋体" w:hAnsi="Times New Roman" w:eastAsia="宋体" w:cs="Times New Roman"/>
      <w:kern w:val="2"/>
      <w:sz w:val="28"/>
      <w:szCs w:val="28"/>
      <w:lang w:val="en-US" w:eastAsia="zh-CN" w:bidi="ar-SA"/>
    </w:rPr>
  </w:style>
  <w:style w:type="paragraph" w:customStyle="1" w:styleId="83">
    <w:name w:val="样式 正文缩进正文缩进2正文缩进 Char Char正文缩进 Char Char Char Char正文缩进 Char ..."/>
    <w:basedOn w:val="9"/>
    <w:qFormat/>
    <w:uiPriority w:val="0"/>
    <w:pPr>
      <w:spacing w:line="360" w:lineRule="auto"/>
      <w:ind w:firstLine="20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9.bin"/><Relationship Id="rId27" Type="http://schemas.openxmlformats.org/officeDocument/2006/relationships/image" Target="media/image11.png"/><Relationship Id="rId26" Type="http://schemas.openxmlformats.org/officeDocument/2006/relationships/image" Target="media/image10.wmf"/><Relationship Id="rId25" Type="http://schemas.openxmlformats.org/officeDocument/2006/relationships/oleObject" Target="embeddings/oleObject8.bin"/><Relationship Id="rId24" Type="http://schemas.openxmlformats.org/officeDocument/2006/relationships/image" Target="media/image9.wmf"/><Relationship Id="rId23" Type="http://schemas.openxmlformats.org/officeDocument/2006/relationships/oleObject" Target="embeddings/oleObject7.bin"/><Relationship Id="rId22" Type="http://schemas.openxmlformats.org/officeDocument/2006/relationships/image" Target="media/image8.wmf"/><Relationship Id="rId21" Type="http://schemas.openxmlformats.org/officeDocument/2006/relationships/oleObject" Target="embeddings/oleObject6.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2201"/>
    <customShpInfo spid="_x0000_s22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59</Pages>
  <Words>7100</Words>
  <Characters>7503</Characters>
  <Lines>357</Lines>
  <Paragraphs>100</Paragraphs>
  <TotalTime>6</TotalTime>
  <ScaleCrop>false</ScaleCrop>
  <LinksUpToDate>false</LinksUpToDate>
  <CharactersWithSpaces>7609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2021-11-25T07:18:00Z</dcterms:created>
  <dc:creator>lhj</dc:creator>
  <cp:lastModifiedBy>浅夏~未眠</cp:lastModifiedBy>
  <cp:lastPrinted>2021-12-22T02:59:00Z</cp:lastPrinted>
  <dcterms:modified xsi:type="dcterms:W3CDTF">2026-05-27T08:02:20Z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28F5C7D8FEF54BBBB66ED071CB9F2090_13</vt:lpwstr>
  </property>
  <property fmtid="{D5CDD505-2E9C-101B-9397-08002B2CF9AE}" pid="4" name="KSOTemplateDocerSaveRecord">
    <vt:lpwstr>eyJoZGlkIjoiY2RlOTUwNGU1ODEzM2ZlNDljZmMwZDI2ODFiOWM2YjUiLCJ1c2VySWQiOiIzMTE4NzQ1MzcifQ==</vt:lpwstr>
  </property>
</Properties>
</file>