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4C84C">
      <w:pPr>
        <w:rPr>
          <w:rFonts w:ascii="仿宋_GB2312" w:hAnsi="仿宋_GB2312" w:eastAsia="仿宋_GB2312" w:cs="仿宋_GB2312"/>
          <w:color w:val="auto"/>
          <w:sz w:val="36"/>
          <w:szCs w:val="36"/>
          <w:highlight w:val="none"/>
        </w:rPr>
      </w:pPr>
    </w:p>
    <w:p w14:paraId="5157AA61">
      <w:pPr>
        <w:rPr>
          <w:rFonts w:ascii="仿宋_GB2312" w:hAnsi="仿宋_GB2312" w:eastAsia="仿宋_GB2312" w:cs="仿宋_GB2312"/>
          <w:color w:val="auto"/>
          <w:sz w:val="36"/>
          <w:szCs w:val="36"/>
          <w:highlight w:val="none"/>
        </w:rPr>
      </w:pPr>
    </w:p>
    <w:p w14:paraId="06FCFE47">
      <w:pPr>
        <w:rPr>
          <w:rFonts w:ascii="仿宋_GB2312" w:hAnsi="仿宋_GB2312" w:eastAsia="仿宋_GB2312" w:cs="仿宋_GB2312"/>
          <w:color w:val="auto"/>
          <w:sz w:val="36"/>
          <w:szCs w:val="36"/>
          <w:highlight w:val="none"/>
        </w:rPr>
      </w:pPr>
    </w:p>
    <w:p w14:paraId="3A6A4A2A">
      <w:pPr>
        <w:rPr>
          <w:rFonts w:ascii="仿宋_GB2312" w:hAnsi="仿宋_GB2312" w:eastAsia="仿宋_GB2312" w:cs="仿宋_GB2312"/>
          <w:color w:val="auto"/>
          <w:sz w:val="36"/>
          <w:szCs w:val="36"/>
          <w:highlight w:val="none"/>
        </w:rPr>
      </w:pPr>
    </w:p>
    <w:p w14:paraId="461259FA">
      <w:pPr>
        <w:rPr>
          <w:rFonts w:hint="eastAsia" w:ascii="仿宋_GB2312" w:hAnsi="仿宋_GB2312" w:eastAsia="仿宋_GB2312" w:cs="仿宋_GB2312"/>
          <w:color w:val="auto"/>
          <w:sz w:val="36"/>
          <w:szCs w:val="36"/>
          <w:highlight w:val="none"/>
        </w:rPr>
      </w:pPr>
    </w:p>
    <w:p w14:paraId="7392D6B4">
      <w:pPr>
        <w:adjustRightInd w:val="0"/>
        <w:snapToGrid w:val="0"/>
        <w:jc w:val="center"/>
        <w:outlineLvl w:val="0"/>
        <w:rPr>
          <w:rFonts w:hint="eastAsia" w:ascii="方正小标宋_GBK" w:eastAsia="方正小标宋_GBK"/>
          <w:bCs/>
          <w:color w:val="auto"/>
          <w:sz w:val="72"/>
          <w:szCs w:val="72"/>
          <w:highlight w:val="none"/>
        </w:rPr>
      </w:pPr>
      <w:r>
        <w:rPr>
          <w:rFonts w:hint="eastAsia" w:ascii="方正小标宋_GBK" w:hAnsi="Times New Roman" w:eastAsia="方正小标宋_GBK" w:cs="Times New Roman"/>
          <w:bCs/>
          <w:color w:val="auto"/>
          <w:sz w:val="72"/>
          <w:szCs w:val="72"/>
          <w:highlight w:val="none"/>
        </w:rPr>
        <w:t>建设项目环境影响报告表</w:t>
      </w:r>
    </w:p>
    <w:p w14:paraId="36A58023">
      <w:pPr>
        <w:adjustRightInd w:val="0"/>
        <w:snapToGrid w:val="0"/>
        <w:jc w:val="center"/>
        <w:outlineLvl w:val="0"/>
        <w:rPr>
          <w:rFonts w:hint="eastAsia" w:ascii="楷体_GB2312" w:eastAsia="楷体_GB2312"/>
          <w:bCs/>
          <w:color w:val="auto"/>
          <w:sz w:val="48"/>
          <w:szCs w:val="48"/>
          <w:highlight w:val="none"/>
        </w:rPr>
      </w:pPr>
      <w:r>
        <w:rPr>
          <w:rFonts w:hint="eastAsia" w:ascii="楷体_GB2312" w:eastAsia="楷体_GB2312"/>
          <w:bCs/>
          <w:color w:val="auto"/>
          <w:sz w:val="48"/>
          <w:szCs w:val="48"/>
          <w:highlight w:val="none"/>
        </w:rPr>
        <w:t>（污染影响类）</w:t>
      </w:r>
    </w:p>
    <w:p w14:paraId="229956F1">
      <w:pPr>
        <w:adjustRightInd w:val="0"/>
        <w:snapToGrid w:val="0"/>
        <w:spacing w:line="288" w:lineRule="auto"/>
        <w:jc w:val="center"/>
        <w:outlineLvl w:val="0"/>
        <w:rPr>
          <w:rFonts w:ascii="华文仿宋" w:hAnsi="华文仿宋" w:eastAsia="华文仿宋" w:cs="华文仿宋"/>
          <w:color w:val="auto"/>
          <w:kern w:val="44"/>
          <w:sz w:val="44"/>
          <w:szCs w:val="44"/>
          <w:highlight w:val="none"/>
        </w:rPr>
      </w:pPr>
    </w:p>
    <w:p w14:paraId="7DAA13E1">
      <w:pPr>
        <w:jc w:val="center"/>
        <w:rPr>
          <w:rFonts w:eastAsia="仿宋"/>
          <w:color w:val="auto"/>
          <w:sz w:val="52"/>
          <w:szCs w:val="52"/>
          <w:highlight w:val="none"/>
        </w:rPr>
      </w:pPr>
    </w:p>
    <w:p w14:paraId="641FD701">
      <w:pPr>
        <w:ind w:firstLine="1040"/>
        <w:rPr>
          <w:rFonts w:eastAsia="仿宋"/>
          <w:color w:val="auto"/>
          <w:sz w:val="44"/>
          <w:szCs w:val="44"/>
          <w:highlight w:val="none"/>
        </w:rPr>
      </w:pPr>
    </w:p>
    <w:p w14:paraId="194B9D7B">
      <w:pPr>
        <w:ind w:firstLine="1040"/>
        <w:rPr>
          <w:rFonts w:eastAsia="仿宋"/>
          <w:color w:val="auto"/>
          <w:sz w:val="44"/>
          <w:szCs w:val="44"/>
          <w:highlight w:val="none"/>
        </w:rPr>
      </w:pPr>
    </w:p>
    <w:p w14:paraId="6BCCFAF2">
      <w:pPr>
        <w:ind w:firstLine="1040"/>
        <w:rPr>
          <w:rFonts w:eastAsia="仿宋"/>
          <w:color w:val="auto"/>
          <w:sz w:val="44"/>
          <w:szCs w:val="44"/>
          <w:highlight w:val="none"/>
        </w:rPr>
      </w:pPr>
    </w:p>
    <w:p w14:paraId="3F5BFCCA">
      <w:pPr>
        <w:ind w:firstLine="1040"/>
        <w:rPr>
          <w:rFonts w:eastAsia="仿宋"/>
          <w:color w:val="auto"/>
          <w:sz w:val="44"/>
          <w:szCs w:val="44"/>
          <w:highlight w:val="none"/>
        </w:rPr>
      </w:pPr>
    </w:p>
    <w:p w14:paraId="080F5D08">
      <w:pPr>
        <w:adjustRightInd w:val="0"/>
        <w:snapToGrid w:val="0"/>
        <w:spacing w:line="288" w:lineRule="auto"/>
        <w:rPr>
          <w:rFonts w:hint="eastAsia" w:ascii="仿宋_GB2312" w:eastAsia="仿宋_GB2312"/>
          <w:color w:val="auto"/>
          <w:sz w:val="36"/>
          <w:szCs w:val="36"/>
          <w:highlight w:val="none"/>
          <w:u w:val="single"/>
          <w:lang w:val="en-US" w:eastAsia="zh-CN"/>
        </w:rPr>
      </w:pPr>
      <w:r>
        <w:rPr>
          <w:rFonts w:hint="eastAsia" w:ascii="仿宋_GB2312" w:eastAsia="仿宋_GB2312"/>
          <w:color w:val="auto"/>
          <w:sz w:val="36"/>
          <w:szCs w:val="36"/>
          <w:highlight w:val="none"/>
        </w:rPr>
        <w:t>项目名称：</w:t>
      </w:r>
      <w:r>
        <w:rPr>
          <w:rFonts w:hint="eastAsia" w:ascii="仿宋_GB2312" w:eastAsia="仿宋_GB2312"/>
          <w:color w:val="auto"/>
          <w:sz w:val="36"/>
          <w:szCs w:val="36"/>
          <w:highlight w:val="none"/>
          <w:u w:val="single"/>
          <w:lang w:val="en-US" w:eastAsia="zh-CN"/>
        </w:rPr>
        <w:t xml:space="preserve">       洋县戚氏镇秸秆综合利用项目      </w:t>
      </w:r>
    </w:p>
    <w:p w14:paraId="2C336DBA">
      <w:pPr>
        <w:adjustRightInd w:val="0"/>
        <w:snapToGrid w:val="0"/>
        <w:spacing w:line="288" w:lineRule="auto"/>
        <w:rPr>
          <w:rFonts w:ascii="仿宋_GB2312" w:eastAsia="仿宋_GB2312"/>
          <w:color w:val="auto"/>
          <w:sz w:val="36"/>
          <w:szCs w:val="36"/>
          <w:highlight w:val="none"/>
          <w:u w:val="single"/>
        </w:rPr>
      </w:pPr>
      <w:r>
        <w:rPr>
          <w:rFonts w:hint="eastAsia" w:ascii="仿宋_GB2312" w:eastAsia="仿宋_GB2312"/>
          <w:color w:val="auto"/>
          <w:sz w:val="36"/>
          <w:szCs w:val="36"/>
          <w:highlight w:val="none"/>
        </w:rPr>
        <w:t>建设单位（盖章）：</w:t>
      </w:r>
      <w:r>
        <w:rPr>
          <w:rFonts w:hint="eastAsia" w:ascii="仿宋_GB2312" w:eastAsia="仿宋_GB2312"/>
          <w:color w:val="auto"/>
          <w:sz w:val="36"/>
          <w:szCs w:val="36"/>
          <w:highlight w:val="none"/>
          <w:u w:val="single"/>
          <w:lang w:val="en-US" w:eastAsia="zh-CN"/>
        </w:rPr>
        <w:t>陕西旺久成实业有限公司洋县分公司</w:t>
      </w:r>
    </w:p>
    <w:p w14:paraId="77B9A63A">
      <w:pPr>
        <w:adjustRightInd w:val="0"/>
        <w:snapToGrid w:val="0"/>
        <w:spacing w:line="288" w:lineRule="auto"/>
        <w:rPr>
          <w:rFonts w:hint="eastAsia" w:ascii="仿宋_GB2312" w:eastAsia="仿宋_GB2312"/>
          <w:color w:val="auto"/>
          <w:sz w:val="36"/>
          <w:szCs w:val="36"/>
          <w:highlight w:val="none"/>
          <w:u w:val="single"/>
          <w:lang w:val="en-US" w:eastAsia="zh-CN"/>
        </w:rPr>
      </w:pPr>
      <w:r>
        <w:rPr>
          <w:rFonts w:hint="eastAsia" w:ascii="仿宋_GB2312" w:eastAsia="仿宋_GB2312"/>
          <w:color w:val="auto"/>
          <w:sz w:val="36"/>
          <w:szCs w:val="36"/>
          <w:highlight w:val="none"/>
        </w:rPr>
        <w:t>编制日期：</w:t>
      </w:r>
      <w:r>
        <w:rPr>
          <w:rFonts w:hint="eastAsia" w:ascii="仿宋_GB2312" w:eastAsia="仿宋_GB2312"/>
          <w:color w:val="auto"/>
          <w:sz w:val="36"/>
          <w:szCs w:val="36"/>
          <w:highlight w:val="none"/>
          <w:u w:val="single"/>
          <w:lang w:val="en-US" w:eastAsia="zh-CN"/>
        </w:rPr>
        <w:t xml:space="preserve">             二〇二六年七月            </w:t>
      </w:r>
    </w:p>
    <w:p w14:paraId="1F3712EE">
      <w:pPr>
        <w:adjustRightInd w:val="0"/>
        <w:snapToGrid w:val="0"/>
        <w:spacing w:line="288" w:lineRule="auto"/>
        <w:ind w:firstLine="1040"/>
        <w:rPr>
          <w:rFonts w:ascii="仿宋_GB2312" w:eastAsia="仿宋_GB2312"/>
          <w:color w:val="auto"/>
          <w:sz w:val="36"/>
          <w:szCs w:val="36"/>
          <w:highlight w:val="none"/>
          <w:u w:val="single"/>
        </w:rPr>
      </w:pPr>
      <w:bookmarkStart w:id="0" w:name="_Hlk57884087"/>
    </w:p>
    <w:p w14:paraId="68666A8B">
      <w:pPr>
        <w:adjustRightInd w:val="0"/>
        <w:snapToGrid w:val="0"/>
        <w:spacing w:line="288" w:lineRule="auto"/>
        <w:ind w:firstLine="1040"/>
        <w:rPr>
          <w:rFonts w:ascii="仿宋_GB2312" w:eastAsia="仿宋_GB2312"/>
          <w:color w:val="auto"/>
          <w:sz w:val="36"/>
          <w:szCs w:val="36"/>
          <w:highlight w:val="none"/>
        </w:rPr>
      </w:pPr>
    </w:p>
    <w:p w14:paraId="72C211CE">
      <w:pPr>
        <w:adjustRightInd w:val="0"/>
        <w:snapToGrid w:val="0"/>
        <w:spacing w:line="288" w:lineRule="auto"/>
        <w:ind w:firstLine="1040"/>
        <w:rPr>
          <w:rFonts w:ascii="仿宋_GB2312" w:eastAsia="仿宋_GB2312"/>
          <w:color w:val="auto"/>
          <w:sz w:val="36"/>
          <w:szCs w:val="36"/>
          <w:highlight w:val="none"/>
        </w:rPr>
      </w:pPr>
    </w:p>
    <w:p w14:paraId="7FD1F756">
      <w:pPr>
        <w:adjustRightInd w:val="0"/>
        <w:snapToGrid w:val="0"/>
        <w:spacing w:line="288" w:lineRule="auto"/>
        <w:ind w:firstLine="1040"/>
        <w:rPr>
          <w:rFonts w:hint="eastAsia" w:ascii="仿宋_GB2312" w:eastAsia="仿宋_GB2312"/>
          <w:color w:val="auto"/>
          <w:sz w:val="36"/>
          <w:szCs w:val="36"/>
          <w:highlight w:val="none"/>
        </w:rPr>
      </w:pPr>
    </w:p>
    <w:p w14:paraId="3E78CADE">
      <w:pPr>
        <w:adjustRightInd w:val="0"/>
        <w:snapToGrid w:val="0"/>
        <w:spacing w:line="288" w:lineRule="auto"/>
        <w:ind w:firstLine="1040"/>
        <w:rPr>
          <w:rFonts w:hint="eastAsia" w:ascii="仿宋_GB2312" w:eastAsia="仿宋_GB2312"/>
          <w:color w:val="auto"/>
          <w:sz w:val="36"/>
          <w:szCs w:val="36"/>
          <w:highlight w:val="none"/>
        </w:rPr>
      </w:pPr>
    </w:p>
    <w:bookmarkEnd w:id="0"/>
    <w:p w14:paraId="734C5B8B">
      <w:pPr>
        <w:adjustRightInd w:val="0"/>
        <w:snapToGrid w:val="0"/>
        <w:spacing w:line="288" w:lineRule="auto"/>
        <w:jc w:val="center"/>
        <w:rPr>
          <w:rFonts w:hint="eastAsia" w:ascii="楷体_GB2312" w:hAnsi="Times New Roman" w:eastAsia="楷体_GB2312" w:cs="Times New Roman"/>
          <w:color w:val="auto"/>
          <w:sz w:val="36"/>
          <w:szCs w:val="36"/>
          <w:highlight w:val="none"/>
        </w:rPr>
      </w:pPr>
      <w:r>
        <w:rPr>
          <w:rFonts w:hint="eastAsia" w:ascii="楷体_GB2312" w:hAnsi="Times New Roman" w:eastAsia="楷体_GB2312" w:cs="Times New Roman"/>
          <w:color w:val="auto"/>
          <w:sz w:val="36"/>
          <w:szCs w:val="36"/>
          <w:highlight w:val="none"/>
        </w:rPr>
        <w:t>中华人民共和国生态环境部制</w:t>
      </w:r>
    </w:p>
    <w:p w14:paraId="57E12095">
      <w:pPr>
        <w:adjustRightInd w:val="0"/>
        <w:snapToGrid w:val="0"/>
        <w:spacing w:line="288" w:lineRule="auto"/>
        <w:jc w:val="center"/>
        <w:rPr>
          <w:rFonts w:hint="eastAsia" w:ascii="楷体_GB2312" w:hAnsi="Times New Roman" w:eastAsia="楷体_GB2312" w:cs="Times New Roman"/>
          <w:color w:val="auto"/>
          <w:sz w:val="36"/>
          <w:szCs w:val="36"/>
          <w:highlight w:val="none"/>
        </w:rPr>
        <w:sectPr>
          <w:headerReference r:id="rId3" w:type="default"/>
          <w:footerReference r:id="rId4" w:type="default"/>
          <w:footerReference r:id="rId5" w:type="even"/>
          <w:pgSz w:w="11906" w:h="16838"/>
          <w:pgMar w:top="1701" w:right="1531" w:bottom="1701" w:left="1531" w:header="851" w:footer="1077" w:gutter="0"/>
          <w:pgNumType w:fmt="decimal" w:start="3"/>
          <w:cols w:space="720" w:num="1"/>
          <w:docGrid w:linePitch="312" w:charSpace="0"/>
        </w:sectPr>
      </w:pPr>
    </w:p>
    <w:p w14:paraId="339C28FB">
      <w:pPr>
        <w:pStyle w:val="22"/>
        <w:jc w:val="center"/>
        <w:outlineLvl w:val="0"/>
        <w:rPr>
          <w:rFonts w:hint="eastAsia" w:ascii="黑体" w:hAnsi="黑体" w:eastAsia="黑体"/>
          <w:snapToGrid w:val="0"/>
          <w:color w:val="auto"/>
          <w:sz w:val="30"/>
          <w:szCs w:val="30"/>
          <w:highlight w:val="none"/>
        </w:rPr>
        <w:sectPr>
          <w:footerReference r:id="rId6" w:type="default"/>
          <w:pgSz w:w="11906" w:h="16838"/>
          <w:pgMar w:top="1701" w:right="1531" w:bottom="1701" w:left="1531" w:header="851" w:footer="1077" w:gutter="0"/>
          <w:pgNumType w:fmt="decimal" w:start="1"/>
          <w:cols w:space="720" w:num="1"/>
          <w:docGrid w:linePitch="312" w:charSpace="0"/>
        </w:sectPr>
      </w:pPr>
    </w:p>
    <w:p w14:paraId="2F9B89F5">
      <w:pPr>
        <w:pStyle w:val="22"/>
        <w:jc w:val="center"/>
        <w:outlineLvl w:val="0"/>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一、建设项目基本情况</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10"/>
        <w:gridCol w:w="2958"/>
        <w:gridCol w:w="1594"/>
        <w:gridCol w:w="2908"/>
      </w:tblGrid>
      <w:tr w14:paraId="5E279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37FE37E7">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7460" w:type="dxa"/>
            <w:gridSpan w:val="3"/>
            <w:noWrap w:val="0"/>
            <w:vAlign w:val="center"/>
          </w:tcPr>
          <w:p w14:paraId="75C67782">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洋县戚氏镇秸秆综合利用项目</w:t>
            </w:r>
          </w:p>
        </w:tc>
      </w:tr>
      <w:tr w14:paraId="5571A5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5FBFE71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7460" w:type="dxa"/>
            <w:gridSpan w:val="3"/>
            <w:noWrap w:val="0"/>
            <w:vAlign w:val="center"/>
          </w:tcPr>
          <w:p w14:paraId="66A139A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2211-610723-04-01-822616</w:t>
            </w:r>
          </w:p>
        </w:tc>
      </w:tr>
      <w:tr w14:paraId="3CF78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46E074ED">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2958" w:type="dxa"/>
            <w:noWrap w:val="0"/>
            <w:vAlign w:val="center"/>
          </w:tcPr>
          <w:p w14:paraId="71808397">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雷和平</w:t>
            </w:r>
          </w:p>
        </w:tc>
        <w:tc>
          <w:tcPr>
            <w:tcW w:w="1594" w:type="dxa"/>
            <w:noWrap w:val="0"/>
            <w:vAlign w:val="center"/>
          </w:tcPr>
          <w:p w14:paraId="4C7397CC">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2908" w:type="dxa"/>
            <w:noWrap w:val="0"/>
            <w:vAlign w:val="center"/>
          </w:tcPr>
          <w:p w14:paraId="152F344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17319611999</w:t>
            </w:r>
          </w:p>
        </w:tc>
      </w:tr>
      <w:tr w14:paraId="3452B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56C753E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7460" w:type="dxa"/>
            <w:gridSpan w:val="3"/>
            <w:noWrap w:val="0"/>
            <w:vAlign w:val="center"/>
          </w:tcPr>
          <w:p w14:paraId="444FF8D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汉中市洋县戚氏</w:t>
            </w:r>
            <w:r>
              <w:rPr>
                <w:rFonts w:hint="eastAsia" w:cs="Times New Roman"/>
                <w:color w:val="auto"/>
                <w:sz w:val="24"/>
                <w:szCs w:val="24"/>
                <w:highlight w:val="none"/>
                <w:lang w:val="en-US" w:eastAsia="zh-CN"/>
              </w:rPr>
              <w:t>街道办</w:t>
            </w:r>
            <w:r>
              <w:rPr>
                <w:rFonts w:hint="eastAsia" w:ascii="Times New Roman" w:hAnsi="Times New Roman" w:eastAsia="宋体" w:cs="Times New Roman"/>
                <w:color w:val="auto"/>
                <w:sz w:val="24"/>
                <w:szCs w:val="24"/>
                <w:highlight w:val="none"/>
                <w:lang w:val="en-US" w:eastAsia="zh-CN"/>
              </w:rPr>
              <w:t>全丰村</w:t>
            </w:r>
          </w:p>
        </w:tc>
      </w:tr>
      <w:tr w14:paraId="1B47EC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0EE7C3AF">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地理坐标</w:t>
            </w:r>
          </w:p>
        </w:tc>
        <w:tc>
          <w:tcPr>
            <w:tcW w:w="7460" w:type="dxa"/>
            <w:gridSpan w:val="3"/>
            <w:noWrap w:val="0"/>
            <w:vAlign w:val="center"/>
          </w:tcPr>
          <w:p w14:paraId="3CB93D6A">
            <w:pPr>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u w:val="none"/>
                <w:lang w:val="en-US" w:eastAsia="zh-CN"/>
              </w:rPr>
              <w:t>110</w:t>
            </w:r>
            <w:r>
              <w:rPr>
                <w:rFonts w:hint="default" w:ascii="Times New Roman" w:hAnsi="Times New Roman" w:eastAsia="宋体" w:cs="Times New Roman"/>
                <w:color w:val="auto"/>
                <w:sz w:val="24"/>
                <w:szCs w:val="24"/>
                <w:highlight w:val="none"/>
                <w:u w:val="none"/>
              </w:rPr>
              <w:t>度</w:t>
            </w:r>
            <w:r>
              <w:rPr>
                <w:rFonts w:hint="default" w:ascii="Times New Roman" w:hAnsi="Times New Roman" w:eastAsia="宋体" w:cs="Times New Roman"/>
                <w:color w:val="auto"/>
                <w:sz w:val="24"/>
                <w:szCs w:val="24"/>
                <w:highlight w:val="none"/>
                <w:u w:val="none"/>
                <w:lang w:val="en-US" w:eastAsia="zh-CN"/>
              </w:rPr>
              <w:t>9</w:t>
            </w:r>
            <w:r>
              <w:rPr>
                <w:rFonts w:hint="default" w:ascii="Times New Roman" w:hAnsi="Times New Roman" w:eastAsia="宋体" w:cs="Times New Roman"/>
                <w:color w:val="auto"/>
                <w:sz w:val="24"/>
                <w:szCs w:val="24"/>
                <w:highlight w:val="none"/>
                <w:u w:val="none"/>
              </w:rPr>
              <w:t>分</w:t>
            </w:r>
            <w:r>
              <w:rPr>
                <w:rFonts w:hint="default" w:ascii="Times New Roman" w:hAnsi="Times New Roman" w:eastAsia="宋体" w:cs="Times New Roman"/>
                <w:color w:val="auto"/>
                <w:sz w:val="24"/>
                <w:szCs w:val="24"/>
                <w:highlight w:val="none"/>
                <w:u w:val="none"/>
                <w:lang w:val="en-US" w:eastAsia="zh-CN"/>
              </w:rPr>
              <w:t>1.329</w:t>
            </w:r>
            <w:r>
              <w:rPr>
                <w:rFonts w:hint="default" w:ascii="Times New Roman" w:hAnsi="Times New Roman" w:eastAsia="宋体" w:cs="Times New Roman"/>
                <w:color w:val="auto"/>
                <w:sz w:val="24"/>
                <w:szCs w:val="24"/>
                <w:highlight w:val="none"/>
                <w:u w:val="none"/>
              </w:rPr>
              <w:t>秒，</w:t>
            </w:r>
            <w:r>
              <w:rPr>
                <w:rFonts w:hint="default" w:ascii="Times New Roman" w:hAnsi="Times New Roman" w:eastAsia="宋体" w:cs="Times New Roman"/>
                <w:color w:val="auto"/>
                <w:sz w:val="24"/>
                <w:szCs w:val="24"/>
                <w:highlight w:val="none"/>
                <w:u w:val="none"/>
                <w:lang w:val="en-US" w:eastAsia="zh-CN"/>
              </w:rPr>
              <w:t>38</w:t>
            </w:r>
            <w:r>
              <w:rPr>
                <w:rFonts w:hint="default" w:ascii="Times New Roman" w:hAnsi="Times New Roman" w:eastAsia="宋体" w:cs="Times New Roman"/>
                <w:color w:val="auto"/>
                <w:sz w:val="24"/>
                <w:szCs w:val="24"/>
                <w:highlight w:val="none"/>
                <w:u w:val="none"/>
              </w:rPr>
              <w:t>度</w:t>
            </w:r>
            <w:r>
              <w:rPr>
                <w:rFonts w:hint="default" w:ascii="Times New Roman" w:hAnsi="Times New Roman" w:eastAsia="宋体" w:cs="Times New Roman"/>
                <w:color w:val="auto"/>
                <w:sz w:val="24"/>
                <w:szCs w:val="24"/>
                <w:highlight w:val="none"/>
                <w:u w:val="none"/>
                <w:lang w:val="en-US" w:eastAsia="zh-CN"/>
              </w:rPr>
              <w:t>47</w:t>
            </w:r>
            <w:r>
              <w:rPr>
                <w:rFonts w:hint="default" w:ascii="Times New Roman" w:hAnsi="Times New Roman" w:eastAsia="宋体" w:cs="Times New Roman"/>
                <w:color w:val="auto"/>
                <w:sz w:val="24"/>
                <w:szCs w:val="24"/>
                <w:highlight w:val="none"/>
                <w:u w:val="none"/>
              </w:rPr>
              <w:t>分</w:t>
            </w:r>
            <w:r>
              <w:rPr>
                <w:rFonts w:hint="default" w:ascii="Times New Roman" w:hAnsi="Times New Roman" w:eastAsia="宋体" w:cs="Times New Roman"/>
                <w:color w:val="auto"/>
                <w:sz w:val="24"/>
                <w:szCs w:val="24"/>
                <w:highlight w:val="none"/>
                <w:u w:val="none"/>
                <w:lang w:val="en-US" w:eastAsia="zh-CN"/>
              </w:rPr>
              <w:t>32.509</w:t>
            </w:r>
            <w:r>
              <w:rPr>
                <w:rFonts w:hint="default" w:ascii="Times New Roman" w:hAnsi="Times New Roman" w:eastAsia="宋体" w:cs="Times New Roman"/>
                <w:color w:val="auto"/>
                <w:sz w:val="24"/>
                <w:szCs w:val="24"/>
                <w:highlight w:val="none"/>
                <w:u w:val="none"/>
              </w:rPr>
              <w:t>秒</w:t>
            </w:r>
          </w:p>
        </w:tc>
      </w:tr>
      <w:tr w14:paraId="42FBF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410" w:type="dxa"/>
            <w:noWrap w:val="0"/>
            <w:tcMar>
              <w:top w:w="16" w:type="dxa"/>
              <w:left w:w="16" w:type="dxa"/>
              <w:right w:w="16" w:type="dxa"/>
            </w:tcMar>
            <w:vAlign w:val="center"/>
          </w:tcPr>
          <w:p w14:paraId="0E446D47">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国民经济</w:t>
            </w:r>
          </w:p>
          <w:p w14:paraId="6CCF4FA5">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2958" w:type="dxa"/>
            <w:noWrap w:val="0"/>
            <w:vAlign w:val="center"/>
          </w:tcPr>
          <w:p w14:paraId="165B87DE">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C4220非金属废料和碎屑加工处理</w:t>
            </w:r>
            <w:r>
              <w:rPr>
                <w:rFonts w:hint="eastAsia" w:cs="Times New Roman"/>
                <w:color w:val="auto"/>
                <w:sz w:val="24"/>
                <w:szCs w:val="24"/>
                <w:highlight w:val="none"/>
                <w:lang w:val="en-US" w:eastAsia="zh-CN"/>
              </w:rPr>
              <w:t>；D4520生物质燃气生产和供应业；D2542生物质致密成型燃料加工</w:t>
            </w:r>
          </w:p>
        </w:tc>
        <w:tc>
          <w:tcPr>
            <w:tcW w:w="1594" w:type="dxa"/>
            <w:noWrap w:val="0"/>
            <w:vAlign w:val="center"/>
          </w:tcPr>
          <w:p w14:paraId="2E1CC41C">
            <w:pPr>
              <w:adjustRightInd w:val="0"/>
              <w:snapToGrid w:val="0"/>
              <w:jc w:val="center"/>
              <w:rPr>
                <w:rFonts w:hint="default" w:ascii="Times New Roman" w:hAnsi="Times New Roman" w:eastAsia="宋体" w:cs="Times New Roman"/>
                <w:color w:val="auto"/>
                <w:sz w:val="24"/>
                <w:szCs w:val="24"/>
                <w:highlight w:val="none"/>
              </w:rPr>
            </w:pPr>
            <w:bookmarkStart w:id="1" w:name="_Hlk49843745"/>
            <w:r>
              <w:rPr>
                <w:rFonts w:hint="default" w:ascii="Times New Roman" w:hAnsi="Times New Roman" w:eastAsia="宋体" w:cs="Times New Roman"/>
                <w:color w:val="auto"/>
                <w:sz w:val="24"/>
                <w:szCs w:val="24"/>
                <w:highlight w:val="none"/>
              </w:rPr>
              <w:t>建设项目</w:t>
            </w:r>
          </w:p>
          <w:p w14:paraId="43EA4D0C">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bookmarkEnd w:id="1"/>
          </w:p>
        </w:tc>
        <w:tc>
          <w:tcPr>
            <w:tcW w:w="2908" w:type="dxa"/>
            <w:noWrap w:val="0"/>
            <w:vAlign w:val="center"/>
          </w:tcPr>
          <w:p w14:paraId="0A16E59E">
            <w:pPr>
              <w:keepNext w:val="0"/>
              <w:keepLines w:val="0"/>
              <w:widowControl/>
              <w:suppressLineNumbers w:val="0"/>
              <w:jc w:val="left"/>
              <w:rPr>
                <w:rFonts w:hint="default" w:ascii="Times New Roman" w:hAnsi="Times New Roman" w:eastAsia="宋体" w:cs="Times New Roman"/>
                <w:color w:val="auto"/>
                <w:sz w:val="24"/>
                <w:szCs w:val="24"/>
                <w:highlight w:val="none"/>
                <w:lang w:val="en-US"/>
              </w:rPr>
            </w:pPr>
            <w:r>
              <w:rPr>
                <w:rFonts w:hint="eastAsia" w:ascii="Times New Roman" w:hAnsi="Times New Roman" w:eastAsia="宋体" w:cs="Times New Roman"/>
                <w:color w:val="auto"/>
                <w:sz w:val="24"/>
                <w:szCs w:val="24"/>
                <w:highlight w:val="none"/>
                <w:lang w:val="en-US" w:eastAsia="zh-CN"/>
              </w:rPr>
              <w:t>三十九、废弃资源综合利用业42</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非金属废料和碎屑加工处理422</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四十二、生物质燃气生产和供应业</w:t>
            </w:r>
            <w:r>
              <w:rPr>
                <w:rFonts w:hint="eastAsia" w:cs="Times New Roman"/>
                <w:color w:val="auto"/>
                <w:sz w:val="24"/>
                <w:szCs w:val="24"/>
                <w:highlight w:val="none"/>
                <w:lang w:val="en-US" w:eastAsia="zh-CN"/>
              </w:rPr>
              <w:t>45，</w:t>
            </w:r>
            <w:r>
              <w:rPr>
                <w:rFonts w:hint="eastAsia" w:ascii="Times New Roman" w:hAnsi="Times New Roman" w:eastAsia="宋体" w:cs="Times New Roman"/>
                <w:color w:val="auto"/>
                <w:sz w:val="24"/>
                <w:szCs w:val="24"/>
                <w:highlight w:val="none"/>
                <w:lang w:val="en-US" w:eastAsia="zh-CN"/>
              </w:rPr>
              <w:t>生物质燃气生产和供应业452（不含供应工程）；二十二、石油、煤炭及其他燃料加工业25，生物质燃料加工254</w:t>
            </w:r>
          </w:p>
        </w:tc>
      </w:tr>
      <w:tr w14:paraId="28818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410" w:type="dxa"/>
            <w:noWrap w:val="0"/>
            <w:tcMar>
              <w:top w:w="16" w:type="dxa"/>
              <w:left w:w="16" w:type="dxa"/>
              <w:right w:w="16" w:type="dxa"/>
            </w:tcMar>
            <w:vAlign w:val="center"/>
          </w:tcPr>
          <w:p w14:paraId="12AE3766">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建设性质</w:t>
            </w:r>
          </w:p>
        </w:tc>
        <w:tc>
          <w:tcPr>
            <w:tcW w:w="2958" w:type="dxa"/>
            <w:noWrap w:val="0"/>
            <w:vAlign w:val="center"/>
          </w:tcPr>
          <w:p w14:paraId="73F5E8E2">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新建（迁建）</w:t>
            </w:r>
          </w:p>
          <w:p w14:paraId="7E90D58C">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改建</w:t>
            </w:r>
          </w:p>
          <w:p w14:paraId="247DF8EC">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扩建</w:t>
            </w:r>
          </w:p>
          <w:p w14:paraId="264307E1">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技术改造</w:t>
            </w:r>
          </w:p>
        </w:tc>
        <w:tc>
          <w:tcPr>
            <w:tcW w:w="1594" w:type="dxa"/>
            <w:noWrap w:val="0"/>
            <w:vAlign w:val="center"/>
          </w:tcPr>
          <w:p w14:paraId="4F2EF954">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74C511A3">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申报情形</w:t>
            </w:r>
          </w:p>
        </w:tc>
        <w:tc>
          <w:tcPr>
            <w:tcW w:w="2908" w:type="dxa"/>
            <w:noWrap w:val="0"/>
            <w:vAlign w:val="center"/>
          </w:tcPr>
          <w:p w14:paraId="3C6B204B">
            <w:pPr>
              <w:jc w:val="left"/>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首次申报项目</w:t>
            </w:r>
          </w:p>
          <w:p w14:paraId="24BB0F7E">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不予批准后再次申报项目</w:t>
            </w:r>
          </w:p>
          <w:p w14:paraId="70D911AD">
            <w:pPr>
              <w:jc w:val="left"/>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超五年重新审核项目</w:t>
            </w:r>
          </w:p>
          <w:p w14:paraId="48D42121">
            <w:pPr>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重大变动重新报批项目</w:t>
            </w:r>
          </w:p>
        </w:tc>
      </w:tr>
      <w:tr w14:paraId="0E6B84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410" w:type="dxa"/>
            <w:noWrap w:val="0"/>
            <w:tcMar>
              <w:top w:w="16" w:type="dxa"/>
              <w:left w:w="16" w:type="dxa"/>
              <w:right w:w="16" w:type="dxa"/>
            </w:tcMar>
            <w:vAlign w:val="center"/>
          </w:tcPr>
          <w:p w14:paraId="2731DC79">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5E89A5AB">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备案）部门（选填）</w:t>
            </w:r>
          </w:p>
        </w:tc>
        <w:tc>
          <w:tcPr>
            <w:tcW w:w="2958" w:type="dxa"/>
            <w:noWrap w:val="0"/>
            <w:vAlign w:val="center"/>
          </w:tcPr>
          <w:p w14:paraId="14B2C7E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洋县</w:t>
            </w:r>
            <w:r>
              <w:rPr>
                <w:rFonts w:hint="eastAsia" w:ascii="Times New Roman" w:hAnsi="Times New Roman" w:eastAsia="宋体" w:cs="Times New Roman"/>
                <w:color w:val="auto"/>
                <w:sz w:val="24"/>
                <w:szCs w:val="24"/>
                <w:highlight w:val="none"/>
                <w:lang w:val="en-US" w:eastAsia="zh-CN"/>
              </w:rPr>
              <w:t>行政审批服务局</w:t>
            </w:r>
          </w:p>
        </w:tc>
        <w:tc>
          <w:tcPr>
            <w:tcW w:w="1594" w:type="dxa"/>
            <w:noWrap w:val="0"/>
            <w:vAlign w:val="center"/>
          </w:tcPr>
          <w:p w14:paraId="4D50262E">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5590F0FA">
            <w:pPr>
              <w:adjustRightInd w:val="0"/>
              <w:snapToGrid w:val="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备案）文号（选填）</w:t>
            </w:r>
          </w:p>
        </w:tc>
        <w:tc>
          <w:tcPr>
            <w:tcW w:w="2908" w:type="dxa"/>
            <w:noWrap w:val="0"/>
            <w:vAlign w:val="center"/>
          </w:tcPr>
          <w:p w14:paraId="46B5F38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1819A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3A785D80">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总投资（万元）</w:t>
            </w:r>
          </w:p>
        </w:tc>
        <w:tc>
          <w:tcPr>
            <w:tcW w:w="2958" w:type="dxa"/>
            <w:noWrap w:val="0"/>
            <w:vAlign w:val="center"/>
          </w:tcPr>
          <w:p w14:paraId="0616C37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4900</w:t>
            </w:r>
          </w:p>
        </w:tc>
        <w:tc>
          <w:tcPr>
            <w:tcW w:w="1594" w:type="dxa"/>
            <w:noWrap w:val="0"/>
            <w:tcMar>
              <w:top w:w="16" w:type="dxa"/>
              <w:left w:w="16" w:type="dxa"/>
              <w:right w:w="16" w:type="dxa"/>
            </w:tcMar>
            <w:vAlign w:val="center"/>
          </w:tcPr>
          <w:p w14:paraId="5A364E13">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环保投资（万元）</w:t>
            </w:r>
          </w:p>
        </w:tc>
        <w:tc>
          <w:tcPr>
            <w:tcW w:w="2908" w:type="dxa"/>
            <w:noWrap w:val="0"/>
            <w:vAlign w:val="center"/>
          </w:tcPr>
          <w:p w14:paraId="7BDB6CC5">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103.5</w:t>
            </w:r>
          </w:p>
        </w:tc>
      </w:tr>
      <w:tr w14:paraId="66475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56E07EEE">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p>
        </w:tc>
        <w:tc>
          <w:tcPr>
            <w:tcW w:w="2958" w:type="dxa"/>
            <w:noWrap w:val="0"/>
            <w:vAlign w:val="center"/>
          </w:tcPr>
          <w:p w14:paraId="56AA4F26">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2.11</w:t>
            </w:r>
          </w:p>
        </w:tc>
        <w:tc>
          <w:tcPr>
            <w:tcW w:w="1594" w:type="dxa"/>
            <w:noWrap w:val="0"/>
            <w:tcMar>
              <w:top w:w="16" w:type="dxa"/>
              <w:left w:w="16" w:type="dxa"/>
              <w:right w:w="16" w:type="dxa"/>
            </w:tcMar>
            <w:vAlign w:val="center"/>
          </w:tcPr>
          <w:p w14:paraId="4334825A">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2908" w:type="dxa"/>
            <w:noWrap w:val="0"/>
            <w:vAlign w:val="center"/>
          </w:tcPr>
          <w:p w14:paraId="46ADA953">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6个月</w:t>
            </w:r>
          </w:p>
        </w:tc>
      </w:tr>
      <w:tr w14:paraId="36E4F2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410" w:type="dxa"/>
            <w:noWrap w:val="0"/>
            <w:tcMar>
              <w:top w:w="16" w:type="dxa"/>
              <w:left w:w="16" w:type="dxa"/>
              <w:right w:w="16" w:type="dxa"/>
            </w:tcMar>
            <w:vAlign w:val="center"/>
          </w:tcPr>
          <w:p w14:paraId="0D8EFAE9">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是否开工建设</w:t>
            </w:r>
          </w:p>
        </w:tc>
        <w:tc>
          <w:tcPr>
            <w:tcW w:w="2958" w:type="dxa"/>
            <w:noWrap w:val="0"/>
            <w:vAlign w:val="center"/>
          </w:tcPr>
          <w:p w14:paraId="3D52B5AF">
            <w:pPr>
              <w:adjustRightInd w:val="0"/>
              <w:snapToGrid w:val="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否</w:t>
            </w:r>
          </w:p>
          <w:p w14:paraId="3D12068A">
            <w:pPr>
              <w:adjustRightInd w:val="0"/>
              <w:snapToGrid w:val="0"/>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是：</w:t>
            </w:r>
            <w:r>
              <w:rPr>
                <w:rFonts w:hint="eastAsia" w:cs="Times New Roman"/>
                <w:color w:val="auto"/>
                <w:sz w:val="24"/>
                <w:szCs w:val="24"/>
                <w:highlight w:val="none"/>
                <w:u w:val="single"/>
                <w:lang w:val="en-US" w:eastAsia="zh-CN"/>
              </w:rPr>
              <w:t>项目场地内已建设一座钢架结构厂房。</w:t>
            </w:r>
          </w:p>
        </w:tc>
        <w:tc>
          <w:tcPr>
            <w:tcW w:w="1594" w:type="dxa"/>
            <w:noWrap w:val="0"/>
            <w:tcMar>
              <w:top w:w="16" w:type="dxa"/>
              <w:left w:w="16" w:type="dxa"/>
              <w:right w:w="16" w:type="dxa"/>
            </w:tcMar>
            <w:vAlign w:val="center"/>
          </w:tcPr>
          <w:p w14:paraId="63F8CB1A">
            <w:pPr>
              <w:adjustRightInd w:val="0"/>
              <w:snapToGrid w:val="0"/>
              <w:jc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用地（用海）</w:t>
            </w:r>
          </w:p>
          <w:p w14:paraId="7AA26025">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面积（m</w:t>
            </w:r>
            <w:r>
              <w:rPr>
                <w:rFonts w:hint="default" w:ascii="Times New Roman" w:hAnsi="Times New Roman" w:eastAsia="宋体" w:cs="Times New Roman"/>
                <w:color w:val="auto"/>
                <w:spacing w:val="-6"/>
                <w:sz w:val="24"/>
                <w:szCs w:val="24"/>
                <w:highlight w:val="none"/>
                <w:vertAlign w:val="superscript"/>
              </w:rPr>
              <w:t>2</w:t>
            </w:r>
            <w:r>
              <w:rPr>
                <w:rFonts w:hint="default" w:ascii="Times New Roman" w:hAnsi="Times New Roman" w:eastAsia="宋体" w:cs="Times New Roman"/>
                <w:color w:val="auto"/>
                <w:spacing w:val="-6"/>
                <w:sz w:val="24"/>
                <w:szCs w:val="24"/>
                <w:highlight w:val="none"/>
              </w:rPr>
              <w:t>）</w:t>
            </w:r>
          </w:p>
        </w:tc>
        <w:tc>
          <w:tcPr>
            <w:tcW w:w="2908" w:type="dxa"/>
            <w:noWrap w:val="0"/>
            <w:vAlign w:val="center"/>
          </w:tcPr>
          <w:p w14:paraId="536500D9">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23091.61</w:t>
            </w:r>
          </w:p>
        </w:tc>
      </w:tr>
      <w:tr w14:paraId="0BE103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10" w:type="dxa"/>
            <w:noWrap w:val="0"/>
            <w:vAlign w:val="center"/>
          </w:tcPr>
          <w:p w14:paraId="18FA9941">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专项评价设置情况</w:t>
            </w:r>
          </w:p>
        </w:tc>
        <w:tc>
          <w:tcPr>
            <w:tcW w:w="7460" w:type="dxa"/>
            <w:gridSpan w:val="3"/>
            <w:noWrap w:val="0"/>
            <w:vAlign w:val="center"/>
          </w:tcPr>
          <w:p w14:paraId="7818FD75">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hint="eastAsia"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1、专项评价设置情况判定</w:t>
            </w:r>
          </w:p>
          <w:p w14:paraId="1553323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根据建设项目环境影响报告表编制技术指南（污染影响类）（试行）专项评价设置原则表，本项目专项评价设置原则见表1-1。</w:t>
            </w:r>
          </w:p>
          <w:p w14:paraId="35EEA7F3">
            <w:pPr>
              <w:pStyle w:val="58"/>
              <w:bidi w:val="0"/>
              <w:rPr>
                <w:rFonts w:hint="default"/>
                <w:color w:val="auto"/>
                <w:highlight w:val="none"/>
                <w:lang w:val="en-US" w:eastAsia="zh-CN"/>
              </w:rPr>
            </w:pPr>
            <w:r>
              <w:rPr>
                <w:rFonts w:hint="eastAsia"/>
                <w:color w:val="auto"/>
                <w:highlight w:val="none"/>
                <w:lang w:val="en-US" w:eastAsia="zh-CN"/>
              </w:rPr>
              <w:t>表1-1    本项目专项评价设置情况判定</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4265"/>
              <w:gridCol w:w="1384"/>
              <w:gridCol w:w="688"/>
            </w:tblGrid>
            <w:tr w14:paraId="339B1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04171838">
                  <w:pPr>
                    <w:pStyle w:val="49"/>
                    <w:bidi w:val="0"/>
                    <w:rPr>
                      <w:rFonts w:hint="default"/>
                      <w:b/>
                      <w:bCs/>
                      <w:color w:val="auto"/>
                      <w:highlight w:val="none"/>
                      <w:lang w:val="en-US" w:eastAsia="zh-CN"/>
                    </w:rPr>
                  </w:pPr>
                  <w:r>
                    <w:rPr>
                      <w:rFonts w:hint="eastAsia"/>
                      <w:b/>
                      <w:bCs/>
                      <w:color w:val="auto"/>
                      <w:highlight w:val="none"/>
                      <w:lang w:val="en-US" w:eastAsia="zh-CN"/>
                    </w:rPr>
                    <w:t>专项评价类别</w:t>
                  </w:r>
                </w:p>
              </w:tc>
              <w:tc>
                <w:tcPr>
                  <w:tcW w:w="2949" w:type="pct"/>
                  <w:tcBorders>
                    <w:tl2br w:val="nil"/>
                    <w:tr2bl w:val="nil"/>
                  </w:tcBorders>
                  <w:noWrap w:val="0"/>
                  <w:vAlign w:val="center"/>
                </w:tcPr>
                <w:p w14:paraId="54C3506B">
                  <w:pPr>
                    <w:pStyle w:val="49"/>
                    <w:bidi w:val="0"/>
                    <w:rPr>
                      <w:rFonts w:hint="default"/>
                      <w:b/>
                      <w:bCs/>
                      <w:color w:val="auto"/>
                      <w:highlight w:val="none"/>
                      <w:lang w:val="en-US" w:eastAsia="zh-CN"/>
                    </w:rPr>
                  </w:pPr>
                  <w:r>
                    <w:rPr>
                      <w:rFonts w:hint="eastAsia"/>
                      <w:b/>
                      <w:bCs/>
                      <w:color w:val="auto"/>
                      <w:highlight w:val="none"/>
                      <w:lang w:val="en-US" w:eastAsia="zh-CN"/>
                    </w:rPr>
                    <w:t>设置原则</w:t>
                  </w:r>
                </w:p>
              </w:tc>
              <w:tc>
                <w:tcPr>
                  <w:tcW w:w="957" w:type="pct"/>
                  <w:tcBorders>
                    <w:tl2br w:val="nil"/>
                    <w:tr2bl w:val="nil"/>
                  </w:tcBorders>
                  <w:noWrap w:val="0"/>
                  <w:vAlign w:val="center"/>
                </w:tcPr>
                <w:p w14:paraId="31B971F9">
                  <w:pPr>
                    <w:pStyle w:val="49"/>
                    <w:bidi w:val="0"/>
                    <w:rPr>
                      <w:rFonts w:hint="default"/>
                      <w:b/>
                      <w:bCs/>
                      <w:color w:val="auto"/>
                      <w:highlight w:val="none"/>
                      <w:lang w:val="en-US" w:eastAsia="zh-CN"/>
                    </w:rPr>
                  </w:pPr>
                  <w:r>
                    <w:rPr>
                      <w:rFonts w:hint="eastAsia"/>
                      <w:b/>
                      <w:bCs/>
                      <w:color w:val="auto"/>
                      <w:highlight w:val="none"/>
                      <w:lang w:val="en-US" w:eastAsia="zh-CN"/>
                    </w:rPr>
                    <w:t>专项评价设置情况判定</w:t>
                  </w:r>
                </w:p>
              </w:tc>
              <w:tc>
                <w:tcPr>
                  <w:tcW w:w="475" w:type="pct"/>
                  <w:tcBorders>
                    <w:tl2br w:val="nil"/>
                    <w:tr2bl w:val="nil"/>
                  </w:tcBorders>
                  <w:noWrap w:val="0"/>
                  <w:vAlign w:val="center"/>
                </w:tcPr>
                <w:p w14:paraId="24FC24C9">
                  <w:pPr>
                    <w:pStyle w:val="49"/>
                    <w:bidi w:val="0"/>
                    <w:rPr>
                      <w:rFonts w:hint="default"/>
                      <w:b/>
                      <w:bCs/>
                      <w:color w:val="auto"/>
                      <w:highlight w:val="none"/>
                      <w:lang w:val="en-US" w:eastAsia="zh-CN"/>
                    </w:rPr>
                  </w:pPr>
                  <w:r>
                    <w:rPr>
                      <w:rFonts w:hint="eastAsia"/>
                      <w:b/>
                      <w:bCs/>
                      <w:color w:val="auto"/>
                      <w:highlight w:val="none"/>
                      <w:lang w:val="en-US" w:eastAsia="zh-CN"/>
                    </w:rPr>
                    <w:t>设置情况</w:t>
                  </w:r>
                </w:p>
              </w:tc>
            </w:tr>
            <w:tr w14:paraId="6855C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2094287F">
                  <w:pPr>
                    <w:pStyle w:val="49"/>
                    <w:bidi w:val="0"/>
                    <w:rPr>
                      <w:rFonts w:hint="default"/>
                      <w:color w:val="auto"/>
                      <w:highlight w:val="none"/>
                      <w:lang w:val="en-US" w:eastAsia="zh-CN"/>
                    </w:rPr>
                  </w:pPr>
                  <w:r>
                    <w:rPr>
                      <w:rFonts w:hint="default"/>
                      <w:color w:val="auto"/>
                      <w:highlight w:val="none"/>
                      <w:lang w:val="en-US" w:eastAsia="zh-CN"/>
                    </w:rPr>
                    <w:t>大气</w:t>
                  </w:r>
                </w:p>
              </w:tc>
              <w:tc>
                <w:tcPr>
                  <w:tcW w:w="2949" w:type="pct"/>
                  <w:tcBorders>
                    <w:tl2br w:val="nil"/>
                    <w:tr2bl w:val="nil"/>
                  </w:tcBorders>
                  <w:noWrap w:val="0"/>
                  <w:vAlign w:val="center"/>
                </w:tcPr>
                <w:p w14:paraId="54F315F4">
                  <w:pPr>
                    <w:pStyle w:val="49"/>
                    <w:bidi w:val="0"/>
                    <w:rPr>
                      <w:rFonts w:hint="default"/>
                      <w:color w:val="auto"/>
                      <w:highlight w:val="none"/>
                      <w:lang w:val="en-US" w:eastAsia="zh-CN"/>
                    </w:rPr>
                  </w:pPr>
                  <w:r>
                    <w:rPr>
                      <w:rFonts w:hint="eastAsia"/>
                      <w:color w:val="auto"/>
                      <w:highlight w:val="none"/>
                      <w:lang w:val="en-US" w:eastAsia="zh-CN"/>
                    </w:rPr>
                    <w:t>排放废气含有毒有害污染物</w:t>
                  </w:r>
                  <w:r>
                    <w:rPr>
                      <w:rFonts w:hint="eastAsia"/>
                      <w:color w:val="auto"/>
                      <w:highlight w:val="none"/>
                      <w:vertAlign w:val="superscript"/>
                      <w:lang w:val="en-US" w:eastAsia="zh-CN"/>
                    </w:rPr>
                    <w:t>1</w:t>
                  </w:r>
                  <w:r>
                    <w:rPr>
                      <w:rFonts w:hint="eastAsia"/>
                      <w:color w:val="auto"/>
                      <w:highlight w:val="none"/>
                      <w:lang w:val="en-US" w:eastAsia="zh-CN"/>
                    </w:rPr>
                    <w:t>、二噁英、苯并[a]芘、氰化物、氯气且厂界外500米范围内有环境空气保护目标</w:t>
                  </w:r>
                  <w:r>
                    <w:rPr>
                      <w:rFonts w:hint="eastAsia"/>
                      <w:color w:val="auto"/>
                      <w:highlight w:val="none"/>
                      <w:vertAlign w:val="superscript"/>
                      <w:lang w:val="en-US" w:eastAsia="zh-CN"/>
                    </w:rPr>
                    <w:t>2</w:t>
                  </w:r>
                  <w:r>
                    <w:rPr>
                      <w:rFonts w:hint="eastAsia"/>
                      <w:color w:val="auto"/>
                      <w:highlight w:val="none"/>
                      <w:lang w:val="en-US" w:eastAsia="zh-CN"/>
                    </w:rPr>
                    <w:t>的建设项目</w:t>
                  </w:r>
                </w:p>
              </w:tc>
              <w:tc>
                <w:tcPr>
                  <w:tcW w:w="957" w:type="pct"/>
                  <w:tcBorders>
                    <w:tl2br w:val="nil"/>
                    <w:tr2bl w:val="nil"/>
                  </w:tcBorders>
                  <w:noWrap w:val="0"/>
                  <w:vAlign w:val="center"/>
                </w:tcPr>
                <w:p w14:paraId="5DD1B5CE">
                  <w:pPr>
                    <w:pStyle w:val="49"/>
                    <w:bidi w:val="0"/>
                    <w:rPr>
                      <w:rFonts w:hint="default"/>
                      <w:color w:val="auto"/>
                      <w:highlight w:val="none"/>
                      <w:lang w:val="en-US" w:eastAsia="zh-CN"/>
                    </w:rPr>
                  </w:pPr>
                  <w:r>
                    <w:rPr>
                      <w:rFonts w:hint="eastAsia"/>
                      <w:color w:val="auto"/>
                      <w:highlight w:val="none"/>
                      <w:lang w:val="en-US" w:eastAsia="zh-CN"/>
                    </w:rPr>
                    <w:t>不涉及</w:t>
                  </w:r>
                </w:p>
              </w:tc>
              <w:tc>
                <w:tcPr>
                  <w:tcW w:w="475" w:type="pct"/>
                  <w:tcBorders>
                    <w:tl2br w:val="nil"/>
                    <w:tr2bl w:val="nil"/>
                  </w:tcBorders>
                  <w:noWrap w:val="0"/>
                  <w:vAlign w:val="center"/>
                </w:tcPr>
                <w:p w14:paraId="172EA4F7">
                  <w:pPr>
                    <w:pStyle w:val="49"/>
                    <w:bidi w:val="0"/>
                    <w:rPr>
                      <w:rFonts w:hint="default"/>
                      <w:color w:val="auto"/>
                      <w:highlight w:val="none"/>
                      <w:lang w:val="en-US" w:eastAsia="zh-CN"/>
                    </w:rPr>
                  </w:pPr>
                  <w:r>
                    <w:rPr>
                      <w:rFonts w:hint="eastAsia"/>
                      <w:color w:val="auto"/>
                      <w:highlight w:val="none"/>
                      <w:lang w:val="en-US" w:eastAsia="zh-CN"/>
                    </w:rPr>
                    <w:t>无</w:t>
                  </w:r>
                </w:p>
              </w:tc>
            </w:tr>
            <w:tr w14:paraId="2FBA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44706BED">
                  <w:pPr>
                    <w:pStyle w:val="49"/>
                    <w:bidi w:val="0"/>
                    <w:rPr>
                      <w:rFonts w:hint="default"/>
                      <w:color w:val="auto"/>
                      <w:highlight w:val="none"/>
                      <w:lang w:val="en-US" w:eastAsia="zh-CN"/>
                    </w:rPr>
                  </w:pPr>
                  <w:r>
                    <w:rPr>
                      <w:rFonts w:hint="eastAsia"/>
                      <w:color w:val="auto"/>
                      <w:highlight w:val="none"/>
                      <w:lang w:val="en-US" w:eastAsia="zh-CN"/>
                    </w:rPr>
                    <w:t>地表水</w:t>
                  </w:r>
                </w:p>
              </w:tc>
              <w:tc>
                <w:tcPr>
                  <w:tcW w:w="2949" w:type="pct"/>
                  <w:tcBorders>
                    <w:tl2br w:val="nil"/>
                    <w:tr2bl w:val="nil"/>
                  </w:tcBorders>
                  <w:noWrap w:val="0"/>
                  <w:vAlign w:val="center"/>
                </w:tcPr>
                <w:p w14:paraId="69FCD876">
                  <w:pPr>
                    <w:pStyle w:val="49"/>
                    <w:bidi w:val="0"/>
                    <w:rPr>
                      <w:rFonts w:hint="eastAsia"/>
                      <w:color w:val="auto"/>
                      <w:highlight w:val="none"/>
                      <w:lang w:val="en-US" w:eastAsia="zh-CN"/>
                    </w:rPr>
                  </w:pPr>
                  <w:r>
                    <w:rPr>
                      <w:rFonts w:hint="eastAsia"/>
                      <w:color w:val="auto"/>
                      <w:highlight w:val="none"/>
                      <w:lang w:val="en-US" w:eastAsia="zh-CN"/>
                    </w:rPr>
                    <w:t>新增工业废水直排建设项目（槽罐车外送污水处理厂的除外）；新增废水直排的污水集中处理厂</w:t>
                  </w:r>
                </w:p>
              </w:tc>
              <w:tc>
                <w:tcPr>
                  <w:tcW w:w="957" w:type="pct"/>
                  <w:tcBorders>
                    <w:tl2br w:val="nil"/>
                    <w:tr2bl w:val="nil"/>
                  </w:tcBorders>
                  <w:noWrap w:val="0"/>
                  <w:vAlign w:val="center"/>
                </w:tcPr>
                <w:p w14:paraId="5BAAD930">
                  <w:pPr>
                    <w:pStyle w:val="49"/>
                    <w:bidi w:val="0"/>
                    <w:rPr>
                      <w:rFonts w:hint="default"/>
                      <w:color w:val="auto"/>
                      <w:highlight w:val="none"/>
                      <w:lang w:val="en-US" w:eastAsia="zh-CN"/>
                    </w:rPr>
                  </w:pPr>
                  <w:r>
                    <w:rPr>
                      <w:rFonts w:hint="eastAsia"/>
                      <w:color w:val="auto"/>
                      <w:highlight w:val="none"/>
                      <w:lang w:val="en-US" w:eastAsia="zh-CN"/>
                    </w:rPr>
                    <w:t>不涉及</w:t>
                  </w:r>
                </w:p>
              </w:tc>
              <w:tc>
                <w:tcPr>
                  <w:tcW w:w="475" w:type="pct"/>
                  <w:tcBorders>
                    <w:tl2br w:val="nil"/>
                    <w:tr2bl w:val="nil"/>
                  </w:tcBorders>
                  <w:noWrap w:val="0"/>
                  <w:vAlign w:val="center"/>
                </w:tcPr>
                <w:p w14:paraId="66FB1716">
                  <w:pPr>
                    <w:pStyle w:val="49"/>
                    <w:bidi w:val="0"/>
                    <w:rPr>
                      <w:rFonts w:hint="default"/>
                      <w:color w:val="auto"/>
                      <w:highlight w:val="none"/>
                      <w:lang w:val="en-US" w:eastAsia="zh-CN"/>
                    </w:rPr>
                  </w:pPr>
                  <w:r>
                    <w:rPr>
                      <w:rFonts w:hint="eastAsia"/>
                      <w:color w:val="auto"/>
                      <w:highlight w:val="none"/>
                      <w:lang w:val="en-US" w:eastAsia="zh-CN"/>
                    </w:rPr>
                    <w:t>无</w:t>
                  </w:r>
                </w:p>
              </w:tc>
            </w:tr>
            <w:tr w14:paraId="53590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46CA191C">
                  <w:pPr>
                    <w:pStyle w:val="49"/>
                    <w:bidi w:val="0"/>
                    <w:rPr>
                      <w:rFonts w:hint="default"/>
                      <w:color w:val="auto"/>
                      <w:highlight w:val="none"/>
                      <w:lang w:val="en-US" w:eastAsia="zh-CN"/>
                    </w:rPr>
                  </w:pPr>
                  <w:r>
                    <w:rPr>
                      <w:rFonts w:hint="eastAsia"/>
                      <w:color w:val="auto"/>
                      <w:highlight w:val="none"/>
                      <w:lang w:val="en-US" w:eastAsia="zh-CN"/>
                    </w:rPr>
                    <w:t>环境风险</w:t>
                  </w:r>
                </w:p>
              </w:tc>
              <w:tc>
                <w:tcPr>
                  <w:tcW w:w="2949" w:type="pct"/>
                  <w:tcBorders>
                    <w:tl2br w:val="nil"/>
                    <w:tr2bl w:val="nil"/>
                  </w:tcBorders>
                  <w:noWrap w:val="0"/>
                  <w:vAlign w:val="center"/>
                </w:tcPr>
                <w:p w14:paraId="4F475DF4">
                  <w:pPr>
                    <w:pStyle w:val="49"/>
                    <w:bidi w:val="0"/>
                    <w:rPr>
                      <w:rFonts w:hint="eastAsia"/>
                      <w:color w:val="auto"/>
                      <w:highlight w:val="none"/>
                      <w:lang w:val="en-US" w:eastAsia="zh-CN"/>
                    </w:rPr>
                  </w:pPr>
                  <w:r>
                    <w:rPr>
                      <w:rFonts w:hint="eastAsia"/>
                      <w:color w:val="auto"/>
                      <w:highlight w:val="none"/>
                      <w:lang w:val="en-US" w:eastAsia="zh-CN"/>
                    </w:rPr>
                    <w:t>有毒有害和易燃易爆危险物质存储量超过临界量的建设项目</w:t>
                  </w:r>
                </w:p>
              </w:tc>
              <w:tc>
                <w:tcPr>
                  <w:tcW w:w="957" w:type="pct"/>
                  <w:tcBorders>
                    <w:tl2br w:val="nil"/>
                    <w:tr2bl w:val="nil"/>
                  </w:tcBorders>
                  <w:noWrap w:val="0"/>
                  <w:vAlign w:val="center"/>
                </w:tcPr>
                <w:p w14:paraId="34BE036C">
                  <w:pPr>
                    <w:pStyle w:val="49"/>
                    <w:bidi w:val="0"/>
                    <w:rPr>
                      <w:rFonts w:hint="default"/>
                      <w:color w:val="auto"/>
                      <w:highlight w:val="none"/>
                      <w:lang w:val="en-US" w:eastAsia="zh-CN"/>
                    </w:rPr>
                  </w:pPr>
                  <w:r>
                    <w:rPr>
                      <w:rFonts w:hint="eastAsia"/>
                      <w:color w:val="auto"/>
                      <w:highlight w:val="none"/>
                      <w:lang w:val="en-US" w:eastAsia="zh-CN"/>
                    </w:rPr>
                    <w:t>不涉及</w:t>
                  </w:r>
                </w:p>
              </w:tc>
              <w:tc>
                <w:tcPr>
                  <w:tcW w:w="475" w:type="pct"/>
                  <w:tcBorders>
                    <w:tl2br w:val="nil"/>
                    <w:tr2bl w:val="nil"/>
                  </w:tcBorders>
                  <w:noWrap w:val="0"/>
                  <w:vAlign w:val="center"/>
                </w:tcPr>
                <w:p w14:paraId="249208BC">
                  <w:pPr>
                    <w:pStyle w:val="49"/>
                    <w:bidi w:val="0"/>
                    <w:rPr>
                      <w:rFonts w:hint="default"/>
                      <w:color w:val="auto"/>
                      <w:highlight w:val="none"/>
                      <w:lang w:val="en-US" w:eastAsia="zh-CN"/>
                    </w:rPr>
                  </w:pPr>
                  <w:r>
                    <w:rPr>
                      <w:rFonts w:hint="eastAsia"/>
                      <w:color w:val="auto"/>
                      <w:highlight w:val="none"/>
                      <w:lang w:val="en-US" w:eastAsia="zh-CN"/>
                    </w:rPr>
                    <w:t>无</w:t>
                  </w:r>
                </w:p>
              </w:tc>
            </w:tr>
            <w:tr w14:paraId="390F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522625D4">
                  <w:pPr>
                    <w:pStyle w:val="49"/>
                    <w:bidi w:val="0"/>
                    <w:rPr>
                      <w:rFonts w:hint="default"/>
                      <w:color w:val="auto"/>
                      <w:highlight w:val="none"/>
                      <w:lang w:val="en-US" w:eastAsia="zh-CN"/>
                    </w:rPr>
                  </w:pPr>
                  <w:r>
                    <w:rPr>
                      <w:rFonts w:hint="eastAsia"/>
                      <w:color w:val="auto"/>
                      <w:highlight w:val="none"/>
                      <w:lang w:val="en-US" w:eastAsia="zh-CN"/>
                    </w:rPr>
                    <w:t>生态</w:t>
                  </w:r>
                </w:p>
              </w:tc>
              <w:tc>
                <w:tcPr>
                  <w:tcW w:w="2949" w:type="pct"/>
                  <w:tcBorders>
                    <w:tl2br w:val="nil"/>
                    <w:tr2bl w:val="nil"/>
                  </w:tcBorders>
                  <w:noWrap w:val="0"/>
                  <w:vAlign w:val="center"/>
                </w:tcPr>
                <w:p w14:paraId="6F26C9CF">
                  <w:pPr>
                    <w:pStyle w:val="49"/>
                    <w:bidi w:val="0"/>
                    <w:rPr>
                      <w:rFonts w:hint="eastAsia"/>
                      <w:color w:val="auto"/>
                      <w:highlight w:val="none"/>
                      <w:lang w:val="en-US" w:eastAsia="zh-CN"/>
                    </w:rPr>
                  </w:pPr>
                  <w:r>
                    <w:rPr>
                      <w:rFonts w:hint="eastAsia"/>
                      <w:color w:val="auto"/>
                      <w:highlight w:val="none"/>
                      <w:lang w:val="en-US" w:eastAsia="zh-CN"/>
                    </w:rPr>
                    <w:t>取水口下游500米范围内有重要水生生物的自然产卵场、索饵场、越冬场和洄游通道的新增河道取水的污染类建设项目</w:t>
                  </w:r>
                </w:p>
              </w:tc>
              <w:tc>
                <w:tcPr>
                  <w:tcW w:w="957" w:type="pct"/>
                  <w:tcBorders>
                    <w:tl2br w:val="nil"/>
                    <w:tr2bl w:val="nil"/>
                  </w:tcBorders>
                  <w:noWrap w:val="0"/>
                  <w:vAlign w:val="center"/>
                </w:tcPr>
                <w:p w14:paraId="018599AB">
                  <w:pPr>
                    <w:pStyle w:val="49"/>
                    <w:bidi w:val="0"/>
                    <w:rPr>
                      <w:rFonts w:hint="default"/>
                      <w:color w:val="auto"/>
                      <w:highlight w:val="none"/>
                      <w:lang w:val="en-US" w:eastAsia="zh-CN"/>
                    </w:rPr>
                  </w:pPr>
                  <w:r>
                    <w:rPr>
                      <w:rFonts w:hint="eastAsia"/>
                      <w:color w:val="auto"/>
                      <w:highlight w:val="none"/>
                      <w:lang w:val="en-US" w:eastAsia="zh-CN"/>
                    </w:rPr>
                    <w:t>不涉及</w:t>
                  </w:r>
                </w:p>
              </w:tc>
              <w:tc>
                <w:tcPr>
                  <w:tcW w:w="475" w:type="pct"/>
                  <w:tcBorders>
                    <w:tl2br w:val="nil"/>
                    <w:tr2bl w:val="nil"/>
                  </w:tcBorders>
                  <w:noWrap w:val="0"/>
                  <w:vAlign w:val="center"/>
                </w:tcPr>
                <w:p w14:paraId="6D17C546">
                  <w:pPr>
                    <w:pStyle w:val="49"/>
                    <w:bidi w:val="0"/>
                    <w:rPr>
                      <w:rFonts w:hint="default"/>
                      <w:color w:val="auto"/>
                      <w:highlight w:val="none"/>
                      <w:lang w:val="en-US" w:eastAsia="zh-CN"/>
                    </w:rPr>
                  </w:pPr>
                  <w:r>
                    <w:rPr>
                      <w:rFonts w:hint="eastAsia"/>
                      <w:color w:val="auto"/>
                      <w:highlight w:val="none"/>
                      <w:lang w:val="en-US" w:eastAsia="zh-CN"/>
                    </w:rPr>
                    <w:t>无</w:t>
                  </w:r>
                </w:p>
              </w:tc>
            </w:tr>
            <w:tr w14:paraId="11DE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7" w:type="pct"/>
                  <w:tcBorders>
                    <w:tl2br w:val="nil"/>
                    <w:tr2bl w:val="nil"/>
                  </w:tcBorders>
                  <w:noWrap w:val="0"/>
                  <w:vAlign w:val="center"/>
                </w:tcPr>
                <w:p w14:paraId="73482F74">
                  <w:pPr>
                    <w:pStyle w:val="49"/>
                    <w:bidi w:val="0"/>
                    <w:rPr>
                      <w:rFonts w:hint="default"/>
                      <w:color w:val="auto"/>
                      <w:highlight w:val="none"/>
                      <w:lang w:val="en-US" w:eastAsia="zh-CN"/>
                    </w:rPr>
                  </w:pPr>
                  <w:r>
                    <w:rPr>
                      <w:rFonts w:hint="eastAsia"/>
                      <w:color w:val="auto"/>
                      <w:highlight w:val="none"/>
                      <w:lang w:val="en-US" w:eastAsia="zh-CN"/>
                    </w:rPr>
                    <w:t>海洋</w:t>
                  </w:r>
                </w:p>
              </w:tc>
              <w:tc>
                <w:tcPr>
                  <w:tcW w:w="2949" w:type="pct"/>
                  <w:tcBorders>
                    <w:tl2br w:val="nil"/>
                    <w:tr2bl w:val="nil"/>
                  </w:tcBorders>
                  <w:noWrap w:val="0"/>
                  <w:vAlign w:val="center"/>
                </w:tcPr>
                <w:p w14:paraId="15548CAF">
                  <w:pPr>
                    <w:pStyle w:val="49"/>
                    <w:bidi w:val="0"/>
                    <w:rPr>
                      <w:rFonts w:hint="eastAsia"/>
                      <w:color w:val="auto"/>
                      <w:highlight w:val="none"/>
                      <w:lang w:val="en-US" w:eastAsia="zh-CN"/>
                    </w:rPr>
                  </w:pPr>
                  <w:r>
                    <w:rPr>
                      <w:rFonts w:hint="eastAsia"/>
                      <w:color w:val="auto"/>
                      <w:highlight w:val="none"/>
                      <w:lang w:val="en-US" w:eastAsia="zh-CN"/>
                    </w:rPr>
                    <w:t>直接向海排放污染物的海洋工程建设项目</w:t>
                  </w:r>
                </w:p>
              </w:tc>
              <w:tc>
                <w:tcPr>
                  <w:tcW w:w="957" w:type="pct"/>
                  <w:tcBorders>
                    <w:tl2br w:val="nil"/>
                    <w:tr2bl w:val="nil"/>
                  </w:tcBorders>
                  <w:noWrap w:val="0"/>
                  <w:vAlign w:val="center"/>
                </w:tcPr>
                <w:p w14:paraId="3FE9B66E">
                  <w:pPr>
                    <w:pStyle w:val="49"/>
                    <w:bidi w:val="0"/>
                    <w:rPr>
                      <w:rFonts w:hint="default"/>
                      <w:color w:val="auto"/>
                      <w:highlight w:val="none"/>
                      <w:lang w:val="en-US" w:eastAsia="zh-CN"/>
                    </w:rPr>
                  </w:pPr>
                  <w:r>
                    <w:rPr>
                      <w:rFonts w:hint="eastAsia"/>
                      <w:color w:val="auto"/>
                      <w:highlight w:val="none"/>
                      <w:lang w:val="en-US" w:eastAsia="zh-CN"/>
                    </w:rPr>
                    <w:t>不涉及</w:t>
                  </w:r>
                </w:p>
              </w:tc>
              <w:tc>
                <w:tcPr>
                  <w:tcW w:w="475" w:type="pct"/>
                  <w:tcBorders>
                    <w:tl2br w:val="nil"/>
                    <w:tr2bl w:val="nil"/>
                  </w:tcBorders>
                  <w:noWrap w:val="0"/>
                  <w:vAlign w:val="center"/>
                </w:tcPr>
                <w:p w14:paraId="5509CD6B">
                  <w:pPr>
                    <w:pStyle w:val="49"/>
                    <w:bidi w:val="0"/>
                    <w:rPr>
                      <w:rFonts w:hint="default"/>
                      <w:color w:val="auto"/>
                      <w:highlight w:val="none"/>
                      <w:lang w:val="en-US" w:eastAsia="zh-CN"/>
                    </w:rPr>
                  </w:pPr>
                  <w:r>
                    <w:rPr>
                      <w:rFonts w:hint="eastAsia"/>
                      <w:color w:val="auto"/>
                      <w:highlight w:val="none"/>
                      <w:lang w:val="en-US" w:eastAsia="zh-CN"/>
                    </w:rPr>
                    <w:t>无</w:t>
                  </w:r>
                </w:p>
              </w:tc>
            </w:tr>
            <w:tr w14:paraId="0EB5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4"/>
                  <w:tcBorders>
                    <w:tl2br w:val="nil"/>
                    <w:tr2bl w:val="nil"/>
                  </w:tcBorders>
                  <w:noWrap w:val="0"/>
                  <w:vAlign w:val="center"/>
                </w:tcPr>
                <w:p w14:paraId="6F79BC20">
                  <w:pPr>
                    <w:pStyle w:val="49"/>
                    <w:bidi w:val="0"/>
                    <w:jc w:val="left"/>
                    <w:rPr>
                      <w:rFonts w:hint="eastAsia"/>
                      <w:color w:val="auto"/>
                      <w:highlight w:val="none"/>
                      <w:lang w:val="en-US" w:eastAsia="zh-CN"/>
                    </w:rPr>
                  </w:pPr>
                  <w:r>
                    <w:rPr>
                      <w:rFonts w:hint="eastAsia" w:ascii="Times New Roman" w:hAnsi="Times New Roman" w:eastAsia="宋体" w:cs="Times New Roman"/>
                      <w:b/>
                      <w:bCs/>
                      <w:color w:val="auto"/>
                      <w:kern w:val="0"/>
                      <w:sz w:val="18"/>
                      <w:szCs w:val="18"/>
                      <w:highlight w:val="none"/>
                      <w:lang w:val="en-US" w:eastAsia="zh-CN"/>
                    </w:rPr>
                    <w:t>注：1.废气中有毒有害污染物指纳入《有毒有害大气污染物名录》的污染物（不包括无排放标准的污染物）。2.环境空气保护目标指自然保护区、风景名胜区、居住区、文化区和农村地区中人群较集中的区域。3.临界量及其计算方法可参考《建设项目环境风险评价技术导则》（HJ169）附录B、附录C。</w:t>
                  </w:r>
                </w:p>
              </w:tc>
            </w:tr>
          </w:tbl>
          <w:p w14:paraId="6444F7CB">
            <w:pPr>
              <w:pStyle w:val="49"/>
              <w:bidi w:val="0"/>
              <w:rPr>
                <w:rFonts w:hint="default"/>
                <w:color w:val="auto"/>
                <w:sz w:val="24"/>
                <w:szCs w:val="22"/>
                <w:highlight w:val="none"/>
                <w:lang w:val="en-US" w:eastAsia="zh-CN"/>
              </w:rPr>
            </w:pPr>
          </w:p>
        </w:tc>
      </w:tr>
      <w:tr w14:paraId="4D7221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10" w:type="dxa"/>
            <w:noWrap w:val="0"/>
            <w:vAlign w:val="center"/>
          </w:tcPr>
          <w:p w14:paraId="0A198574">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规划情况</w:t>
            </w:r>
          </w:p>
        </w:tc>
        <w:tc>
          <w:tcPr>
            <w:tcW w:w="7460" w:type="dxa"/>
            <w:gridSpan w:val="3"/>
            <w:noWrap w:val="0"/>
            <w:vAlign w:val="center"/>
          </w:tcPr>
          <w:p w14:paraId="438A5CCE">
            <w:pPr>
              <w:pStyle w:val="11"/>
              <w:bidi w:val="0"/>
              <w:ind w:left="0" w:leftChars="0" w:firstLine="0" w:firstLineChars="0"/>
              <w:jc w:val="center"/>
              <w:rPr>
                <w:rFonts w:hint="default" w:ascii="Times New Roman" w:hAnsi="Times New Roman" w:eastAsia="宋体" w:cs="Times New Roman"/>
                <w:color w:val="auto"/>
                <w:kern w:val="0"/>
                <w:szCs w:val="21"/>
                <w:highlight w:val="none"/>
                <w:lang w:val="en-US" w:eastAsia="zh-CN"/>
              </w:rPr>
            </w:pPr>
            <w:r>
              <w:rPr>
                <w:rFonts w:hint="eastAsia" w:cs="Times New Roman"/>
                <w:color w:val="auto"/>
                <w:kern w:val="0"/>
                <w:szCs w:val="21"/>
                <w:highlight w:val="none"/>
                <w:lang w:val="en-US" w:eastAsia="zh-CN"/>
              </w:rPr>
              <w:t>无</w:t>
            </w:r>
          </w:p>
        </w:tc>
      </w:tr>
      <w:tr w14:paraId="40F7A2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410" w:type="dxa"/>
            <w:noWrap w:val="0"/>
            <w:vAlign w:val="center"/>
          </w:tcPr>
          <w:p w14:paraId="34FEBABE">
            <w:pPr>
              <w:adjustRightInd w:val="0"/>
              <w:snapToGrid w:val="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规划环境影响</w:t>
            </w:r>
          </w:p>
          <w:p w14:paraId="1C778C84">
            <w:pPr>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评价情况</w:t>
            </w:r>
          </w:p>
        </w:tc>
        <w:tc>
          <w:tcPr>
            <w:tcW w:w="7460" w:type="dxa"/>
            <w:gridSpan w:val="3"/>
            <w:noWrap w:val="0"/>
            <w:vAlign w:val="center"/>
          </w:tcPr>
          <w:p w14:paraId="4DD4B0D1">
            <w:pPr>
              <w:pStyle w:val="11"/>
              <w:bidi w:val="0"/>
              <w:ind w:left="0" w:leftChars="0" w:right="0" w:firstLine="0" w:firstLineChars="0"/>
              <w:jc w:val="center"/>
              <w:rPr>
                <w:rFonts w:hint="eastAsia"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无</w:t>
            </w:r>
          </w:p>
        </w:tc>
      </w:tr>
      <w:tr w14:paraId="0223CE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10" w:type="dxa"/>
            <w:noWrap w:val="0"/>
            <w:vAlign w:val="center"/>
          </w:tcPr>
          <w:p w14:paraId="1B3AE51D">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规划及规划环境影响评价符合性分析</w:t>
            </w:r>
          </w:p>
        </w:tc>
        <w:tc>
          <w:tcPr>
            <w:tcW w:w="7460" w:type="dxa"/>
            <w:gridSpan w:val="3"/>
            <w:noWrap w:val="0"/>
            <w:vAlign w:val="center"/>
          </w:tcPr>
          <w:p w14:paraId="7FA167D3">
            <w:pPr>
              <w:jc w:val="center"/>
              <w:rPr>
                <w:rFonts w:hint="default"/>
                <w:color w:val="auto"/>
                <w:sz w:val="24"/>
                <w:szCs w:val="24"/>
                <w:highlight w:val="none"/>
                <w:lang w:val="en-US" w:eastAsia="zh-CN"/>
              </w:rPr>
            </w:pPr>
            <w:r>
              <w:rPr>
                <w:rFonts w:hint="eastAsia"/>
                <w:color w:val="auto"/>
                <w:sz w:val="24"/>
                <w:szCs w:val="24"/>
                <w:highlight w:val="none"/>
                <w:lang w:val="en-US" w:eastAsia="zh-CN"/>
              </w:rPr>
              <w:t>无</w:t>
            </w:r>
          </w:p>
        </w:tc>
      </w:tr>
      <w:tr w14:paraId="6491D8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410" w:type="dxa"/>
            <w:noWrap w:val="0"/>
            <w:vAlign w:val="center"/>
          </w:tcPr>
          <w:p w14:paraId="72F3E59D">
            <w:pPr>
              <w:autoSpaceDE w:val="0"/>
              <w:autoSpaceDN w:val="0"/>
              <w:adjustRightInd w:val="0"/>
              <w:snapToGrid w:val="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其他符合性分析</w:t>
            </w:r>
          </w:p>
        </w:tc>
        <w:tc>
          <w:tcPr>
            <w:tcW w:w="7460" w:type="dxa"/>
            <w:gridSpan w:val="3"/>
            <w:noWrap w:val="0"/>
            <w:vAlign w:val="center"/>
          </w:tcPr>
          <w:p w14:paraId="2CBF0352">
            <w:pPr>
              <w:pStyle w:val="11"/>
              <w:numPr>
                <w:ilvl w:val="0"/>
                <w:numId w:val="1"/>
              </w:numPr>
              <w:bidi w:val="0"/>
              <w:rPr>
                <w:rFonts w:hint="default"/>
                <w:b/>
                <w:bCs/>
                <w:lang w:val="en-US" w:eastAsia="zh-CN"/>
              </w:rPr>
            </w:pPr>
            <w:r>
              <w:rPr>
                <w:rFonts w:hint="eastAsia"/>
                <w:b/>
                <w:bCs/>
                <w:lang w:val="en-US" w:eastAsia="zh-CN"/>
              </w:rPr>
              <w:t>与国家产业政策符合性分析</w:t>
            </w:r>
          </w:p>
          <w:p w14:paraId="2B916B2B">
            <w:pPr>
              <w:pStyle w:val="57"/>
              <w:rPr>
                <w:color w:val="auto"/>
                <w:highlight w:val="none"/>
              </w:rPr>
            </w:pPr>
            <w:r>
              <w:rPr>
                <w:rFonts w:hint="eastAsia"/>
                <w:color w:val="auto"/>
                <w:highlight w:val="none"/>
                <w:lang w:val="en-US" w:eastAsia="zh-CN"/>
              </w:rPr>
              <w:t>根据国家发展和改革委员会《产业结构调整指导目录（2024年本）》，</w:t>
            </w:r>
            <w:r>
              <w:rPr>
                <w:color w:val="auto"/>
                <w:kern w:val="0"/>
                <w:highlight w:val="none"/>
              </w:rPr>
              <w:t>本项目属于鼓励类中第一类“农林</w:t>
            </w:r>
            <w:r>
              <w:rPr>
                <w:rFonts w:hint="eastAsia"/>
                <w:color w:val="auto"/>
                <w:kern w:val="0"/>
                <w:highlight w:val="none"/>
                <w:lang w:val="en-US" w:eastAsia="zh-CN"/>
              </w:rPr>
              <w:t>牧渔</w:t>
            </w:r>
            <w:r>
              <w:rPr>
                <w:color w:val="auto"/>
                <w:kern w:val="0"/>
                <w:highlight w:val="none"/>
              </w:rPr>
              <w:t>业”的第</w:t>
            </w:r>
            <w:r>
              <w:rPr>
                <w:rFonts w:hint="eastAsia"/>
                <w:color w:val="auto"/>
                <w:kern w:val="0"/>
                <w:highlight w:val="none"/>
              </w:rPr>
              <w:t>17</w:t>
            </w:r>
            <w:r>
              <w:rPr>
                <w:color w:val="auto"/>
                <w:kern w:val="0"/>
                <w:highlight w:val="none"/>
              </w:rPr>
              <w:t>条“农作物秸秆综合利用（</w:t>
            </w:r>
            <w:r>
              <w:rPr>
                <w:rFonts w:hint="eastAsia"/>
                <w:color w:val="auto"/>
                <w:kern w:val="0"/>
                <w:highlight w:val="none"/>
              </w:rPr>
              <w:t>秸秆肥料化利用、秸秆饲料化利用、秸秆能源化利用、秸秆基料化利用秸秆原料化利用</w:t>
            </w:r>
            <w:r>
              <w:rPr>
                <w:color w:val="auto"/>
                <w:kern w:val="0"/>
                <w:highlight w:val="none"/>
              </w:rPr>
              <w:t>等）”，项目属于</w:t>
            </w:r>
            <w:r>
              <w:rPr>
                <w:rFonts w:hint="eastAsia"/>
                <w:color w:val="auto"/>
                <w:kern w:val="0"/>
                <w:highlight w:val="none"/>
                <w:lang w:val="en-US" w:eastAsia="zh-CN"/>
              </w:rPr>
              <w:t>秸秆综合利用</w:t>
            </w:r>
            <w:r>
              <w:rPr>
                <w:color w:val="auto"/>
                <w:kern w:val="0"/>
                <w:highlight w:val="none"/>
              </w:rPr>
              <w:t>，符合国家产业政策；同时本项目不在《陕西省限制投资类产业指导目录》（2007年本）之列，符合陕西省产业政策</w:t>
            </w:r>
            <w:r>
              <w:rPr>
                <w:rFonts w:hint="eastAsia"/>
                <w:color w:val="auto"/>
                <w:kern w:val="0"/>
                <w:highlight w:val="none"/>
              </w:rPr>
              <w:t>；</w:t>
            </w:r>
            <w:r>
              <w:rPr>
                <w:color w:val="auto"/>
                <w:highlight w:val="none"/>
              </w:rPr>
              <w:t>本项目不属于《陕西省国家重点生态功能区产业准入负面清单（试行）（陕发改规划〔2018〕213号）》中</w:t>
            </w:r>
            <w:r>
              <w:rPr>
                <w:rFonts w:hint="eastAsia"/>
                <w:color w:val="auto"/>
                <w:highlight w:val="none"/>
                <w:lang w:val="en-US" w:eastAsia="zh-CN"/>
              </w:rPr>
              <w:t>汉中市洋县</w:t>
            </w:r>
            <w:r>
              <w:rPr>
                <w:color w:val="auto"/>
                <w:highlight w:val="none"/>
              </w:rPr>
              <w:t>管控要求类项目</w:t>
            </w:r>
            <w:r>
              <w:rPr>
                <w:rFonts w:hint="eastAsia"/>
                <w:color w:val="auto"/>
                <w:highlight w:val="none"/>
              </w:rPr>
              <w:t>；</w:t>
            </w:r>
            <w:r>
              <w:rPr>
                <w:color w:val="auto"/>
                <w:highlight w:val="none"/>
              </w:rPr>
              <w:t>本项目不属于</w:t>
            </w:r>
            <w:r>
              <w:rPr>
                <w:bCs/>
                <w:color w:val="auto"/>
                <w:highlight w:val="none"/>
              </w:rPr>
              <w:t>《市场准入负面清单（20</w:t>
            </w:r>
            <w:r>
              <w:rPr>
                <w:rFonts w:hint="eastAsia"/>
                <w:bCs/>
                <w:color w:val="auto"/>
                <w:highlight w:val="none"/>
              </w:rPr>
              <w:t>2</w:t>
            </w:r>
            <w:r>
              <w:rPr>
                <w:rFonts w:hint="eastAsia"/>
                <w:bCs/>
                <w:color w:val="auto"/>
                <w:highlight w:val="none"/>
                <w:lang w:val="en-US" w:eastAsia="zh-CN"/>
              </w:rPr>
              <w:t>5</w:t>
            </w:r>
            <w:r>
              <w:rPr>
                <w:bCs/>
                <w:color w:val="auto"/>
                <w:highlight w:val="none"/>
              </w:rPr>
              <w:t>年版）》中禁止准入类及许可准入类项目</w:t>
            </w:r>
            <w:r>
              <w:rPr>
                <w:rFonts w:hint="eastAsia"/>
                <w:bCs/>
                <w:color w:val="auto"/>
                <w:highlight w:val="none"/>
              </w:rPr>
              <w:t>，</w:t>
            </w:r>
            <w:r>
              <w:rPr>
                <w:color w:val="auto"/>
                <w:highlight w:val="none"/>
              </w:rPr>
              <w:t>项目符合陕西省产业政策。</w:t>
            </w:r>
          </w:p>
          <w:p w14:paraId="1874966B">
            <w:pPr>
              <w:pStyle w:val="57"/>
              <w:rPr>
                <w:color w:val="auto"/>
                <w:highlight w:val="none"/>
              </w:rPr>
            </w:pPr>
            <w:r>
              <w:rPr>
                <w:color w:val="auto"/>
                <w:highlight w:val="none"/>
              </w:rPr>
              <w:t>同时，项目已取得</w:t>
            </w:r>
            <w:r>
              <w:rPr>
                <w:rFonts w:hint="eastAsia"/>
                <w:color w:val="auto"/>
                <w:highlight w:val="none"/>
                <w:lang w:val="en-US" w:eastAsia="zh-CN"/>
              </w:rPr>
              <w:t>洋县</w:t>
            </w:r>
            <w:r>
              <w:rPr>
                <w:rFonts w:hint="eastAsia"/>
                <w:color w:val="auto"/>
                <w:highlight w:val="none"/>
              </w:rPr>
              <w:t>行政审批服务局关于本项目备案确认书</w:t>
            </w:r>
            <w:r>
              <w:rPr>
                <w:color w:val="auto"/>
                <w:highlight w:val="none"/>
              </w:rPr>
              <w:t>（</w:t>
            </w:r>
            <w:r>
              <w:rPr>
                <w:rFonts w:hint="eastAsia" w:cs="Times New Roman"/>
                <w:color w:val="auto"/>
                <w:szCs w:val="21"/>
                <w:highlight w:val="none"/>
                <w:lang w:val="en-US" w:eastAsia="zh-CN"/>
              </w:rPr>
              <w:t>2211-610723-04-01-822616</w:t>
            </w:r>
            <w:r>
              <w:rPr>
                <w:color w:val="auto"/>
                <w:highlight w:val="none"/>
              </w:rPr>
              <w:t>）</w:t>
            </w:r>
            <w:r>
              <w:rPr>
                <w:color w:val="auto"/>
                <w:highlight w:val="none"/>
                <w:lang w:val="zh-CN"/>
              </w:rPr>
              <w:t>（见附件</w:t>
            </w:r>
            <w:r>
              <w:rPr>
                <w:rFonts w:hint="eastAsia"/>
                <w:color w:val="auto"/>
                <w:highlight w:val="none"/>
                <w:lang w:val="zh-CN"/>
              </w:rPr>
              <w:t>2</w:t>
            </w:r>
            <w:r>
              <w:rPr>
                <w:color w:val="auto"/>
                <w:highlight w:val="none"/>
                <w:lang w:val="zh-CN"/>
              </w:rPr>
              <w:t>）</w:t>
            </w:r>
            <w:r>
              <w:rPr>
                <w:color w:val="auto"/>
                <w:highlight w:val="none"/>
              </w:rPr>
              <w:t>。</w:t>
            </w:r>
          </w:p>
          <w:p w14:paraId="25116F0A">
            <w:pPr>
              <w:pStyle w:val="11"/>
              <w:bidi w:val="0"/>
              <w:rPr>
                <w:rFonts w:hint="eastAsia"/>
                <w:color w:val="auto"/>
                <w:highlight w:val="none"/>
                <w:lang w:val="en-US" w:eastAsia="zh-CN"/>
              </w:rPr>
            </w:pPr>
            <w:r>
              <w:rPr>
                <w:color w:val="auto"/>
                <w:highlight w:val="none"/>
              </w:rPr>
              <w:t>综上，本项目符合国家及地方产业政策。</w:t>
            </w:r>
          </w:p>
          <w:p w14:paraId="4ECE9267">
            <w:pPr>
              <w:pStyle w:val="11"/>
              <w:numPr>
                <w:ilvl w:val="0"/>
                <w:numId w:val="1"/>
              </w:numPr>
              <w:bidi w:val="0"/>
              <w:rPr>
                <w:rFonts w:hint="default"/>
                <w:b/>
                <w:bCs/>
                <w:lang w:val="en-US" w:eastAsia="zh-CN"/>
              </w:rPr>
            </w:pPr>
            <w:r>
              <w:rPr>
                <w:rFonts w:hint="eastAsia"/>
                <w:b/>
                <w:bCs/>
                <w:lang w:val="en-US" w:eastAsia="zh-CN"/>
              </w:rPr>
              <w:t>与“三线一单”符合性分析</w:t>
            </w:r>
          </w:p>
          <w:p w14:paraId="12FB3364">
            <w:pPr>
              <w:pStyle w:val="11"/>
              <w:bidi w:val="0"/>
              <w:rPr>
                <w:rFonts w:hint="eastAsia"/>
                <w:color w:val="auto"/>
                <w:highlight w:val="none"/>
                <w:lang w:val="en-US" w:eastAsia="zh-CN"/>
              </w:rPr>
            </w:pPr>
            <w:r>
              <w:rPr>
                <w:rFonts w:hint="eastAsia"/>
                <w:color w:val="auto"/>
                <w:highlight w:val="none"/>
                <w:lang w:val="en-US" w:eastAsia="zh-CN"/>
              </w:rPr>
              <w:t>项目与《关于以改善环境质量为核心加强环境影响评价管理的通知》</w:t>
            </w:r>
            <w:r>
              <w:rPr>
                <w:rFonts w:hint="eastAsia"/>
                <w:color w:val="auto"/>
                <w:highlight w:val="none"/>
              </w:rPr>
              <w:t>（环环评〔2016〕150号）规定，建设项目“三线一单”相符性分析如下：</w:t>
            </w:r>
          </w:p>
          <w:p w14:paraId="6A158F46">
            <w:pPr>
              <w:pStyle w:val="32"/>
              <w:bidi w:val="0"/>
              <w:rPr>
                <w:color w:val="auto"/>
                <w:highlight w:val="none"/>
              </w:rPr>
            </w:pPr>
            <w:r>
              <w:rPr>
                <w:color w:val="auto"/>
                <w:highlight w:val="none"/>
              </w:rPr>
              <w:t>表</w:t>
            </w:r>
            <w:r>
              <w:rPr>
                <w:rFonts w:hint="eastAsia"/>
                <w:color w:val="auto"/>
                <w:highlight w:val="none"/>
              </w:rPr>
              <w:t>1-</w:t>
            </w:r>
            <w:r>
              <w:rPr>
                <w:rFonts w:hint="eastAsia"/>
                <w:color w:val="auto"/>
                <w:highlight w:val="none"/>
                <w:lang w:val="en-US" w:eastAsia="zh-CN"/>
              </w:rPr>
              <w:t xml:space="preserve">2   </w:t>
            </w:r>
            <w:r>
              <w:rPr>
                <w:color w:val="auto"/>
                <w:highlight w:val="none"/>
              </w:rPr>
              <w:t>与</w:t>
            </w:r>
            <w:r>
              <w:rPr>
                <w:rFonts w:hint="eastAsia"/>
                <w:color w:val="auto"/>
                <w:highlight w:val="none"/>
              </w:rPr>
              <w:t>“三线一单”的符合性分析</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420"/>
              <w:gridCol w:w="2295"/>
              <w:gridCol w:w="879"/>
            </w:tblGrid>
            <w:tr w14:paraId="7ED61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4060" w:type="dxa"/>
                  <w:gridSpan w:val="2"/>
                  <w:vAlign w:val="center"/>
                </w:tcPr>
                <w:p w14:paraId="372E6377">
                  <w:pPr>
                    <w:pStyle w:val="49"/>
                    <w:bidi w:val="0"/>
                    <w:rPr>
                      <w:rFonts w:hint="eastAsia"/>
                      <w:b/>
                      <w:bCs/>
                      <w:color w:val="auto"/>
                      <w:highlight w:val="none"/>
                      <w:lang w:eastAsia="zh-CN"/>
                    </w:rPr>
                  </w:pPr>
                  <w:r>
                    <w:rPr>
                      <w:rFonts w:hint="eastAsia"/>
                      <w:b/>
                      <w:bCs/>
                      <w:color w:val="auto"/>
                      <w:highlight w:val="none"/>
                    </w:rPr>
                    <w:t>“三线一单”</w:t>
                  </w:r>
                  <w:r>
                    <w:rPr>
                      <w:rFonts w:hint="eastAsia"/>
                      <w:b/>
                      <w:bCs/>
                      <w:color w:val="auto"/>
                      <w:highlight w:val="none"/>
                      <w:lang w:val="en-US" w:eastAsia="zh-CN"/>
                    </w:rPr>
                    <w:t>要求</w:t>
                  </w:r>
                </w:p>
              </w:tc>
              <w:tc>
                <w:tcPr>
                  <w:tcW w:w="2295" w:type="dxa"/>
                  <w:vAlign w:val="center"/>
                </w:tcPr>
                <w:p w14:paraId="7D0B58DB">
                  <w:pPr>
                    <w:pStyle w:val="49"/>
                    <w:bidi w:val="0"/>
                    <w:rPr>
                      <w:b/>
                      <w:bCs/>
                      <w:color w:val="auto"/>
                      <w:highlight w:val="none"/>
                    </w:rPr>
                  </w:pPr>
                  <w:r>
                    <w:rPr>
                      <w:b/>
                      <w:bCs/>
                      <w:color w:val="auto"/>
                      <w:highlight w:val="none"/>
                    </w:rPr>
                    <w:t>本项目情况</w:t>
                  </w:r>
                </w:p>
              </w:tc>
              <w:tc>
                <w:tcPr>
                  <w:tcW w:w="879" w:type="dxa"/>
                  <w:vAlign w:val="center"/>
                </w:tcPr>
                <w:p w14:paraId="6DC4147C">
                  <w:pPr>
                    <w:pStyle w:val="49"/>
                    <w:bidi w:val="0"/>
                    <w:rPr>
                      <w:rFonts w:hint="eastAsia"/>
                      <w:b/>
                      <w:bCs/>
                      <w:color w:val="auto"/>
                      <w:highlight w:val="none"/>
                      <w:lang w:val="en-US" w:eastAsia="zh-CN"/>
                    </w:rPr>
                  </w:pPr>
                  <w:r>
                    <w:rPr>
                      <w:rFonts w:hint="eastAsia"/>
                      <w:b/>
                      <w:bCs/>
                      <w:color w:val="auto"/>
                      <w:highlight w:val="none"/>
                      <w:lang w:val="en-US" w:eastAsia="zh-CN"/>
                    </w:rPr>
                    <w:t>符合性</w:t>
                  </w:r>
                </w:p>
              </w:tc>
            </w:tr>
            <w:tr w14:paraId="68D7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0" w:type="dxa"/>
                  <w:vAlign w:val="center"/>
                </w:tcPr>
                <w:p w14:paraId="16464818">
                  <w:pPr>
                    <w:pStyle w:val="49"/>
                    <w:bidi w:val="0"/>
                    <w:rPr>
                      <w:rFonts w:hint="default"/>
                      <w:color w:val="auto"/>
                      <w:highlight w:val="none"/>
                      <w:lang w:val="en-US" w:eastAsia="zh-CN"/>
                    </w:rPr>
                  </w:pPr>
                  <w:r>
                    <w:rPr>
                      <w:rFonts w:hint="eastAsia"/>
                      <w:color w:val="auto"/>
                      <w:highlight w:val="none"/>
                      <w:lang w:val="en-US" w:eastAsia="zh-CN"/>
                    </w:rPr>
                    <w:t>生态保护红线</w:t>
                  </w:r>
                </w:p>
              </w:tc>
              <w:tc>
                <w:tcPr>
                  <w:tcW w:w="3420" w:type="dxa"/>
                  <w:vAlign w:val="center"/>
                </w:tcPr>
                <w:p w14:paraId="2D22B3FC">
                  <w:pPr>
                    <w:pStyle w:val="49"/>
                    <w:bidi w:val="0"/>
                    <w:rPr>
                      <w:color w:val="auto"/>
                      <w:highlight w:val="none"/>
                    </w:rPr>
                  </w:pPr>
                  <w:r>
                    <w:rPr>
                      <w:color w:val="auto"/>
                      <w:highlight w:val="none"/>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2295" w:type="dxa"/>
                  <w:vAlign w:val="center"/>
                </w:tcPr>
                <w:p w14:paraId="51D14670">
                  <w:pPr>
                    <w:pStyle w:val="49"/>
                    <w:bidi w:val="0"/>
                    <w:rPr>
                      <w:color w:val="auto"/>
                      <w:highlight w:val="none"/>
                    </w:rPr>
                  </w:pPr>
                  <w:r>
                    <w:rPr>
                      <w:color w:val="auto"/>
                      <w:highlight w:val="none"/>
                    </w:rPr>
                    <w:t>本项目</w:t>
                  </w:r>
                  <w:r>
                    <w:rPr>
                      <w:rFonts w:hint="eastAsia"/>
                      <w:color w:val="auto"/>
                      <w:highlight w:val="none"/>
                    </w:rPr>
                    <w:t>位于</w:t>
                  </w:r>
                  <w:r>
                    <w:rPr>
                      <w:rFonts w:hint="eastAsia"/>
                      <w:color w:val="auto"/>
                      <w:highlight w:val="none"/>
                      <w:lang w:val="en-US" w:eastAsia="zh-CN"/>
                    </w:rPr>
                    <w:t>陕西省汉中市</w:t>
                  </w:r>
                  <w:r>
                    <w:rPr>
                      <w:rFonts w:hint="eastAsia"/>
                      <w:color w:val="auto"/>
                      <w:highlight w:val="none"/>
                    </w:rPr>
                    <w:t>洋县戚氏</w:t>
                  </w:r>
                  <w:r>
                    <w:rPr>
                      <w:rFonts w:hint="eastAsia"/>
                      <w:color w:val="auto"/>
                      <w:highlight w:val="none"/>
                      <w:lang w:val="en-US" w:eastAsia="zh-CN"/>
                    </w:rPr>
                    <w:t>镇</w:t>
                  </w:r>
                  <w:r>
                    <w:rPr>
                      <w:rFonts w:hint="eastAsia"/>
                      <w:color w:val="auto"/>
                      <w:highlight w:val="none"/>
                    </w:rPr>
                    <w:t>，根据《汉中市秦岭生态环境保护规划》（汉政发〔2020〕22号），项目不在秦岭保护区范围内，</w:t>
                  </w:r>
                  <w:r>
                    <w:rPr>
                      <w:rFonts w:hint="eastAsia"/>
                      <w:color w:val="auto"/>
                      <w:highlight w:val="none"/>
                      <w:lang w:val="en-US" w:eastAsia="zh-CN"/>
                    </w:rPr>
                    <w:t>并且</w:t>
                  </w:r>
                  <w:r>
                    <w:rPr>
                      <w:rFonts w:hint="eastAsia"/>
                      <w:color w:val="auto"/>
                      <w:highlight w:val="none"/>
                    </w:rPr>
                    <w:t>不涉及汉江湿地保护区。本项目建设不涉及生态保护红线。</w:t>
                  </w:r>
                </w:p>
              </w:tc>
              <w:tc>
                <w:tcPr>
                  <w:tcW w:w="879" w:type="dxa"/>
                  <w:vAlign w:val="center"/>
                </w:tcPr>
                <w:p w14:paraId="0BF19BB9">
                  <w:pPr>
                    <w:pStyle w:val="49"/>
                    <w:bidi w:val="0"/>
                    <w:rPr>
                      <w:color w:val="auto"/>
                      <w:highlight w:val="none"/>
                    </w:rPr>
                  </w:pPr>
                  <w:r>
                    <w:rPr>
                      <w:color w:val="auto"/>
                      <w:highlight w:val="none"/>
                    </w:rPr>
                    <w:t>符合</w:t>
                  </w:r>
                </w:p>
              </w:tc>
            </w:tr>
            <w:tr w14:paraId="2329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0" w:type="dxa"/>
                  <w:vAlign w:val="center"/>
                </w:tcPr>
                <w:p w14:paraId="2A8BB897">
                  <w:pPr>
                    <w:pStyle w:val="49"/>
                    <w:bidi w:val="0"/>
                    <w:rPr>
                      <w:color w:val="auto"/>
                      <w:highlight w:val="none"/>
                    </w:rPr>
                  </w:pPr>
                  <w:r>
                    <w:rPr>
                      <w:color w:val="auto"/>
                      <w:highlight w:val="none"/>
                    </w:rPr>
                    <w:t>环境质量底线</w:t>
                  </w:r>
                </w:p>
              </w:tc>
              <w:tc>
                <w:tcPr>
                  <w:tcW w:w="3420" w:type="dxa"/>
                  <w:vAlign w:val="center"/>
                </w:tcPr>
                <w:p w14:paraId="7ADDEE19">
                  <w:pPr>
                    <w:pStyle w:val="49"/>
                    <w:bidi w:val="0"/>
                    <w:rPr>
                      <w:color w:val="auto"/>
                      <w:highlight w:val="none"/>
                    </w:rPr>
                  </w:pPr>
                  <w:r>
                    <w:rPr>
                      <w:color w:val="auto"/>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2295" w:type="dxa"/>
                  <w:vAlign w:val="center"/>
                </w:tcPr>
                <w:p w14:paraId="21ED63DE">
                  <w:pPr>
                    <w:pStyle w:val="49"/>
                    <w:bidi w:val="0"/>
                    <w:rPr>
                      <w:color w:val="auto"/>
                      <w:highlight w:val="none"/>
                    </w:rPr>
                  </w:pPr>
                  <w:r>
                    <w:rPr>
                      <w:color w:val="auto"/>
                      <w:highlight w:val="none"/>
                    </w:rPr>
                    <w:t>项目在采取报告中提出的各项污染防治措施后，不会对周围环境造成明显影响，</w:t>
                  </w:r>
                  <w:r>
                    <w:rPr>
                      <w:rFonts w:hint="eastAsia"/>
                      <w:color w:val="auto"/>
                      <w:highlight w:val="none"/>
                    </w:rPr>
                    <w:t>项目不会突破环境质量底线。</w:t>
                  </w:r>
                </w:p>
              </w:tc>
              <w:tc>
                <w:tcPr>
                  <w:tcW w:w="879" w:type="dxa"/>
                  <w:vAlign w:val="center"/>
                </w:tcPr>
                <w:p w14:paraId="64C08CF2">
                  <w:pPr>
                    <w:pStyle w:val="49"/>
                    <w:bidi w:val="0"/>
                    <w:rPr>
                      <w:color w:val="auto"/>
                      <w:highlight w:val="none"/>
                    </w:rPr>
                  </w:pPr>
                  <w:r>
                    <w:rPr>
                      <w:color w:val="auto"/>
                      <w:highlight w:val="none"/>
                    </w:rPr>
                    <w:t>符合</w:t>
                  </w:r>
                </w:p>
              </w:tc>
            </w:tr>
            <w:tr w14:paraId="2812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0" w:type="dxa"/>
                  <w:vAlign w:val="center"/>
                </w:tcPr>
                <w:p w14:paraId="1E734703">
                  <w:pPr>
                    <w:pStyle w:val="49"/>
                    <w:bidi w:val="0"/>
                    <w:rPr>
                      <w:color w:val="auto"/>
                      <w:highlight w:val="none"/>
                    </w:rPr>
                  </w:pPr>
                  <w:r>
                    <w:rPr>
                      <w:color w:val="auto"/>
                      <w:highlight w:val="none"/>
                    </w:rPr>
                    <w:t>资源利用上线</w:t>
                  </w:r>
                </w:p>
              </w:tc>
              <w:tc>
                <w:tcPr>
                  <w:tcW w:w="3420" w:type="dxa"/>
                  <w:vAlign w:val="center"/>
                </w:tcPr>
                <w:p w14:paraId="5890F0C2">
                  <w:pPr>
                    <w:pStyle w:val="49"/>
                    <w:bidi w:val="0"/>
                    <w:rPr>
                      <w:color w:val="auto"/>
                      <w:highlight w:val="none"/>
                    </w:rPr>
                  </w:pPr>
                  <w:r>
                    <w:rPr>
                      <w:color w:val="auto"/>
                      <w:highlight w:val="none"/>
                    </w:rPr>
                    <w:t>资源是环境的载体，资源利用上线是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2295" w:type="dxa"/>
                  <w:vAlign w:val="center"/>
                </w:tcPr>
                <w:p w14:paraId="43825DFF">
                  <w:pPr>
                    <w:pStyle w:val="49"/>
                    <w:bidi w:val="0"/>
                    <w:rPr>
                      <w:rFonts w:hint="default"/>
                      <w:color w:val="auto"/>
                      <w:highlight w:val="none"/>
                      <w:lang w:val="en-US" w:eastAsia="zh-CN"/>
                    </w:rPr>
                  </w:pPr>
                  <w:r>
                    <w:rPr>
                      <w:rFonts w:hint="eastAsia"/>
                      <w:color w:val="auto"/>
                      <w:highlight w:val="none"/>
                      <w:lang w:val="en-US" w:eastAsia="zh-CN"/>
                    </w:rPr>
                    <w:t>本项目属于废弃资源综合利用项目，</w:t>
                  </w:r>
                  <w:r>
                    <w:rPr>
                      <w:rFonts w:hint="eastAsia"/>
                      <w:color w:val="auto"/>
                      <w:highlight w:val="none"/>
                    </w:rPr>
                    <w:t>原辅材料及能源消耗合理分配，</w:t>
                  </w:r>
                  <w:r>
                    <w:rPr>
                      <w:color w:val="auto"/>
                      <w:highlight w:val="none"/>
                    </w:rPr>
                    <w:t>不触及资源利用</w:t>
                  </w:r>
                  <w:r>
                    <w:rPr>
                      <w:rFonts w:hint="eastAsia"/>
                      <w:color w:val="auto"/>
                      <w:highlight w:val="none"/>
                      <w:lang w:val="en-US" w:eastAsia="zh-CN"/>
                    </w:rPr>
                    <w:t>上限</w:t>
                  </w:r>
                  <w:r>
                    <w:rPr>
                      <w:rFonts w:hint="eastAsia"/>
                      <w:color w:val="auto"/>
                      <w:highlight w:val="none"/>
                    </w:rPr>
                    <w:t>。</w:t>
                  </w:r>
                </w:p>
              </w:tc>
              <w:tc>
                <w:tcPr>
                  <w:tcW w:w="879" w:type="dxa"/>
                  <w:vAlign w:val="center"/>
                </w:tcPr>
                <w:p w14:paraId="25CBC0F6">
                  <w:pPr>
                    <w:pStyle w:val="49"/>
                    <w:bidi w:val="0"/>
                    <w:rPr>
                      <w:color w:val="auto"/>
                      <w:highlight w:val="none"/>
                    </w:rPr>
                  </w:pPr>
                  <w:r>
                    <w:rPr>
                      <w:color w:val="auto"/>
                      <w:highlight w:val="none"/>
                    </w:rPr>
                    <w:t>符合</w:t>
                  </w:r>
                </w:p>
              </w:tc>
            </w:tr>
            <w:tr w14:paraId="3581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0" w:type="dxa"/>
                  <w:vAlign w:val="center"/>
                </w:tcPr>
                <w:p w14:paraId="47D3E681">
                  <w:pPr>
                    <w:pStyle w:val="49"/>
                    <w:bidi w:val="0"/>
                    <w:rPr>
                      <w:color w:val="auto"/>
                      <w:highlight w:val="none"/>
                    </w:rPr>
                  </w:pPr>
                  <w:r>
                    <w:rPr>
                      <w:color w:val="auto"/>
                      <w:highlight w:val="none"/>
                    </w:rPr>
                    <w:t>环境准入负面清单</w:t>
                  </w:r>
                </w:p>
              </w:tc>
              <w:tc>
                <w:tcPr>
                  <w:tcW w:w="3420" w:type="dxa"/>
                  <w:vAlign w:val="center"/>
                </w:tcPr>
                <w:p w14:paraId="3C0DB0C6">
                  <w:pPr>
                    <w:pStyle w:val="49"/>
                    <w:bidi w:val="0"/>
                    <w:rPr>
                      <w:color w:val="auto"/>
                      <w:highlight w:val="none"/>
                    </w:rPr>
                  </w:pPr>
                  <w:r>
                    <w:rPr>
                      <w:color w:val="auto"/>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2295" w:type="dxa"/>
                  <w:vAlign w:val="center"/>
                </w:tcPr>
                <w:p w14:paraId="522AEB4A">
                  <w:pPr>
                    <w:pStyle w:val="49"/>
                    <w:bidi w:val="0"/>
                    <w:rPr>
                      <w:color w:val="auto"/>
                      <w:highlight w:val="none"/>
                    </w:rPr>
                  </w:pPr>
                  <w:r>
                    <w:rPr>
                      <w:color w:val="auto"/>
                      <w:highlight w:val="none"/>
                    </w:rPr>
                    <w:t>项目不</w:t>
                  </w:r>
                  <w:r>
                    <w:rPr>
                      <w:rFonts w:hint="eastAsia"/>
                      <w:color w:val="auto"/>
                      <w:highlight w:val="none"/>
                    </w:rPr>
                    <w:t>属于《汉中市生态环境准入清单（试行）》中禁止与限制开发建设活动，且不属于</w:t>
                  </w:r>
                  <w:r>
                    <w:rPr>
                      <w:color w:val="auto"/>
                      <w:highlight w:val="none"/>
                    </w:rPr>
                    <w:t>《陕西省</w:t>
                  </w:r>
                  <w:r>
                    <w:rPr>
                      <w:rFonts w:hint="eastAsia"/>
                      <w:color w:val="auto"/>
                      <w:highlight w:val="none"/>
                    </w:rPr>
                    <w:t>洋县</w:t>
                  </w:r>
                  <w:r>
                    <w:rPr>
                      <w:color w:val="auto"/>
                      <w:highlight w:val="none"/>
                    </w:rPr>
                    <w:t>重点生态功能区产业准入负面清单》</w:t>
                  </w:r>
                  <w:r>
                    <w:rPr>
                      <w:rFonts w:hint="eastAsia"/>
                      <w:color w:val="auto"/>
                      <w:highlight w:val="none"/>
                    </w:rPr>
                    <w:t>规定的禁止与限制管控产业。</w:t>
                  </w:r>
                </w:p>
              </w:tc>
              <w:tc>
                <w:tcPr>
                  <w:tcW w:w="879" w:type="dxa"/>
                  <w:vAlign w:val="center"/>
                </w:tcPr>
                <w:p w14:paraId="119C987D">
                  <w:pPr>
                    <w:pStyle w:val="49"/>
                    <w:bidi w:val="0"/>
                    <w:rPr>
                      <w:color w:val="auto"/>
                      <w:highlight w:val="none"/>
                    </w:rPr>
                  </w:pPr>
                  <w:r>
                    <w:rPr>
                      <w:color w:val="auto"/>
                      <w:highlight w:val="none"/>
                    </w:rPr>
                    <w:t>符合</w:t>
                  </w:r>
                </w:p>
              </w:tc>
            </w:tr>
          </w:tbl>
          <w:p w14:paraId="28DFB455">
            <w:pPr>
              <w:pStyle w:val="11"/>
              <w:bidi w:val="0"/>
              <w:rPr>
                <w:rFonts w:hint="eastAsia"/>
                <w:color w:val="auto"/>
                <w:highlight w:val="none"/>
                <w:lang w:val="en-US" w:eastAsia="zh-CN"/>
              </w:rPr>
            </w:pPr>
            <w:r>
              <w:rPr>
                <w:rFonts w:hint="eastAsia"/>
                <w:color w:val="auto"/>
                <w:highlight w:val="none"/>
                <w:lang w:val="en-US" w:eastAsia="zh-CN"/>
              </w:rPr>
              <w:t>根据《陕西省“三线一单”生态环境分区管控应用技术指南：环境影响评价（试行）》（陕环办发〔2022〕76号），建设项目环评文件涉及“三线一单”生态环境分区管控符合性分析采取“一图一表一说明”的表达方式，对照分析结果，论证建设的符合性。</w:t>
            </w:r>
          </w:p>
          <w:p w14:paraId="03FE8A15">
            <w:pPr>
              <w:pStyle w:val="11"/>
              <w:bidi w:val="0"/>
              <w:rPr>
                <w:rFonts w:hint="eastAsia"/>
                <w:color w:val="auto"/>
                <w:highlight w:val="none"/>
                <w:lang w:val="en-US" w:eastAsia="zh-CN"/>
              </w:rPr>
            </w:pPr>
            <w:r>
              <w:rPr>
                <w:rFonts w:hint="eastAsia"/>
                <w:color w:val="auto"/>
                <w:highlight w:val="none"/>
                <w:lang w:val="en-US" w:eastAsia="zh-CN"/>
              </w:rPr>
              <w:t>①一图</w:t>
            </w:r>
          </w:p>
          <w:p w14:paraId="6B0974EB">
            <w:pPr>
              <w:pStyle w:val="11"/>
              <w:bidi w:val="0"/>
              <w:rPr>
                <w:rFonts w:hint="eastAsia"/>
                <w:color w:val="auto"/>
                <w:highlight w:val="none"/>
                <w:lang w:val="en-US" w:eastAsia="zh-CN"/>
              </w:rPr>
            </w:pPr>
            <w:r>
              <w:rPr>
                <w:rFonts w:hint="eastAsia"/>
                <w:color w:val="auto"/>
                <w:highlight w:val="none"/>
                <w:lang w:val="en-US" w:eastAsia="zh-CN"/>
              </w:rPr>
              <w:t>根据《汉中市人民政府关于印发2023年汉中市生态环境分区管控调整方案的通知》（汉政办函〔2024〕23号），结合“陕西省‘三线一单’数据应用管理平台（V1.0）”分析可知本项目位于陕西省汉中市洋县重点管控单元1，具体见下图。</w:t>
            </w:r>
          </w:p>
          <w:p w14:paraId="5CE875AA">
            <w:pPr>
              <w:pStyle w:val="11"/>
              <w:bidi w:val="0"/>
              <w:ind w:left="0" w:leftChars="0" w:firstLine="0" w:firstLineChars="0"/>
              <w:jc w:val="center"/>
              <w:rPr>
                <w:color w:val="auto"/>
                <w:highlight w:val="none"/>
              </w:rPr>
            </w:pPr>
            <w:r>
              <w:rPr>
                <w:color w:val="auto"/>
                <w:highlight w:val="none"/>
              </w:rPr>
              <w:drawing>
                <wp:inline distT="0" distB="0" distL="114300" distR="114300">
                  <wp:extent cx="2773045" cy="3667760"/>
                  <wp:effectExtent l="0" t="0" r="8255" b="889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1"/>
                          <a:stretch>
                            <a:fillRect/>
                          </a:stretch>
                        </pic:blipFill>
                        <pic:spPr>
                          <a:xfrm>
                            <a:off x="0" y="0"/>
                            <a:ext cx="2773045" cy="3667760"/>
                          </a:xfrm>
                          <a:prstGeom prst="rect">
                            <a:avLst/>
                          </a:prstGeom>
                          <a:noFill/>
                          <a:ln>
                            <a:noFill/>
                          </a:ln>
                        </pic:spPr>
                      </pic:pic>
                    </a:graphicData>
                  </a:graphic>
                </wp:inline>
              </w:drawing>
            </w:r>
          </w:p>
          <w:p w14:paraId="73D749BB">
            <w:pPr>
              <w:pStyle w:val="32"/>
              <w:bidi w:val="0"/>
              <w:rPr>
                <w:rFonts w:hint="eastAsia"/>
                <w:color w:val="auto"/>
                <w:highlight w:val="none"/>
                <w:lang w:val="en-US" w:eastAsia="zh-CN"/>
              </w:rPr>
            </w:pPr>
            <w:r>
              <w:rPr>
                <w:rFonts w:hint="eastAsia"/>
                <w:color w:val="auto"/>
                <w:highlight w:val="none"/>
                <w:lang w:val="en-US" w:eastAsia="zh-CN"/>
              </w:rPr>
              <w:t xml:space="preserve">图1-1   </w:t>
            </w:r>
            <w:r>
              <w:rPr>
                <w:rFonts w:hint="default"/>
                <w:color w:val="auto"/>
                <w:highlight w:val="none"/>
              </w:rPr>
              <w:t>项目与生态环境管控单元分布位置示意</w:t>
            </w:r>
          </w:p>
          <w:p w14:paraId="2BB31728">
            <w:pPr>
              <w:pStyle w:val="11"/>
              <w:bidi w:val="0"/>
              <w:rPr>
                <w:rFonts w:hint="default"/>
                <w:color w:val="auto"/>
                <w:highlight w:val="none"/>
                <w:lang w:val="en-US"/>
              </w:rPr>
            </w:pPr>
            <w:r>
              <w:rPr>
                <w:rFonts w:hint="eastAsia"/>
                <w:color w:val="auto"/>
                <w:highlight w:val="none"/>
                <w:lang w:val="en-US" w:eastAsia="zh-CN"/>
              </w:rPr>
              <w:t>②一表</w:t>
            </w:r>
          </w:p>
          <w:p w14:paraId="12132ADB">
            <w:pPr>
              <w:tabs>
                <w:tab w:val="left" w:pos="3150"/>
                <w:tab w:val="left" w:pos="4305"/>
              </w:tabs>
              <w:adjustRightInd w:val="0"/>
              <w:snapToGrid w:val="0"/>
              <w:spacing w:line="360" w:lineRule="auto"/>
              <w:ind w:firstLine="480" w:firstLineChars="200"/>
              <w:rPr>
                <w:color w:val="auto"/>
                <w:highlight w:val="none"/>
              </w:rPr>
            </w:pPr>
            <w:r>
              <w:rPr>
                <w:color w:val="auto"/>
                <w:sz w:val="24"/>
                <w:szCs w:val="32"/>
                <w:highlight w:val="none"/>
              </w:rPr>
              <w:t>本项目与“三线一单”生态环境分区管控比对成果见附件。本项目与</w:t>
            </w:r>
            <w:r>
              <w:rPr>
                <w:rFonts w:hint="eastAsia"/>
                <w:color w:val="auto"/>
                <w:sz w:val="24"/>
                <w:szCs w:val="32"/>
                <w:highlight w:val="none"/>
              </w:rPr>
              <w:t>“</w:t>
            </w:r>
            <w:r>
              <w:rPr>
                <w:color w:val="auto"/>
                <w:sz w:val="24"/>
                <w:szCs w:val="32"/>
                <w:highlight w:val="none"/>
              </w:rPr>
              <w:t>三线一单</w:t>
            </w:r>
            <w:r>
              <w:rPr>
                <w:rFonts w:hint="eastAsia"/>
                <w:color w:val="auto"/>
                <w:sz w:val="24"/>
                <w:szCs w:val="32"/>
                <w:highlight w:val="none"/>
              </w:rPr>
              <w:t>”</w:t>
            </w:r>
            <w:r>
              <w:rPr>
                <w:color w:val="auto"/>
                <w:sz w:val="24"/>
                <w:szCs w:val="32"/>
                <w:highlight w:val="none"/>
              </w:rPr>
              <w:t>管控要求符合性分析见表1-</w:t>
            </w:r>
            <w:r>
              <w:rPr>
                <w:rFonts w:hint="eastAsia"/>
                <w:color w:val="auto"/>
                <w:sz w:val="24"/>
                <w:szCs w:val="32"/>
                <w:highlight w:val="none"/>
                <w:lang w:val="en-US" w:eastAsia="zh-CN"/>
              </w:rPr>
              <w:t>4</w:t>
            </w:r>
            <w:r>
              <w:rPr>
                <w:color w:val="auto"/>
                <w:sz w:val="24"/>
                <w:szCs w:val="32"/>
                <w:highlight w:val="none"/>
              </w:rPr>
              <w:t>。</w:t>
            </w:r>
          </w:p>
          <w:p w14:paraId="33C5D416">
            <w:pPr>
              <w:pStyle w:val="32"/>
              <w:bidi w:val="0"/>
              <w:rPr>
                <w:color w:val="auto"/>
                <w:highlight w:val="none"/>
              </w:rPr>
            </w:pPr>
            <w:r>
              <w:rPr>
                <w:rFonts w:hint="eastAsia"/>
                <w:color w:val="auto"/>
                <w:highlight w:val="none"/>
                <w:lang w:val="en-US" w:eastAsia="zh-CN"/>
              </w:rPr>
              <w:t xml:space="preserve">表1-3   </w:t>
            </w:r>
            <w:r>
              <w:rPr>
                <w:color w:val="auto"/>
                <w:highlight w:val="none"/>
              </w:rPr>
              <w:t>本项目与</w:t>
            </w:r>
            <w:r>
              <w:rPr>
                <w:rFonts w:hint="eastAsia"/>
                <w:color w:val="auto"/>
                <w:highlight w:val="none"/>
                <w:lang w:val="en-US" w:eastAsia="zh-CN"/>
              </w:rPr>
              <w:t>汉中市</w:t>
            </w:r>
            <w:r>
              <w:rPr>
                <w:rFonts w:hint="eastAsia"/>
                <w:color w:val="auto"/>
                <w:highlight w:val="none"/>
              </w:rPr>
              <w:t>“三线一单”环境管控单元管控要求</w:t>
            </w:r>
            <w:r>
              <w:rPr>
                <w:color w:val="auto"/>
                <w:highlight w:val="none"/>
              </w:rPr>
              <w:t>符合性分析表</w:t>
            </w:r>
          </w:p>
          <w:tbl>
            <w:tblPr>
              <w:tblStyle w:val="27"/>
              <w:tblW w:w="6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
              <w:gridCol w:w="369"/>
              <w:gridCol w:w="435"/>
              <w:gridCol w:w="495"/>
              <w:gridCol w:w="480"/>
              <w:gridCol w:w="525"/>
              <w:gridCol w:w="2702"/>
              <w:gridCol w:w="1278"/>
              <w:gridCol w:w="399"/>
            </w:tblGrid>
            <w:tr w14:paraId="34E3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 w:type="dxa"/>
                  <w:noWrap w:val="0"/>
                  <w:vAlign w:val="center"/>
                </w:tcPr>
                <w:p w14:paraId="64DCB2A0">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序号</w:t>
                  </w:r>
                </w:p>
              </w:tc>
              <w:tc>
                <w:tcPr>
                  <w:tcW w:w="369" w:type="dxa"/>
                  <w:noWrap w:val="0"/>
                  <w:vAlign w:val="center"/>
                </w:tcPr>
                <w:p w14:paraId="2F7BFC27">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市(区)</w:t>
                  </w:r>
                </w:p>
              </w:tc>
              <w:tc>
                <w:tcPr>
                  <w:tcW w:w="435" w:type="dxa"/>
                  <w:noWrap w:val="0"/>
                  <w:vAlign w:val="center"/>
                </w:tcPr>
                <w:p w14:paraId="05688E5A">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区县</w:t>
                  </w:r>
                </w:p>
              </w:tc>
              <w:tc>
                <w:tcPr>
                  <w:tcW w:w="495" w:type="dxa"/>
                  <w:noWrap w:val="0"/>
                  <w:vAlign w:val="center"/>
                </w:tcPr>
                <w:p w14:paraId="30889B31">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环境管控单元名称</w:t>
                  </w:r>
                </w:p>
              </w:tc>
              <w:tc>
                <w:tcPr>
                  <w:tcW w:w="480" w:type="dxa"/>
                  <w:noWrap w:val="0"/>
                  <w:vAlign w:val="center"/>
                </w:tcPr>
                <w:p w14:paraId="733139AA">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单元要素属性</w:t>
                  </w:r>
                </w:p>
              </w:tc>
              <w:tc>
                <w:tcPr>
                  <w:tcW w:w="525" w:type="dxa"/>
                  <w:noWrap w:val="0"/>
                  <w:vAlign w:val="center"/>
                </w:tcPr>
                <w:p w14:paraId="140FF99B">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管控要求分类</w:t>
                  </w:r>
                </w:p>
              </w:tc>
              <w:tc>
                <w:tcPr>
                  <w:tcW w:w="2702" w:type="dxa"/>
                  <w:noWrap w:val="0"/>
                  <w:vAlign w:val="center"/>
                </w:tcPr>
                <w:p w14:paraId="3F80C4E2">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管控要求</w:t>
                  </w:r>
                </w:p>
              </w:tc>
              <w:tc>
                <w:tcPr>
                  <w:tcW w:w="1278" w:type="dxa"/>
                  <w:noWrap w:val="0"/>
                  <w:vAlign w:val="center"/>
                </w:tcPr>
                <w:p w14:paraId="59C30B0F">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本项目</w:t>
                  </w:r>
                </w:p>
              </w:tc>
              <w:tc>
                <w:tcPr>
                  <w:tcW w:w="399" w:type="dxa"/>
                  <w:noWrap w:val="0"/>
                  <w:vAlign w:val="center"/>
                </w:tcPr>
                <w:p w14:paraId="0316E513">
                  <w:pPr>
                    <w:pStyle w:val="32"/>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rPr>
                      <w:rFonts w:hint="default"/>
                      <w:color w:val="auto"/>
                      <w:highlight w:val="none"/>
                      <w:vertAlign w:val="baseline"/>
                      <w:lang w:val="en-US" w:eastAsia="zh-CN"/>
                    </w:rPr>
                  </w:pPr>
                  <w:r>
                    <w:rPr>
                      <w:rFonts w:hint="eastAsia"/>
                      <w:color w:val="auto"/>
                      <w:highlight w:val="none"/>
                      <w:vertAlign w:val="baseline"/>
                      <w:lang w:val="en-US" w:eastAsia="zh-CN"/>
                    </w:rPr>
                    <w:t>符合性</w:t>
                  </w:r>
                </w:p>
              </w:tc>
            </w:tr>
            <w:tr w14:paraId="7F5E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 w:type="dxa"/>
                  <w:vMerge w:val="restart"/>
                  <w:noWrap w:val="0"/>
                  <w:vAlign w:val="center"/>
                </w:tcPr>
                <w:p w14:paraId="13E600A0">
                  <w:pPr>
                    <w:pStyle w:val="49"/>
                    <w:bidi w:val="0"/>
                    <w:rPr>
                      <w:rFonts w:hint="default"/>
                      <w:color w:val="auto"/>
                      <w:highlight w:val="none"/>
                      <w:lang w:val="en-US" w:eastAsia="zh-CN"/>
                    </w:rPr>
                  </w:pPr>
                  <w:r>
                    <w:rPr>
                      <w:rFonts w:hint="eastAsia"/>
                      <w:color w:val="auto"/>
                      <w:highlight w:val="none"/>
                      <w:lang w:val="en-US" w:eastAsia="zh-CN"/>
                    </w:rPr>
                    <w:t>1</w:t>
                  </w:r>
                </w:p>
              </w:tc>
              <w:tc>
                <w:tcPr>
                  <w:tcW w:w="369" w:type="dxa"/>
                  <w:vMerge w:val="restart"/>
                  <w:noWrap w:val="0"/>
                  <w:vAlign w:val="center"/>
                </w:tcPr>
                <w:p w14:paraId="76C93C76">
                  <w:pPr>
                    <w:pStyle w:val="49"/>
                    <w:bidi w:val="0"/>
                    <w:rPr>
                      <w:rFonts w:hint="default"/>
                      <w:color w:val="auto"/>
                      <w:highlight w:val="none"/>
                      <w:lang w:val="en-US" w:eastAsia="zh-CN"/>
                    </w:rPr>
                  </w:pPr>
                  <w:r>
                    <w:rPr>
                      <w:rFonts w:hint="eastAsia"/>
                      <w:color w:val="auto"/>
                      <w:highlight w:val="none"/>
                      <w:lang w:val="en-US" w:eastAsia="zh-CN"/>
                    </w:rPr>
                    <w:t>汉中市</w:t>
                  </w:r>
                </w:p>
              </w:tc>
              <w:tc>
                <w:tcPr>
                  <w:tcW w:w="435" w:type="dxa"/>
                  <w:vMerge w:val="restart"/>
                  <w:noWrap w:val="0"/>
                  <w:vAlign w:val="center"/>
                </w:tcPr>
                <w:p w14:paraId="1FC1CB5A">
                  <w:pPr>
                    <w:pStyle w:val="49"/>
                    <w:bidi w:val="0"/>
                    <w:rPr>
                      <w:rFonts w:hint="default"/>
                      <w:color w:val="auto"/>
                      <w:highlight w:val="none"/>
                      <w:lang w:val="en-US" w:eastAsia="zh-CN"/>
                    </w:rPr>
                  </w:pPr>
                  <w:r>
                    <w:rPr>
                      <w:rFonts w:hint="eastAsia"/>
                      <w:color w:val="auto"/>
                      <w:highlight w:val="none"/>
                      <w:lang w:val="en-US" w:eastAsia="zh-CN"/>
                    </w:rPr>
                    <w:t>洋县</w:t>
                  </w:r>
                </w:p>
              </w:tc>
              <w:tc>
                <w:tcPr>
                  <w:tcW w:w="495" w:type="dxa"/>
                  <w:vMerge w:val="restart"/>
                  <w:noWrap w:val="0"/>
                  <w:vAlign w:val="center"/>
                </w:tcPr>
                <w:p w14:paraId="2511C01A">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default"/>
                      <w:color w:val="auto"/>
                      <w:highlight w:val="none"/>
                      <w:lang w:val="en-US" w:eastAsia="zh-CN"/>
                    </w:rPr>
                  </w:pPr>
                  <w:r>
                    <w:rPr>
                      <w:rFonts w:hint="eastAsia"/>
                      <w:color w:val="auto"/>
                      <w:highlight w:val="none"/>
                      <w:lang w:val="en-US" w:eastAsia="zh-CN"/>
                    </w:rPr>
                    <w:t>陕西省汉中市洋县重点管控单元1</w:t>
                  </w:r>
                </w:p>
              </w:tc>
              <w:tc>
                <w:tcPr>
                  <w:tcW w:w="480" w:type="dxa"/>
                  <w:vMerge w:val="restart"/>
                  <w:noWrap w:val="0"/>
                  <w:vAlign w:val="center"/>
                </w:tcPr>
                <w:p w14:paraId="19373838">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default"/>
                      <w:color w:val="auto"/>
                      <w:highlight w:val="none"/>
                      <w:lang w:val="en-US" w:eastAsia="zh-CN"/>
                    </w:rPr>
                  </w:pPr>
                  <w:r>
                    <w:rPr>
                      <w:rFonts w:hint="eastAsia"/>
                      <w:color w:val="auto"/>
                      <w:highlight w:val="none"/>
                      <w:lang w:val="en-US" w:eastAsia="zh-CN"/>
                    </w:rPr>
                    <w:t>大气环境布局敏感重点管控区、水环境城镇生活污染重点管控区</w:t>
                  </w:r>
                </w:p>
              </w:tc>
              <w:tc>
                <w:tcPr>
                  <w:tcW w:w="525" w:type="dxa"/>
                  <w:noWrap w:val="0"/>
                  <w:vAlign w:val="center"/>
                </w:tcPr>
                <w:p w14:paraId="3CB65665">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default"/>
                      <w:color w:val="auto"/>
                      <w:highlight w:val="none"/>
                      <w:lang w:val="en-US" w:eastAsia="zh-CN"/>
                    </w:rPr>
                  </w:pPr>
                  <w:r>
                    <w:rPr>
                      <w:rFonts w:hint="eastAsia"/>
                      <w:color w:val="auto"/>
                      <w:highlight w:val="none"/>
                      <w:lang w:val="en-US" w:eastAsia="zh-CN"/>
                    </w:rPr>
                    <w:t>空间布局约束</w:t>
                  </w:r>
                </w:p>
              </w:tc>
              <w:tc>
                <w:tcPr>
                  <w:tcW w:w="2702" w:type="dxa"/>
                  <w:noWrap w:val="0"/>
                  <w:vAlign w:val="center"/>
                </w:tcPr>
                <w:p w14:paraId="795FA1C2">
                  <w:pPr>
                    <w:pStyle w:val="49"/>
                    <w:bidi w:val="0"/>
                    <w:jc w:val="both"/>
                    <w:rPr>
                      <w:rFonts w:hint="default"/>
                      <w:color w:val="auto"/>
                      <w:highlight w:val="none"/>
                      <w:lang w:val="en-US" w:eastAsia="zh-CN"/>
                    </w:rPr>
                  </w:pPr>
                  <w:r>
                    <w:rPr>
                      <w:rFonts w:hint="default"/>
                      <w:color w:val="auto"/>
                      <w:highlight w:val="none"/>
                      <w:lang w:val="en-US" w:eastAsia="zh-CN"/>
                    </w:rPr>
                    <w:t>大气环境布局敏感重点管控区：</w:t>
                  </w:r>
                </w:p>
                <w:p w14:paraId="5BBE2E8D">
                  <w:pPr>
                    <w:pStyle w:val="49"/>
                    <w:bidi w:val="0"/>
                    <w:jc w:val="both"/>
                    <w:rPr>
                      <w:rFonts w:hint="default"/>
                      <w:color w:val="auto"/>
                      <w:highlight w:val="none"/>
                      <w:lang w:val="en-US" w:eastAsia="zh-CN"/>
                    </w:rPr>
                  </w:pPr>
                  <w:r>
                    <w:rPr>
                      <w:rFonts w:hint="default"/>
                      <w:color w:val="auto"/>
                      <w:highlight w:val="none"/>
                      <w:lang w:val="en-US" w:eastAsia="zh-CN"/>
                    </w:rPr>
                    <w:t>1.严格控制新增《陕西省“两高”项目管理暂行目录》行业项目（民生等项目除外，后续对“两高”范围国家如有新规定的，从其规定）。</w:t>
                  </w:r>
                </w:p>
                <w:p w14:paraId="3A2F1F38">
                  <w:pPr>
                    <w:pStyle w:val="49"/>
                    <w:bidi w:val="0"/>
                    <w:jc w:val="both"/>
                    <w:rPr>
                      <w:rFonts w:hint="default"/>
                      <w:color w:val="auto"/>
                      <w:highlight w:val="none"/>
                      <w:lang w:val="en-US" w:eastAsia="zh-CN"/>
                    </w:rPr>
                  </w:pPr>
                  <w:r>
                    <w:rPr>
                      <w:rFonts w:hint="default"/>
                      <w:color w:val="auto"/>
                      <w:highlight w:val="none"/>
                      <w:lang w:val="en-US" w:eastAsia="zh-CN"/>
                    </w:rPr>
                    <w:t>2.推动重污染企业搬迁入园或依法关闭。水环境城镇生活污染重点管控区：加快建设城中村、老旧城区、建制镇、城乡结合部等生活污水收集管网，填补污水收集管网空白区。新建居住社区应同步规划、建设污水收集管网，推动支线管网和出户管的连接建设。</w:t>
                  </w:r>
                </w:p>
              </w:tc>
              <w:tc>
                <w:tcPr>
                  <w:tcW w:w="1278" w:type="dxa"/>
                  <w:noWrap w:val="0"/>
                  <w:vAlign w:val="center"/>
                </w:tcPr>
                <w:p w14:paraId="04BE316A">
                  <w:pPr>
                    <w:pStyle w:val="49"/>
                    <w:bidi w:val="0"/>
                    <w:rPr>
                      <w:rFonts w:hint="default"/>
                      <w:color w:val="auto"/>
                      <w:highlight w:val="none"/>
                      <w:lang w:val="en-US" w:eastAsia="zh-CN"/>
                    </w:rPr>
                  </w:pPr>
                  <w:r>
                    <w:rPr>
                      <w:rFonts w:hint="eastAsia"/>
                      <w:color w:val="auto"/>
                      <w:highlight w:val="none"/>
                      <w:lang w:val="en-US" w:eastAsia="zh-CN"/>
                    </w:rPr>
                    <w:t>本项目属于</w:t>
                  </w:r>
                  <w:r>
                    <w:rPr>
                      <w:rFonts w:hint="eastAsia" w:ascii="Times New Roman" w:hAnsi="Times New Roman" w:eastAsia="宋体" w:cs="Times New Roman"/>
                      <w:color w:val="auto"/>
                      <w:szCs w:val="21"/>
                      <w:highlight w:val="none"/>
                      <w:lang w:val="en-US" w:eastAsia="zh-CN"/>
                    </w:rPr>
                    <w:t>废弃资源综合利用项目，不属于“两高”项目和重污染企业。</w:t>
                  </w:r>
                </w:p>
              </w:tc>
              <w:tc>
                <w:tcPr>
                  <w:tcW w:w="399" w:type="dxa"/>
                  <w:noWrap w:val="0"/>
                  <w:vAlign w:val="center"/>
                </w:tcPr>
                <w:p w14:paraId="457F33EA">
                  <w:pPr>
                    <w:pStyle w:val="49"/>
                    <w:bidi w:val="0"/>
                    <w:rPr>
                      <w:rFonts w:hint="default"/>
                      <w:color w:val="auto"/>
                      <w:highlight w:val="none"/>
                      <w:lang w:val="en-US" w:eastAsia="zh-CN"/>
                    </w:rPr>
                  </w:pPr>
                  <w:r>
                    <w:rPr>
                      <w:rFonts w:hint="eastAsia"/>
                      <w:color w:val="auto"/>
                      <w:highlight w:val="none"/>
                      <w:lang w:val="en-US" w:eastAsia="zh-CN"/>
                    </w:rPr>
                    <w:t>符合</w:t>
                  </w:r>
                </w:p>
              </w:tc>
            </w:tr>
            <w:tr w14:paraId="3ACC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 w:type="dxa"/>
                  <w:vMerge w:val="continue"/>
                  <w:noWrap w:val="0"/>
                  <w:vAlign w:val="center"/>
                </w:tcPr>
                <w:p w14:paraId="007FF8DB">
                  <w:pPr>
                    <w:pStyle w:val="49"/>
                    <w:bidi w:val="0"/>
                    <w:rPr>
                      <w:rFonts w:hint="eastAsia"/>
                      <w:color w:val="auto"/>
                      <w:highlight w:val="none"/>
                      <w:lang w:val="en-US" w:eastAsia="zh-CN"/>
                    </w:rPr>
                  </w:pPr>
                </w:p>
              </w:tc>
              <w:tc>
                <w:tcPr>
                  <w:tcW w:w="369" w:type="dxa"/>
                  <w:vMerge w:val="continue"/>
                  <w:noWrap w:val="0"/>
                  <w:vAlign w:val="center"/>
                </w:tcPr>
                <w:p w14:paraId="36BCC258">
                  <w:pPr>
                    <w:pStyle w:val="49"/>
                    <w:bidi w:val="0"/>
                    <w:rPr>
                      <w:rFonts w:hint="eastAsia"/>
                      <w:color w:val="auto"/>
                      <w:highlight w:val="none"/>
                      <w:lang w:val="en-US" w:eastAsia="zh-CN"/>
                    </w:rPr>
                  </w:pPr>
                </w:p>
              </w:tc>
              <w:tc>
                <w:tcPr>
                  <w:tcW w:w="435" w:type="dxa"/>
                  <w:vMerge w:val="continue"/>
                  <w:noWrap w:val="0"/>
                  <w:vAlign w:val="center"/>
                </w:tcPr>
                <w:p w14:paraId="05815258">
                  <w:pPr>
                    <w:pStyle w:val="49"/>
                    <w:bidi w:val="0"/>
                    <w:rPr>
                      <w:rFonts w:hint="eastAsia"/>
                      <w:color w:val="auto"/>
                      <w:highlight w:val="none"/>
                      <w:lang w:val="en-US" w:eastAsia="zh-CN"/>
                    </w:rPr>
                  </w:pPr>
                </w:p>
              </w:tc>
              <w:tc>
                <w:tcPr>
                  <w:tcW w:w="495" w:type="dxa"/>
                  <w:vMerge w:val="continue"/>
                  <w:noWrap w:val="0"/>
                  <w:vAlign w:val="center"/>
                </w:tcPr>
                <w:p w14:paraId="7EEE2E5F">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eastAsia"/>
                      <w:color w:val="auto"/>
                      <w:highlight w:val="none"/>
                      <w:lang w:val="en-US" w:eastAsia="zh-CN"/>
                    </w:rPr>
                  </w:pPr>
                </w:p>
              </w:tc>
              <w:tc>
                <w:tcPr>
                  <w:tcW w:w="480" w:type="dxa"/>
                  <w:vMerge w:val="continue"/>
                  <w:noWrap w:val="0"/>
                  <w:vAlign w:val="center"/>
                </w:tcPr>
                <w:p w14:paraId="194C0CA2">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eastAsia"/>
                      <w:color w:val="auto"/>
                      <w:highlight w:val="none"/>
                      <w:lang w:val="en-US" w:eastAsia="zh-CN"/>
                    </w:rPr>
                  </w:pPr>
                </w:p>
              </w:tc>
              <w:tc>
                <w:tcPr>
                  <w:tcW w:w="525" w:type="dxa"/>
                  <w:noWrap w:val="0"/>
                  <w:vAlign w:val="center"/>
                </w:tcPr>
                <w:p w14:paraId="783B5BE8">
                  <w:pPr>
                    <w:pStyle w:val="49"/>
                    <w:keepNext w:val="0"/>
                    <w:keepLines w:val="0"/>
                    <w:pageBreakBefore w:val="0"/>
                    <w:widowControl w:val="0"/>
                    <w:kinsoku/>
                    <w:wordWrap/>
                    <w:overflowPunct/>
                    <w:topLinePunct w:val="0"/>
                    <w:autoSpaceDE/>
                    <w:autoSpaceDN/>
                    <w:bidi w:val="0"/>
                    <w:adjustRightInd w:val="0"/>
                    <w:snapToGrid w:val="0"/>
                    <w:ind w:left="-105" w:leftChars="-50" w:right="-105" w:rightChars="-50"/>
                    <w:textAlignment w:val="auto"/>
                    <w:rPr>
                      <w:rFonts w:hint="default"/>
                      <w:color w:val="auto"/>
                      <w:highlight w:val="none"/>
                      <w:lang w:val="en-US" w:eastAsia="zh-CN"/>
                    </w:rPr>
                  </w:pPr>
                  <w:r>
                    <w:rPr>
                      <w:rFonts w:hint="eastAsia"/>
                      <w:color w:val="auto"/>
                      <w:highlight w:val="none"/>
                      <w:lang w:val="en-US" w:eastAsia="zh-CN"/>
                    </w:rPr>
                    <w:t>污染物排放管控</w:t>
                  </w:r>
                </w:p>
              </w:tc>
              <w:tc>
                <w:tcPr>
                  <w:tcW w:w="2702" w:type="dxa"/>
                  <w:noWrap w:val="0"/>
                  <w:vAlign w:val="center"/>
                </w:tcPr>
                <w:p w14:paraId="70A92D20">
                  <w:pPr>
                    <w:pStyle w:val="49"/>
                    <w:bidi w:val="0"/>
                    <w:jc w:val="both"/>
                    <w:rPr>
                      <w:rFonts w:hint="default"/>
                      <w:color w:val="auto"/>
                      <w:highlight w:val="none"/>
                      <w:lang w:val="en-US" w:eastAsia="zh-CN"/>
                    </w:rPr>
                  </w:pPr>
                  <w:r>
                    <w:rPr>
                      <w:rFonts w:hint="eastAsia"/>
                      <w:color w:val="auto"/>
                      <w:highlight w:val="none"/>
                      <w:lang w:val="en-US" w:eastAsia="zh-CN"/>
                    </w:rPr>
                    <w:t>大</w:t>
                  </w:r>
                  <w:r>
                    <w:rPr>
                      <w:rFonts w:hint="default"/>
                      <w:color w:val="auto"/>
                      <w:highlight w:val="none"/>
                      <w:lang w:val="en-US" w:eastAsia="zh-CN"/>
                    </w:rPr>
                    <w:t>气环境布局敏感重点管控区：</w:t>
                  </w:r>
                </w:p>
                <w:p w14:paraId="3ACF4E89">
                  <w:pPr>
                    <w:pStyle w:val="49"/>
                    <w:bidi w:val="0"/>
                    <w:jc w:val="both"/>
                    <w:rPr>
                      <w:rFonts w:hint="default"/>
                      <w:color w:val="auto"/>
                      <w:highlight w:val="none"/>
                      <w:lang w:val="en-US" w:eastAsia="zh-CN"/>
                    </w:rPr>
                  </w:pPr>
                  <w:r>
                    <w:rPr>
                      <w:rFonts w:hint="default"/>
                      <w:color w:val="auto"/>
                      <w:highlight w:val="none"/>
                      <w:lang w:val="en-US" w:eastAsia="zh-CN"/>
                    </w:rPr>
                    <w:t>1.鼓励将老旧车辆和非道路移动机械替换为清洁能源车辆。推进新能源或清洁能源汽车使用。</w:t>
                  </w:r>
                </w:p>
                <w:p w14:paraId="77197ED3">
                  <w:pPr>
                    <w:pStyle w:val="49"/>
                    <w:bidi w:val="0"/>
                    <w:jc w:val="both"/>
                    <w:rPr>
                      <w:rFonts w:hint="default"/>
                      <w:color w:val="auto"/>
                      <w:highlight w:val="none"/>
                      <w:lang w:val="en-US" w:eastAsia="zh-CN"/>
                    </w:rPr>
                  </w:pPr>
                  <w:r>
                    <w:rPr>
                      <w:rFonts w:hint="default"/>
                      <w:color w:val="auto"/>
                      <w:highlight w:val="none"/>
                      <w:lang w:val="en-US" w:eastAsia="zh-CN"/>
                    </w:rPr>
                    <w:t>水环境城镇生活污染重点管控区：</w:t>
                  </w:r>
                </w:p>
                <w:p w14:paraId="51746BFB">
                  <w:pPr>
                    <w:pStyle w:val="49"/>
                    <w:bidi w:val="0"/>
                    <w:jc w:val="both"/>
                    <w:rPr>
                      <w:rFonts w:hint="default"/>
                      <w:color w:val="auto"/>
                      <w:highlight w:val="none"/>
                      <w:lang w:val="en-US" w:eastAsia="zh-CN"/>
                    </w:rPr>
                  </w:pPr>
                  <w:r>
                    <w:rPr>
                      <w:rFonts w:hint="default"/>
                      <w:color w:val="auto"/>
                      <w:highlight w:val="none"/>
                      <w:lang w:val="en-US" w:eastAsia="zh-CN"/>
                    </w:rPr>
                    <w:t>1.加强城镇污水收集处理设施建设与提标改造。</w:t>
                  </w:r>
                </w:p>
                <w:p w14:paraId="7ED2EB74">
                  <w:pPr>
                    <w:pStyle w:val="49"/>
                    <w:bidi w:val="0"/>
                    <w:jc w:val="both"/>
                    <w:rPr>
                      <w:rFonts w:hint="default"/>
                      <w:color w:val="auto"/>
                      <w:highlight w:val="none"/>
                      <w:lang w:val="en-US" w:eastAsia="zh-CN"/>
                    </w:rPr>
                  </w:pPr>
                  <w:r>
                    <w:rPr>
                      <w:rFonts w:hint="default"/>
                      <w:color w:val="auto"/>
                      <w:highlight w:val="none"/>
                      <w:lang w:val="en-US" w:eastAsia="zh-CN"/>
                    </w:rPr>
                    <w:t>2.城镇新区管网建设及老旧城区管网升级改造中实行雨污分流，鼓励推进初期雨水收集、处理和资源化利用，建设人工湿地水质净化工程，对处理达标后的尾水进一步净化。</w:t>
                  </w:r>
                </w:p>
                <w:p w14:paraId="71C6C5D7">
                  <w:pPr>
                    <w:pStyle w:val="49"/>
                    <w:bidi w:val="0"/>
                    <w:jc w:val="both"/>
                    <w:rPr>
                      <w:rFonts w:hint="default"/>
                      <w:color w:val="auto"/>
                      <w:highlight w:val="none"/>
                      <w:lang w:val="en-US" w:eastAsia="zh-CN"/>
                    </w:rPr>
                  </w:pPr>
                  <w:r>
                    <w:rPr>
                      <w:rFonts w:hint="default"/>
                      <w:color w:val="auto"/>
                      <w:highlight w:val="none"/>
                      <w:lang w:val="en-US" w:eastAsia="zh-CN"/>
                    </w:rPr>
                    <w:t>3.污水处理厂出水用于绿化、农灌等用途的，合理确定管控要求，确保达到相应污水再生利用标准。</w:t>
                  </w:r>
                </w:p>
              </w:tc>
              <w:tc>
                <w:tcPr>
                  <w:tcW w:w="1278" w:type="dxa"/>
                  <w:noWrap w:val="0"/>
                  <w:vAlign w:val="center"/>
                </w:tcPr>
                <w:p w14:paraId="72CB0754">
                  <w:pPr>
                    <w:pStyle w:val="49"/>
                    <w:bidi w:val="0"/>
                    <w:rPr>
                      <w:rFonts w:hint="default"/>
                      <w:color w:val="auto"/>
                      <w:highlight w:val="none"/>
                      <w:lang w:val="en-US" w:eastAsia="zh-CN"/>
                    </w:rPr>
                  </w:pPr>
                  <w:r>
                    <w:rPr>
                      <w:rFonts w:hint="eastAsia"/>
                      <w:color w:val="auto"/>
                      <w:highlight w:val="none"/>
                      <w:lang w:val="en-US" w:eastAsia="zh-CN"/>
                    </w:rPr>
                    <w:t>本项目在采取报告中提出的各项污染防治措施后，废水可达标排放，废气和噪声可达标排放，固废能合理处置，不会对周围环境造成明显影响</w:t>
                  </w:r>
                </w:p>
              </w:tc>
              <w:tc>
                <w:tcPr>
                  <w:tcW w:w="399" w:type="dxa"/>
                  <w:noWrap w:val="0"/>
                  <w:vAlign w:val="center"/>
                </w:tcPr>
                <w:p w14:paraId="1B89A124">
                  <w:pPr>
                    <w:pStyle w:val="49"/>
                    <w:bidi w:val="0"/>
                    <w:rPr>
                      <w:rFonts w:hint="default"/>
                      <w:color w:val="auto"/>
                      <w:highlight w:val="none"/>
                      <w:lang w:val="en-US" w:eastAsia="zh-CN"/>
                    </w:rPr>
                  </w:pPr>
                  <w:r>
                    <w:rPr>
                      <w:rFonts w:hint="eastAsia"/>
                      <w:color w:val="auto"/>
                      <w:highlight w:val="none"/>
                      <w:lang w:val="en-US" w:eastAsia="zh-CN"/>
                    </w:rPr>
                    <w:t>符合</w:t>
                  </w:r>
                </w:p>
              </w:tc>
            </w:tr>
          </w:tbl>
          <w:p w14:paraId="40664B0D">
            <w:pPr>
              <w:pStyle w:val="11"/>
              <w:bidi w:val="0"/>
              <w:rPr>
                <w:rFonts w:hint="eastAsia"/>
                <w:color w:val="auto"/>
                <w:highlight w:val="none"/>
                <w:lang w:val="en-US" w:eastAsia="zh-CN"/>
              </w:rPr>
            </w:pPr>
            <w:r>
              <w:rPr>
                <w:rFonts w:hint="eastAsia"/>
                <w:color w:val="auto"/>
                <w:highlight w:val="none"/>
                <w:lang w:val="en-US" w:eastAsia="zh-CN"/>
              </w:rPr>
              <w:t>③一说明</w:t>
            </w:r>
          </w:p>
          <w:p w14:paraId="3C21FE31">
            <w:pPr>
              <w:pStyle w:val="11"/>
              <w:bidi w:val="0"/>
              <w:rPr>
                <w:rFonts w:hint="default" w:eastAsia="宋体"/>
                <w:color w:val="auto"/>
                <w:highlight w:val="none"/>
                <w:lang w:val="en-US" w:eastAsia="zh-CN"/>
              </w:rPr>
            </w:pPr>
            <w:r>
              <w:rPr>
                <w:rFonts w:hint="eastAsia"/>
                <w:color w:val="auto"/>
                <w:highlight w:val="none"/>
                <w:lang w:eastAsia="zh-CN"/>
              </w:rPr>
              <w:t>项目</w:t>
            </w:r>
            <w:r>
              <w:rPr>
                <w:rFonts w:hint="eastAsia"/>
                <w:color w:val="auto"/>
                <w:szCs w:val="21"/>
                <w:highlight w:val="none"/>
              </w:rPr>
              <w:t>在采取报告中提出的各项污染防治措施后，</w:t>
            </w:r>
            <w:r>
              <w:rPr>
                <w:rFonts w:hint="eastAsia"/>
                <w:color w:val="auto"/>
                <w:szCs w:val="21"/>
                <w:highlight w:val="none"/>
                <w:lang w:eastAsia="zh-CN"/>
              </w:rPr>
              <w:t>废水、废气和噪声可达标排放，固废能合理处置，</w:t>
            </w:r>
            <w:r>
              <w:rPr>
                <w:rFonts w:hint="eastAsia"/>
                <w:color w:val="auto"/>
                <w:szCs w:val="21"/>
                <w:highlight w:val="none"/>
              </w:rPr>
              <w:t>不会对周围环境造成明显影响</w:t>
            </w:r>
            <w:r>
              <w:rPr>
                <w:rFonts w:hint="eastAsia"/>
                <w:color w:val="auto"/>
                <w:szCs w:val="21"/>
                <w:highlight w:val="none"/>
                <w:lang w:eastAsia="zh-CN"/>
              </w:rPr>
              <w:t>。</w:t>
            </w:r>
            <w:r>
              <w:rPr>
                <w:rFonts w:hint="eastAsia"/>
                <w:color w:val="auto"/>
                <w:szCs w:val="21"/>
                <w:highlight w:val="none"/>
                <w:lang w:val="en-US" w:eastAsia="zh-CN"/>
              </w:rPr>
              <w:t>因此，本项目的建设符合汉中市“三线一单”生态环境分区管控方案中重点管控单元的相关要求。</w:t>
            </w:r>
          </w:p>
          <w:p w14:paraId="493D4EE5">
            <w:pPr>
              <w:pStyle w:val="11"/>
              <w:numPr>
                <w:ilvl w:val="0"/>
                <w:numId w:val="1"/>
              </w:numPr>
              <w:bidi w:val="0"/>
              <w:rPr>
                <w:rFonts w:hint="default"/>
                <w:b/>
                <w:bCs/>
                <w:color w:val="auto"/>
                <w:highlight w:val="none"/>
                <w:lang w:val="en-US" w:eastAsia="zh-CN"/>
              </w:rPr>
            </w:pPr>
            <w:r>
              <w:rPr>
                <w:rFonts w:hint="eastAsia"/>
                <w:b/>
                <w:bCs/>
                <w:color w:val="auto"/>
                <w:highlight w:val="none"/>
                <w:lang w:val="en-US" w:eastAsia="zh-CN"/>
              </w:rPr>
              <w:t>项目</w:t>
            </w:r>
            <w:r>
              <w:rPr>
                <w:b/>
                <w:bCs/>
                <w:color w:val="auto"/>
                <w:highlight w:val="none"/>
              </w:rPr>
              <w:t>与相关法律法规政策、生态环境保护规划符合性分析</w:t>
            </w:r>
          </w:p>
          <w:p w14:paraId="39EFA10D">
            <w:pPr>
              <w:pStyle w:val="11"/>
              <w:numPr>
                <w:ilvl w:val="0"/>
                <w:numId w:val="0"/>
              </w:numPr>
              <w:bidi w:val="0"/>
              <w:ind w:right="0" w:rightChars="0" w:firstLine="480" w:firstLineChars="200"/>
              <w:rPr>
                <w:rFonts w:hint="default"/>
                <w:color w:val="auto"/>
                <w:highlight w:val="none"/>
                <w:lang w:val="en-US" w:eastAsia="zh-CN"/>
              </w:rPr>
            </w:pPr>
            <w:r>
              <w:rPr>
                <w:color w:val="auto"/>
                <w:sz w:val="24"/>
                <w:highlight w:val="none"/>
              </w:rPr>
              <w:t>经分析，本项目与相关生态环境保护法律法规政策及规划的符合性分析</w:t>
            </w:r>
            <w:r>
              <w:rPr>
                <w:rFonts w:hint="eastAsia"/>
                <w:color w:val="auto"/>
                <w:highlight w:val="none"/>
                <w:lang w:val="en-US" w:eastAsia="zh-CN"/>
              </w:rPr>
              <w:t>见表1-4。</w:t>
            </w:r>
          </w:p>
          <w:p w14:paraId="7302A7D0">
            <w:pPr>
              <w:pStyle w:val="32"/>
              <w:bidi w:val="0"/>
              <w:rPr>
                <w:rFonts w:hint="eastAsia"/>
                <w:color w:val="auto"/>
                <w:highlight w:val="none"/>
                <w:lang w:val="en-US" w:eastAsia="zh-CN"/>
              </w:rPr>
            </w:pPr>
            <w:r>
              <w:rPr>
                <w:color w:val="auto"/>
                <w:highlight w:val="none"/>
              </w:rPr>
              <w:t>表1-</w:t>
            </w:r>
            <w:r>
              <w:rPr>
                <w:rFonts w:hint="eastAsia"/>
                <w:color w:val="auto"/>
                <w:highlight w:val="none"/>
                <w:lang w:val="en-US" w:eastAsia="zh-CN"/>
              </w:rPr>
              <w:t xml:space="preserve">4   </w:t>
            </w:r>
            <w:r>
              <w:rPr>
                <w:color w:val="auto"/>
                <w:highlight w:val="none"/>
              </w:rPr>
              <w:t>与相关法律法规政策、生态环境保护规划符合性分析</w:t>
            </w:r>
          </w:p>
          <w:tbl>
            <w:tblPr>
              <w:tblStyle w:val="26"/>
              <w:tblW w:w="49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
              <w:gridCol w:w="1091"/>
              <w:gridCol w:w="3029"/>
              <w:gridCol w:w="1798"/>
              <w:gridCol w:w="785"/>
            </w:tblGrid>
            <w:tr w14:paraId="46B0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772B98">
                  <w:pPr>
                    <w:pStyle w:val="33"/>
                    <w:rPr>
                      <w:rFonts w:ascii="Times New Roman" w:hAnsi="Times New Roman"/>
                      <w:b/>
                      <w:color w:val="auto"/>
                      <w:highlight w:val="none"/>
                    </w:rPr>
                  </w:pPr>
                  <w:r>
                    <w:rPr>
                      <w:rFonts w:ascii="Times New Roman" w:hAnsi="Times New Roman"/>
                      <w:b/>
                      <w:color w:val="auto"/>
                      <w:highlight w:val="none"/>
                    </w:rPr>
                    <w:t>序号</w:t>
                  </w:r>
                </w:p>
              </w:tc>
              <w:tc>
                <w:tcPr>
                  <w:tcW w:w="758"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3DA08AE">
                  <w:pPr>
                    <w:pStyle w:val="33"/>
                    <w:rPr>
                      <w:rFonts w:ascii="Times New Roman" w:hAnsi="Times New Roman"/>
                      <w:b/>
                      <w:color w:val="auto"/>
                      <w:highlight w:val="none"/>
                    </w:rPr>
                  </w:pPr>
                  <w:r>
                    <w:rPr>
                      <w:rFonts w:ascii="Times New Roman" w:hAnsi="Times New Roman"/>
                      <w:b/>
                      <w:color w:val="auto"/>
                      <w:highlight w:val="none"/>
                    </w:rPr>
                    <w:t>相关法律法规及规划</w:t>
                  </w:r>
                </w:p>
              </w:tc>
              <w:tc>
                <w:tcPr>
                  <w:tcW w:w="210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554A749">
                  <w:pPr>
                    <w:pStyle w:val="33"/>
                    <w:rPr>
                      <w:rFonts w:ascii="Times New Roman" w:hAnsi="Times New Roman"/>
                      <w:b/>
                      <w:color w:val="auto"/>
                      <w:highlight w:val="none"/>
                    </w:rPr>
                  </w:pPr>
                  <w:r>
                    <w:rPr>
                      <w:rFonts w:ascii="Times New Roman" w:hAnsi="Times New Roman"/>
                      <w:b/>
                      <w:color w:val="auto"/>
                      <w:highlight w:val="none"/>
                    </w:rPr>
                    <w:t>文件内容</w:t>
                  </w:r>
                </w:p>
              </w:tc>
              <w:tc>
                <w:tcPr>
                  <w:tcW w:w="1250"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74386E7">
                  <w:pPr>
                    <w:pStyle w:val="33"/>
                    <w:rPr>
                      <w:rFonts w:ascii="Times New Roman" w:hAnsi="Times New Roman"/>
                      <w:b/>
                      <w:color w:val="auto"/>
                      <w:highlight w:val="none"/>
                    </w:rPr>
                  </w:pPr>
                  <w:r>
                    <w:rPr>
                      <w:rFonts w:ascii="Times New Roman" w:hAnsi="Times New Roman"/>
                      <w:b/>
                      <w:color w:val="auto"/>
                      <w:highlight w:val="none"/>
                    </w:rPr>
                    <w:t>本项目情况</w:t>
                  </w:r>
                </w:p>
              </w:tc>
              <w:tc>
                <w:tcPr>
                  <w:tcW w:w="546" w:type="pct"/>
                  <w:tcBorders>
                    <w:top w:val="single" w:color="auto" w:sz="4" w:space="0"/>
                    <w:left w:val="single" w:color="auto" w:sz="4" w:space="0"/>
                    <w:bottom w:val="single" w:color="auto" w:sz="4" w:space="0"/>
                    <w:right w:val="single" w:color="auto" w:sz="4" w:space="0"/>
                  </w:tcBorders>
                  <w:shd w:val="clear" w:color="auto" w:fill="FFFFFF"/>
                  <w:noWrap w:val="0"/>
                  <w:vAlign w:val="center"/>
                </w:tcPr>
                <w:p w14:paraId="04B34849">
                  <w:pPr>
                    <w:pStyle w:val="33"/>
                    <w:rPr>
                      <w:rFonts w:ascii="Times New Roman" w:hAnsi="Times New Roman"/>
                      <w:b/>
                      <w:color w:val="auto"/>
                      <w:highlight w:val="none"/>
                    </w:rPr>
                  </w:pPr>
                  <w:r>
                    <w:rPr>
                      <w:rFonts w:ascii="Times New Roman" w:hAnsi="Times New Roman"/>
                      <w:b/>
                      <w:color w:val="auto"/>
                      <w:highlight w:val="none"/>
                    </w:rPr>
                    <w:t>符合性</w:t>
                  </w:r>
                </w:p>
              </w:tc>
            </w:tr>
            <w:tr w14:paraId="2498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5C90003F">
                  <w:pPr>
                    <w:pStyle w:val="33"/>
                    <w:ind w:firstLine="0" w:firstLineChars="0"/>
                    <w:rPr>
                      <w:rFonts w:ascii="Times New Roman" w:hAnsi="Times New Roman" w:eastAsia="宋体" w:cs="Times New Roman"/>
                      <w:snapToGrid w:val="0"/>
                      <w:color w:val="auto"/>
                      <w:kern w:val="0"/>
                      <w:sz w:val="21"/>
                      <w:szCs w:val="21"/>
                      <w:highlight w:val="none"/>
                      <w:lang w:val="en-US" w:eastAsia="zh-CN" w:bidi="ar-SA"/>
                    </w:rPr>
                  </w:pPr>
                  <w:r>
                    <w:rPr>
                      <w:rFonts w:ascii="Times New Roman" w:hAnsi="Times New Roman"/>
                      <w:color w:val="auto"/>
                      <w:highlight w:val="none"/>
                    </w:rPr>
                    <w:t>1</w:t>
                  </w:r>
                </w:p>
              </w:tc>
              <w:tc>
                <w:tcPr>
                  <w:tcW w:w="758" w:type="pct"/>
                  <w:tcBorders>
                    <w:top w:val="single" w:color="auto" w:sz="4" w:space="0"/>
                    <w:bottom w:val="single" w:color="auto" w:sz="4" w:space="0"/>
                  </w:tcBorders>
                  <w:noWrap w:val="0"/>
                  <w:vAlign w:val="center"/>
                </w:tcPr>
                <w:p w14:paraId="5145A6BE">
                  <w:pPr>
                    <w:adjustRightInd w:val="0"/>
                    <w:snapToGrid w:val="0"/>
                    <w:rPr>
                      <w:rFonts w:hint="eastAsia"/>
                      <w:color w:val="auto"/>
                      <w:szCs w:val="21"/>
                      <w:highlight w:val="none"/>
                    </w:rPr>
                  </w:pPr>
                  <w:r>
                    <w:rPr>
                      <w:rFonts w:hint="eastAsia"/>
                      <w:color w:val="auto"/>
                      <w:szCs w:val="21"/>
                      <w:highlight w:val="none"/>
                    </w:rPr>
                    <w:t>国务院关于印发“十四</w:t>
                  </w:r>
                </w:p>
                <w:p w14:paraId="395ED99B">
                  <w:pPr>
                    <w:adjustRightInd w:val="0"/>
                    <w:snapToGrid w:val="0"/>
                    <w:rPr>
                      <w:rFonts w:hint="eastAsia"/>
                      <w:color w:val="auto"/>
                      <w:szCs w:val="21"/>
                      <w:highlight w:val="none"/>
                    </w:rPr>
                  </w:pPr>
                  <w:r>
                    <w:rPr>
                      <w:rFonts w:hint="eastAsia"/>
                      <w:color w:val="auto"/>
                      <w:szCs w:val="21"/>
                      <w:highlight w:val="none"/>
                    </w:rPr>
                    <w:t>五”节能减排综合工作</w:t>
                  </w:r>
                </w:p>
                <w:p w14:paraId="0090F03D">
                  <w:pPr>
                    <w:adjustRightInd w:val="0"/>
                    <w:snapToGrid w:val="0"/>
                    <w:rPr>
                      <w:rFonts w:hint="eastAsia"/>
                      <w:color w:val="auto"/>
                      <w:szCs w:val="21"/>
                      <w:highlight w:val="none"/>
                    </w:rPr>
                  </w:pPr>
                  <w:r>
                    <w:rPr>
                      <w:rFonts w:hint="eastAsia"/>
                      <w:color w:val="auto"/>
                      <w:szCs w:val="21"/>
                      <w:highlight w:val="none"/>
                    </w:rPr>
                    <w:t>方案的通知（国发</w:t>
                  </w:r>
                </w:p>
                <w:p w14:paraId="19AD927F">
                  <w:pPr>
                    <w:adjustRightInd w:val="0"/>
                    <w:snapToGrid w:val="0"/>
                    <w:rPr>
                      <w:color w:val="auto"/>
                      <w:szCs w:val="21"/>
                      <w:highlight w:val="none"/>
                    </w:rPr>
                  </w:pPr>
                  <w:r>
                    <w:rPr>
                      <w:rFonts w:hint="eastAsia"/>
                      <w:color w:val="auto"/>
                      <w:szCs w:val="21"/>
                      <w:highlight w:val="none"/>
                    </w:rPr>
                    <w:t>〔2021〕33号）</w:t>
                  </w:r>
                </w:p>
              </w:tc>
              <w:tc>
                <w:tcPr>
                  <w:tcW w:w="2106" w:type="pct"/>
                  <w:tcBorders>
                    <w:top w:val="single" w:color="auto" w:sz="4" w:space="0"/>
                    <w:bottom w:val="single" w:color="auto" w:sz="4" w:space="0"/>
                  </w:tcBorders>
                  <w:noWrap w:val="0"/>
                  <w:vAlign w:val="center"/>
                </w:tcPr>
                <w:p w14:paraId="68928A1C">
                  <w:pPr>
                    <w:keepNext w:val="0"/>
                    <w:keepLines w:val="0"/>
                    <w:widowControl/>
                    <w:suppressLineNumbers w:val="0"/>
                    <w:jc w:val="left"/>
                    <w:rPr>
                      <w:color w:val="auto"/>
                      <w:szCs w:val="21"/>
                      <w:highlight w:val="none"/>
                    </w:rPr>
                  </w:pPr>
                  <w:r>
                    <w:rPr>
                      <w:rFonts w:hint="eastAsia" w:ascii="宋体" w:hAnsi="宋体" w:eastAsia="宋体" w:cs="宋体"/>
                      <w:color w:val="auto"/>
                      <w:kern w:val="0"/>
                      <w:sz w:val="21"/>
                      <w:szCs w:val="21"/>
                      <w:highlight w:val="none"/>
                      <w:lang w:val="en-US" w:eastAsia="zh-CN" w:bidi="ar"/>
                    </w:rPr>
                    <w:t>强化农业面源污染防治，推进农药化肥减量增效、秸秆综合利用，加快农膜和农药包装废弃物回收处理。</w:t>
                  </w:r>
                </w:p>
              </w:tc>
              <w:tc>
                <w:tcPr>
                  <w:tcW w:w="1250" w:type="pct"/>
                  <w:tcBorders>
                    <w:top w:val="single" w:color="auto" w:sz="4" w:space="0"/>
                    <w:bottom w:val="single" w:color="auto" w:sz="4" w:space="0"/>
                  </w:tcBorders>
                  <w:noWrap w:val="0"/>
                  <w:vAlign w:val="center"/>
                </w:tcPr>
                <w:p w14:paraId="7D32DBF2">
                  <w:pPr>
                    <w:keepNext w:val="0"/>
                    <w:keepLines w:val="0"/>
                    <w:widowControl/>
                    <w:suppressLineNumbers w:val="0"/>
                    <w:jc w:val="left"/>
                    <w:rPr>
                      <w:rFonts w:ascii="Times New Roman" w:hAnsi="Times New Roman"/>
                      <w:color w:val="auto"/>
                      <w:highlight w:val="none"/>
                    </w:rPr>
                  </w:pPr>
                  <w:r>
                    <w:rPr>
                      <w:rFonts w:hint="eastAsia" w:ascii="宋体" w:hAnsi="宋体" w:eastAsia="宋体" w:cs="宋体"/>
                      <w:color w:val="auto"/>
                      <w:kern w:val="0"/>
                      <w:sz w:val="21"/>
                      <w:szCs w:val="21"/>
                      <w:highlight w:val="none"/>
                      <w:lang w:val="en-US" w:eastAsia="zh-CN" w:bidi="ar"/>
                    </w:rPr>
                    <w:t>本项目利用秸秆、废弃果树</w:t>
                  </w:r>
                  <w:r>
                    <w:rPr>
                      <w:rFonts w:hint="eastAsia" w:ascii="宋体" w:hAnsi="宋体" w:cs="宋体"/>
                      <w:color w:val="auto"/>
                      <w:kern w:val="0"/>
                      <w:sz w:val="21"/>
                      <w:szCs w:val="21"/>
                      <w:highlight w:val="none"/>
                      <w:lang w:val="en-US" w:eastAsia="zh-CN" w:bidi="ar"/>
                    </w:rPr>
                    <w:t>枝干</w:t>
                  </w:r>
                  <w:r>
                    <w:rPr>
                      <w:rFonts w:hint="eastAsia" w:ascii="宋体" w:hAnsi="宋体" w:eastAsia="宋体" w:cs="宋体"/>
                      <w:color w:val="auto"/>
                      <w:kern w:val="0"/>
                      <w:sz w:val="21"/>
                      <w:szCs w:val="21"/>
                      <w:highlight w:val="none"/>
                      <w:lang w:val="en-US" w:eastAsia="zh-CN" w:bidi="ar"/>
                    </w:rPr>
                    <w:t>等生产生物质燃气，可以有效进行秸秆综合利用。</w:t>
                  </w:r>
                </w:p>
              </w:tc>
              <w:tc>
                <w:tcPr>
                  <w:tcW w:w="546" w:type="pct"/>
                  <w:tcBorders>
                    <w:top w:val="single" w:color="auto" w:sz="4" w:space="0"/>
                    <w:bottom w:val="single" w:color="auto" w:sz="4" w:space="0"/>
                  </w:tcBorders>
                  <w:noWrap w:val="0"/>
                  <w:vAlign w:val="center"/>
                </w:tcPr>
                <w:p w14:paraId="26C4593E">
                  <w:pPr>
                    <w:pStyle w:val="33"/>
                    <w:rPr>
                      <w:rFonts w:hint="eastAsia"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符合</w:t>
                  </w:r>
                </w:p>
              </w:tc>
            </w:tr>
            <w:tr w14:paraId="2332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0302DDA6">
                  <w:pPr>
                    <w:pStyle w:val="33"/>
                    <w:ind w:firstLine="0" w:firstLineChars="0"/>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2</w:t>
                  </w:r>
                </w:p>
              </w:tc>
              <w:tc>
                <w:tcPr>
                  <w:tcW w:w="758" w:type="pct"/>
                  <w:tcBorders>
                    <w:top w:val="single" w:color="auto" w:sz="4" w:space="0"/>
                    <w:bottom w:val="single" w:color="auto" w:sz="4" w:space="0"/>
                  </w:tcBorders>
                  <w:noWrap w:val="0"/>
                  <w:vAlign w:val="center"/>
                </w:tcPr>
                <w:p w14:paraId="1C1AAD64">
                  <w:pPr>
                    <w:adjustRightInd w:val="0"/>
                    <w:snapToGrid w:val="0"/>
                    <w:rPr>
                      <w:rFonts w:ascii="Times New Roman" w:hAnsi="Times New Roman"/>
                      <w:color w:val="auto"/>
                      <w:highlight w:val="none"/>
                      <w:lang w:val="zh-CN"/>
                    </w:rPr>
                  </w:pPr>
                  <w:r>
                    <w:rPr>
                      <w:color w:val="auto"/>
                      <w:szCs w:val="21"/>
                      <w:highlight w:val="none"/>
                    </w:rPr>
                    <w:t>《关于进一步加快推进农作物秸秆综合利用和禁烧工作的通知》（2015年11月）</w:t>
                  </w:r>
                </w:p>
              </w:tc>
              <w:tc>
                <w:tcPr>
                  <w:tcW w:w="2106" w:type="pct"/>
                  <w:tcBorders>
                    <w:top w:val="single" w:color="auto" w:sz="4" w:space="0"/>
                    <w:bottom w:val="single" w:color="auto" w:sz="4" w:space="0"/>
                  </w:tcBorders>
                  <w:noWrap w:val="0"/>
                  <w:vAlign w:val="center"/>
                </w:tcPr>
                <w:p w14:paraId="0CF2BFF8">
                  <w:pPr>
                    <w:adjustRightInd w:val="0"/>
                    <w:snapToGrid w:val="0"/>
                    <w:rPr>
                      <w:rFonts w:ascii="Times New Roman" w:hAnsi="Times New Roman"/>
                      <w:bCs/>
                      <w:color w:val="auto"/>
                      <w:highlight w:val="none"/>
                    </w:rPr>
                  </w:pPr>
                  <w:r>
                    <w:rPr>
                      <w:color w:val="auto"/>
                      <w:szCs w:val="21"/>
                      <w:highlight w:val="none"/>
                    </w:rPr>
                    <w:t>力争到2020年，全国秸秆综合利用率达到85%以上；秸秆焚烧火点数或过火面积较2016年下降5%，在人口集中区域、机场周边和交通干线沿线以及地方政府划定的区域内，基本消除露天焚烧秸秆现象</w:t>
                  </w:r>
                  <w:r>
                    <w:rPr>
                      <w:rFonts w:hint="eastAsia"/>
                      <w:color w:val="auto"/>
                      <w:szCs w:val="21"/>
                      <w:highlight w:val="none"/>
                    </w:rPr>
                    <w:t>。</w:t>
                  </w:r>
                </w:p>
              </w:tc>
              <w:tc>
                <w:tcPr>
                  <w:tcW w:w="1250" w:type="pct"/>
                  <w:tcBorders>
                    <w:top w:val="single" w:color="auto" w:sz="4" w:space="0"/>
                    <w:bottom w:val="single" w:color="auto" w:sz="4" w:space="0"/>
                  </w:tcBorders>
                  <w:noWrap w:val="0"/>
                  <w:vAlign w:val="center"/>
                </w:tcPr>
                <w:p w14:paraId="69B05A82">
                  <w:pPr>
                    <w:pStyle w:val="33"/>
                    <w:jc w:val="both"/>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本项目每年处理农作物秸秆</w:t>
                  </w:r>
                  <w:r>
                    <w:rPr>
                      <w:rFonts w:hint="eastAsia" w:ascii="Times New Roman" w:hAnsi="Times New Roman"/>
                      <w:color w:val="auto"/>
                      <w:highlight w:val="none"/>
                      <w:lang w:val="en-US" w:eastAsia="zh-CN"/>
                    </w:rPr>
                    <w:t>2万</w:t>
                  </w:r>
                  <w:r>
                    <w:rPr>
                      <w:rFonts w:hint="default" w:ascii="Times New Roman" w:hAnsi="Times New Roman" w:eastAsia="宋体"/>
                      <w:color w:val="auto"/>
                      <w:highlight w:val="none"/>
                      <w:lang w:val="en-US" w:eastAsia="zh-CN"/>
                    </w:rPr>
                    <w:t>t/a，本项目可有效将农业废弃物燃料化，提高</w:t>
                  </w:r>
                  <w:r>
                    <w:rPr>
                      <w:rFonts w:hint="eastAsia" w:ascii="Times New Roman" w:hAnsi="Times New Roman"/>
                      <w:color w:val="auto"/>
                      <w:highlight w:val="none"/>
                      <w:lang w:val="en-US" w:eastAsia="zh-CN"/>
                    </w:rPr>
                    <w:t>洋县</w:t>
                  </w:r>
                  <w:r>
                    <w:rPr>
                      <w:rFonts w:hint="default" w:ascii="Times New Roman" w:hAnsi="Times New Roman" w:eastAsia="宋体"/>
                      <w:color w:val="auto"/>
                      <w:highlight w:val="none"/>
                      <w:lang w:val="en-US" w:eastAsia="zh-CN"/>
                    </w:rPr>
                    <w:t>秸秆综合利用率。</w:t>
                  </w:r>
                </w:p>
              </w:tc>
              <w:tc>
                <w:tcPr>
                  <w:tcW w:w="546" w:type="pct"/>
                  <w:tcBorders>
                    <w:top w:val="single" w:color="auto" w:sz="4" w:space="0"/>
                    <w:bottom w:val="single" w:color="auto" w:sz="4" w:space="0"/>
                  </w:tcBorders>
                  <w:noWrap w:val="0"/>
                  <w:vAlign w:val="center"/>
                </w:tcPr>
                <w:p w14:paraId="2F7188FF">
                  <w:pPr>
                    <w:pStyle w:val="33"/>
                    <w:rPr>
                      <w:rFonts w:ascii="Times New Roman" w:hAnsi="Times New Roman"/>
                      <w:color w:val="auto"/>
                      <w:highlight w:val="none"/>
                    </w:rPr>
                  </w:pPr>
                  <w:r>
                    <w:rPr>
                      <w:rFonts w:ascii="Times New Roman" w:hAnsi="Times New Roman"/>
                      <w:color w:val="auto"/>
                      <w:highlight w:val="none"/>
                    </w:rPr>
                    <w:t>符合</w:t>
                  </w:r>
                </w:p>
              </w:tc>
            </w:tr>
            <w:tr w14:paraId="64DC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772D2511">
                  <w:pPr>
                    <w:pStyle w:val="33"/>
                    <w:ind w:firstLine="0" w:firstLineChars="0"/>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3</w:t>
                  </w:r>
                </w:p>
              </w:tc>
              <w:tc>
                <w:tcPr>
                  <w:tcW w:w="758" w:type="pct"/>
                  <w:tcBorders>
                    <w:top w:val="single" w:color="auto" w:sz="4" w:space="0"/>
                    <w:bottom w:val="single" w:color="auto" w:sz="4" w:space="0"/>
                  </w:tcBorders>
                  <w:noWrap w:val="0"/>
                  <w:vAlign w:val="center"/>
                </w:tcPr>
                <w:p w14:paraId="17DB51A0">
                  <w:pPr>
                    <w:adjustRightInd w:val="0"/>
                    <w:snapToGrid w:val="0"/>
                    <w:rPr>
                      <w:rFonts w:hint="eastAsia" w:ascii="Times New Roman" w:hAnsi="Times New Roman"/>
                      <w:color w:val="auto"/>
                      <w:highlight w:val="none"/>
                      <w:lang w:val="zh-CN"/>
                    </w:rPr>
                  </w:pPr>
                  <w:r>
                    <w:rPr>
                      <w:color w:val="auto"/>
                      <w:szCs w:val="21"/>
                      <w:highlight w:val="none"/>
                    </w:rPr>
                    <w:t>《关于推进农业废弃物资源化利用试点的方案》（2016年8月）</w:t>
                  </w:r>
                </w:p>
              </w:tc>
              <w:tc>
                <w:tcPr>
                  <w:tcW w:w="2106" w:type="pct"/>
                  <w:tcBorders>
                    <w:top w:val="single" w:color="auto" w:sz="4" w:space="0"/>
                    <w:bottom w:val="single" w:color="auto" w:sz="4" w:space="0"/>
                  </w:tcBorders>
                  <w:noWrap w:val="0"/>
                  <w:vAlign w:val="center"/>
                </w:tcPr>
                <w:p w14:paraId="48E4243E">
                  <w:pPr>
                    <w:adjustRightInd w:val="0"/>
                    <w:snapToGrid w:val="0"/>
                    <w:rPr>
                      <w:rFonts w:hint="eastAsia" w:ascii="Times New Roman" w:hAnsi="Times New Roman" w:eastAsia="宋体"/>
                      <w:bCs/>
                      <w:color w:val="auto"/>
                      <w:highlight w:val="none"/>
                      <w:lang w:val="en-US" w:eastAsia="zh-CN"/>
                    </w:rPr>
                  </w:pPr>
                  <w:r>
                    <w:rPr>
                      <w:color w:val="auto"/>
                      <w:szCs w:val="21"/>
                      <w:highlight w:val="none"/>
                    </w:rPr>
                    <w:t>采取肥料化、饲料化、燃料化、基料化、原料化等多种途径，着力提升秸秆综合利用水平，到2020年秸秆综合利用率达到85%以上</w:t>
                  </w:r>
                  <w:r>
                    <w:rPr>
                      <w:rFonts w:hint="eastAsia"/>
                      <w:color w:val="auto"/>
                      <w:szCs w:val="21"/>
                      <w:highlight w:val="none"/>
                    </w:rPr>
                    <w:t>。</w:t>
                  </w:r>
                </w:p>
              </w:tc>
              <w:tc>
                <w:tcPr>
                  <w:tcW w:w="1250" w:type="pct"/>
                  <w:tcBorders>
                    <w:top w:val="single" w:color="auto" w:sz="4" w:space="0"/>
                  </w:tcBorders>
                  <w:noWrap w:val="0"/>
                  <w:vAlign w:val="center"/>
                </w:tcPr>
                <w:p w14:paraId="1FF362A6">
                  <w:pPr>
                    <w:pStyle w:val="33"/>
                    <w:jc w:val="both"/>
                    <w:rPr>
                      <w:rFonts w:hint="eastAsia" w:ascii="Times New Roman" w:hAnsi="Times New Roman" w:eastAsia="宋体"/>
                      <w:color w:val="auto"/>
                      <w:highlight w:val="none"/>
                      <w:lang w:eastAsia="zh-CN"/>
                    </w:rPr>
                  </w:pPr>
                  <w:r>
                    <w:rPr>
                      <w:rFonts w:hint="default" w:ascii="Times New Roman" w:hAnsi="Times New Roman" w:eastAsia="宋体"/>
                      <w:color w:val="auto"/>
                      <w:highlight w:val="none"/>
                      <w:lang w:val="en-US" w:eastAsia="zh-CN"/>
                    </w:rPr>
                    <w:t>本项目可有效将农业废弃物燃料化，提高</w:t>
                  </w:r>
                  <w:r>
                    <w:rPr>
                      <w:rFonts w:hint="eastAsia" w:ascii="Times New Roman" w:hAnsi="Times New Roman"/>
                      <w:color w:val="auto"/>
                      <w:highlight w:val="none"/>
                      <w:lang w:val="en-US" w:eastAsia="zh-CN"/>
                    </w:rPr>
                    <w:t>洋县</w:t>
                  </w:r>
                  <w:r>
                    <w:rPr>
                      <w:rFonts w:hint="default" w:ascii="Times New Roman" w:hAnsi="Times New Roman" w:eastAsia="宋体"/>
                      <w:color w:val="auto"/>
                      <w:highlight w:val="none"/>
                      <w:lang w:val="en-US" w:eastAsia="zh-CN"/>
                    </w:rPr>
                    <w:t>秸秆综合利用率。</w:t>
                  </w:r>
                </w:p>
              </w:tc>
              <w:tc>
                <w:tcPr>
                  <w:tcW w:w="546" w:type="pct"/>
                  <w:tcBorders>
                    <w:top w:val="single" w:color="auto" w:sz="4" w:space="0"/>
                    <w:bottom w:val="single" w:color="auto" w:sz="4" w:space="0"/>
                  </w:tcBorders>
                  <w:noWrap w:val="0"/>
                  <w:vAlign w:val="center"/>
                </w:tcPr>
                <w:p w14:paraId="75776D45">
                  <w:pPr>
                    <w:pStyle w:val="33"/>
                    <w:rPr>
                      <w:rFonts w:ascii="Times New Roman" w:hAnsi="Times New Roman"/>
                      <w:color w:val="auto"/>
                      <w:highlight w:val="none"/>
                    </w:rPr>
                  </w:pPr>
                  <w:r>
                    <w:rPr>
                      <w:rFonts w:ascii="Times New Roman" w:hAnsi="Times New Roman"/>
                      <w:color w:val="auto"/>
                      <w:highlight w:val="none"/>
                    </w:rPr>
                    <w:t>符合</w:t>
                  </w:r>
                </w:p>
              </w:tc>
            </w:tr>
            <w:tr w14:paraId="5805A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09531202">
                  <w:pPr>
                    <w:pStyle w:val="33"/>
                    <w:ind w:firstLine="0" w:firstLineChars="0"/>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4</w:t>
                  </w:r>
                </w:p>
              </w:tc>
              <w:tc>
                <w:tcPr>
                  <w:tcW w:w="758" w:type="pct"/>
                  <w:tcBorders>
                    <w:top w:val="single" w:color="auto" w:sz="4" w:space="0"/>
                    <w:bottom w:val="single" w:color="auto" w:sz="4" w:space="0"/>
                  </w:tcBorders>
                  <w:noWrap w:val="0"/>
                  <w:vAlign w:val="center"/>
                </w:tcPr>
                <w:p w14:paraId="32B13217">
                  <w:pPr>
                    <w:adjustRightInd w:val="0"/>
                    <w:snapToGrid w:val="0"/>
                    <w:rPr>
                      <w:rFonts w:hint="eastAsia" w:ascii="Times New Roman" w:hAnsi="Times New Roman" w:eastAsia="宋体" w:cs="Times New Roman"/>
                      <w:color w:val="auto"/>
                      <w:kern w:val="2"/>
                      <w:sz w:val="21"/>
                      <w:szCs w:val="21"/>
                      <w:highlight w:val="none"/>
                      <w:lang w:val="zh-CN" w:eastAsia="zh-CN" w:bidi="ar-SA"/>
                    </w:rPr>
                  </w:pPr>
                  <w:r>
                    <w:rPr>
                      <w:color w:val="auto"/>
                      <w:szCs w:val="21"/>
                      <w:highlight w:val="none"/>
                    </w:rPr>
                    <w:t>《农业综合开发区域生态循环农业项目指引》（2017-2020）</w:t>
                  </w:r>
                </w:p>
              </w:tc>
              <w:tc>
                <w:tcPr>
                  <w:tcW w:w="2106" w:type="pct"/>
                  <w:tcBorders>
                    <w:top w:val="single" w:color="auto" w:sz="4" w:space="0"/>
                    <w:bottom w:val="single" w:color="auto" w:sz="4" w:space="0"/>
                  </w:tcBorders>
                  <w:noWrap w:val="0"/>
                  <w:vAlign w:val="center"/>
                </w:tcPr>
                <w:p w14:paraId="719BC86B">
                  <w:pPr>
                    <w:adjustRightInd w:val="0"/>
                    <w:snapToGrid w:val="0"/>
                    <w:rPr>
                      <w:rFonts w:hint="eastAsia" w:ascii="Times New Roman" w:hAnsi="Times New Roman" w:eastAsia="宋体" w:cs="Times New Roman"/>
                      <w:color w:val="auto"/>
                      <w:kern w:val="2"/>
                      <w:sz w:val="21"/>
                      <w:szCs w:val="21"/>
                      <w:highlight w:val="none"/>
                      <w:lang w:val="en-US" w:eastAsia="zh-CN" w:bidi="ar-SA"/>
                    </w:rPr>
                  </w:pPr>
                  <w:r>
                    <w:rPr>
                      <w:color w:val="auto"/>
                      <w:szCs w:val="21"/>
                      <w:highlight w:val="none"/>
                    </w:rPr>
                    <w:t>对农作物秸秆及农产品加工剩余物等农副资源进行饲料化、肥料化、基料化、燃料化等综合开发，促进农业废弃物资源化利用</w:t>
                  </w:r>
                  <w:r>
                    <w:rPr>
                      <w:rFonts w:hint="eastAsia"/>
                      <w:color w:val="auto"/>
                      <w:szCs w:val="21"/>
                      <w:highlight w:val="none"/>
                    </w:rPr>
                    <w:t>。</w:t>
                  </w:r>
                </w:p>
              </w:tc>
              <w:tc>
                <w:tcPr>
                  <w:tcW w:w="1250" w:type="pct"/>
                  <w:tcBorders>
                    <w:top w:val="single" w:color="auto" w:sz="4" w:space="0"/>
                    <w:bottom w:val="single" w:color="auto" w:sz="4" w:space="0"/>
                  </w:tcBorders>
                  <w:noWrap w:val="0"/>
                  <w:vAlign w:val="center"/>
                </w:tcPr>
                <w:p w14:paraId="7E94AB9A">
                  <w:pPr>
                    <w:pStyle w:val="33"/>
                    <w:jc w:val="both"/>
                    <w:rPr>
                      <w:rFonts w:hint="default" w:ascii="Times New Roman" w:hAnsi="Times New Roman" w:eastAsia="宋体"/>
                      <w:color w:val="auto"/>
                      <w:highlight w:val="none"/>
                      <w:lang w:val="en-US" w:eastAsia="zh-CN"/>
                    </w:rPr>
                  </w:pPr>
                  <w:r>
                    <w:rPr>
                      <w:rFonts w:hint="eastAsia"/>
                      <w:color w:val="auto"/>
                      <w:szCs w:val="21"/>
                      <w:highlight w:val="none"/>
                    </w:rPr>
                    <w:t>本项目</w:t>
                  </w:r>
                  <w:r>
                    <w:rPr>
                      <w:color w:val="auto"/>
                      <w:szCs w:val="21"/>
                      <w:highlight w:val="none"/>
                    </w:rPr>
                    <w:t>可有效将农业废弃物燃料化，</w:t>
                  </w:r>
                  <w:r>
                    <w:rPr>
                      <w:rFonts w:hint="eastAsia"/>
                      <w:color w:val="auto"/>
                      <w:szCs w:val="21"/>
                      <w:highlight w:val="none"/>
                      <w:lang w:val="en-US" w:eastAsia="zh-CN"/>
                    </w:rPr>
                    <w:t>产出环保烧烤炭、有机肥、秸秆混合燃气，提高洋县秸秆综合利用率。</w:t>
                  </w:r>
                </w:p>
              </w:tc>
              <w:tc>
                <w:tcPr>
                  <w:tcW w:w="546" w:type="pct"/>
                  <w:tcBorders>
                    <w:top w:val="single" w:color="auto" w:sz="4" w:space="0"/>
                    <w:bottom w:val="single" w:color="auto" w:sz="4" w:space="0"/>
                  </w:tcBorders>
                  <w:noWrap w:val="0"/>
                  <w:vAlign w:val="center"/>
                </w:tcPr>
                <w:p w14:paraId="1EFFC3FD">
                  <w:pPr>
                    <w:pStyle w:val="33"/>
                    <w:ind w:firstLine="0" w:firstLineChars="0"/>
                    <w:rPr>
                      <w:rFonts w:ascii="Times New Roman" w:hAnsi="Times New Roman"/>
                      <w:color w:val="auto"/>
                      <w:highlight w:val="none"/>
                    </w:rPr>
                  </w:pPr>
                </w:p>
              </w:tc>
            </w:tr>
            <w:tr w14:paraId="3424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26EC4DDA">
                  <w:pPr>
                    <w:pStyle w:val="33"/>
                    <w:ind w:firstLine="0" w:firstLineChars="0"/>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5</w:t>
                  </w:r>
                </w:p>
              </w:tc>
              <w:tc>
                <w:tcPr>
                  <w:tcW w:w="758" w:type="pct"/>
                  <w:tcBorders>
                    <w:top w:val="single" w:color="auto" w:sz="4" w:space="0"/>
                    <w:bottom w:val="single" w:color="auto" w:sz="4" w:space="0"/>
                  </w:tcBorders>
                  <w:noWrap w:val="0"/>
                  <w:vAlign w:val="center"/>
                </w:tcPr>
                <w:p w14:paraId="18A46629">
                  <w:pPr>
                    <w:adjustRightInd w:val="0"/>
                    <w:snapToGrid w:val="0"/>
                    <w:rPr>
                      <w:rFonts w:hint="eastAsia" w:ascii="Times New Roman" w:hAnsi="Times New Roman" w:eastAsia="宋体" w:cs="Times New Roman"/>
                      <w:color w:val="auto"/>
                      <w:kern w:val="2"/>
                      <w:sz w:val="21"/>
                      <w:szCs w:val="21"/>
                      <w:highlight w:val="none"/>
                      <w:lang w:val="zh-CN" w:eastAsia="zh-CN" w:bidi="ar-SA"/>
                    </w:rPr>
                  </w:pPr>
                  <w:r>
                    <w:rPr>
                      <w:rFonts w:hint="eastAsia" w:ascii="Times New Roman" w:hAnsi="Times New Roman" w:eastAsia="宋体" w:cs="Times New Roman"/>
                      <w:color w:val="auto"/>
                      <w:kern w:val="2"/>
                      <w:sz w:val="21"/>
                      <w:szCs w:val="21"/>
                      <w:highlight w:val="none"/>
                      <w:lang w:val="zh-CN" w:eastAsia="zh-CN" w:bidi="ar-SA"/>
                    </w:rPr>
                    <w:t>《汉中市2023年大气污染治理专项行动方案》</w:t>
                  </w:r>
                </w:p>
              </w:tc>
              <w:tc>
                <w:tcPr>
                  <w:tcW w:w="2106" w:type="pct"/>
                  <w:tcBorders>
                    <w:top w:val="single" w:color="auto" w:sz="4" w:space="0"/>
                    <w:bottom w:val="single" w:color="auto" w:sz="4" w:space="0"/>
                  </w:tcBorders>
                  <w:noWrap w:val="0"/>
                  <w:vAlign w:val="center"/>
                </w:tcPr>
                <w:p w14:paraId="418A8423">
                  <w:pPr>
                    <w:adjustRightInd w:val="0"/>
                    <w:snapToGrid w:val="0"/>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各县区要加强散煤煤质监管，确保煤质符合《GB34169－2017商品煤质量民用散煤》要求，重点做好山区供应保障；要落实好网格化监管责任，强化法律政策宣传，依法加大高污染燃料禁燃力度，最大限度杜绝燃用散煤和焚烧秸秆等燃烧问题。高污染燃料禁燃区内禁止销售、使用原煤等高污染燃料（35蒸吨及以上锅炉、火力发电企业机组除外）。严格散煤生产、加工、储运、销售、使用环节监管，加强对以直送、网络等方式流动销售散煤行为的监督检查。全面推动生物质综合利用，进一步完善秸秆等农业废弃物统一纳入捡拾、收集、运输、处理的闭环处理处置体系，推进秸秆“五化”综合利用。</w:t>
                  </w:r>
                </w:p>
              </w:tc>
              <w:tc>
                <w:tcPr>
                  <w:tcW w:w="1250" w:type="pct"/>
                  <w:tcBorders>
                    <w:top w:val="single" w:color="auto" w:sz="4" w:space="0"/>
                    <w:bottom w:val="single" w:color="auto" w:sz="4" w:space="0"/>
                  </w:tcBorders>
                  <w:noWrap w:val="0"/>
                  <w:vAlign w:val="center"/>
                </w:tcPr>
                <w:p w14:paraId="4AB3AD53">
                  <w:pPr>
                    <w:pStyle w:val="33"/>
                    <w:jc w:val="both"/>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本项目的实施将加强秸秆的综合利用，提升洋县的秸秆综合利用率，最大限度减少焚烧秸秆的问题，有助于形成秸秆的闭环处理处置体系，推进秸秆“五化”利用。</w:t>
                  </w:r>
                </w:p>
              </w:tc>
              <w:tc>
                <w:tcPr>
                  <w:tcW w:w="546" w:type="pct"/>
                  <w:tcBorders>
                    <w:top w:val="single" w:color="auto" w:sz="4" w:space="0"/>
                    <w:bottom w:val="single" w:color="auto" w:sz="4" w:space="0"/>
                  </w:tcBorders>
                  <w:noWrap w:val="0"/>
                  <w:vAlign w:val="center"/>
                </w:tcPr>
                <w:p w14:paraId="55928564">
                  <w:pPr>
                    <w:pStyle w:val="33"/>
                    <w:ind w:firstLine="0" w:firstLineChars="0"/>
                    <w:rPr>
                      <w:rFonts w:ascii="Times New Roman" w:hAnsi="Times New Roman"/>
                      <w:color w:val="auto"/>
                      <w:highlight w:val="none"/>
                    </w:rPr>
                  </w:pPr>
                  <w:r>
                    <w:rPr>
                      <w:rFonts w:ascii="Times New Roman" w:hAnsi="Times New Roman"/>
                      <w:color w:val="auto"/>
                      <w:highlight w:val="none"/>
                    </w:rPr>
                    <w:t>符合</w:t>
                  </w:r>
                </w:p>
              </w:tc>
            </w:tr>
            <w:tr w14:paraId="1AB0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tcBorders>
                  <w:noWrap w:val="0"/>
                  <w:vAlign w:val="center"/>
                </w:tcPr>
                <w:p w14:paraId="0341FB17">
                  <w:pPr>
                    <w:pStyle w:val="33"/>
                    <w:ind w:firstLine="0" w:firstLineChars="0"/>
                    <w:rPr>
                      <w:rFonts w:hint="eastAsia"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6</w:t>
                  </w:r>
                </w:p>
              </w:tc>
              <w:tc>
                <w:tcPr>
                  <w:tcW w:w="758" w:type="pct"/>
                  <w:tcBorders>
                    <w:top w:val="single" w:color="auto" w:sz="4" w:space="0"/>
                  </w:tcBorders>
                  <w:noWrap w:val="0"/>
                  <w:vAlign w:val="center"/>
                </w:tcPr>
                <w:p w14:paraId="27FC29A5">
                  <w:pPr>
                    <w:pStyle w:val="49"/>
                    <w:bidi w:val="0"/>
                    <w:rPr>
                      <w:rFonts w:hint="eastAsia"/>
                      <w:color w:val="auto"/>
                      <w:highlight w:val="none"/>
                      <w:lang w:val="zh-CN" w:eastAsia="zh-CN"/>
                    </w:rPr>
                  </w:pPr>
                  <w:r>
                    <w:rPr>
                      <w:rFonts w:hint="eastAsia"/>
                      <w:color w:val="auto"/>
                      <w:highlight w:val="none"/>
                    </w:rPr>
                    <w:t>《</w:t>
                  </w:r>
                  <w:r>
                    <w:rPr>
                      <w:color w:val="auto"/>
                      <w:highlight w:val="none"/>
                    </w:rPr>
                    <w:t>工业炉窑大气污染综合治理方案</w:t>
                  </w:r>
                  <w:r>
                    <w:rPr>
                      <w:rFonts w:hint="eastAsia"/>
                      <w:color w:val="auto"/>
                      <w:highlight w:val="none"/>
                    </w:rPr>
                    <w:t>》</w:t>
                  </w:r>
                  <w:r>
                    <w:rPr>
                      <w:rFonts w:hint="eastAsia"/>
                      <w:color w:val="auto"/>
                      <w:highlight w:val="none"/>
                      <w:lang w:eastAsia="zh-CN"/>
                    </w:rPr>
                    <w:t>（</w:t>
                  </w:r>
                  <w:r>
                    <w:rPr>
                      <w:rFonts w:hint="eastAsia"/>
                      <w:color w:val="auto"/>
                      <w:highlight w:val="none"/>
                    </w:rPr>
                    <w:t>环大气〔2019〕56号</w:t>
                  </w:r>
                  <w:r>
                    <w:rPr>
                      <w:rFonts w:hint="eastAsia"/>
                      <w:color w:val="auto"/>
                      <w:highlight w:val="none"/>
                      <w:lang w:eastAsia="zh-CN"/>
                    </w:rPr>
                    <w:t>）</w:t>
                  </w:r>
                </w:p>
              </w:tc>
              <w:tc>
                <w:tcPr>
                  <w:tcW w:w="2106" w:type="pct"/>
                  <w:tcBorders>
                    <w:top w:val="single" w:color="auto" w:sz="4" w:space="0"/>
                    <w:bottom w:val="single" w:color="auto" w:sz="4" w:space="0"/>
                  </w:tcBorders>
                  <w:noWrap w:val="0"/>
                  <w:vAlign w:val="center"/>
                </w:tcPr>
                <w:p w14:paraId="1F223A4E">
                  <w:pPr>
                    <w:pStyle w:val="49"/>
                    <w:bidi w:val="0"/>
                    <w:rPr>
                      <w:rFonts w:hint="eastAsia"/>
                      <w:color w:val="auto"/>
                      <w:highlight w:val="none"/>
                      <w:lang w:val="en-US" w:eastAsia="zh-CN"/>
                    </w:rPr>
                  </w:pPr>
                  <w:r>
                    <w:rPr>
                      <w:color w:val="auto"/>
                      <w:highlight w:val="none"/>
                    </w:rPr>
                    <w:t>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w:t>
                  </w:r>
                  <w:r>
                    <w:rPr>
                      <w:rFonts w:hint="eastAsia"/>
                      <w:color w:val="auto"/>
                      <w:highlight w:val="none"/>
                    </w:rPr>
                    <w:t>。</w:t>
                  </w:r>
                </w:p>
              </w:tc>
              <w:tc>
                <w:tcPr>
                  <w:tcW w:w="1250" w:type="pct"/>
                  <w:tcBorders>
                    <w:top w:val="single" w:color="auto" w:sz="4" w:space="0"/>
                  </w:tcBorders>
                  <w:noWrap w:val="0"/>
                  <w:vAlign w:val="center"/>
                </w:tcPr>
                <w:p w14:paraId="29AB7E65">
                  <w:pPr>
                    <w:pStyle w:val="49"/>
                    <w:bidi w:val="0"/>
                    <w:rPr>
                      <w:rFonts w:hint="eastAsia"/>
                      <w:color w:val="auto"/>
                      <w:highlight w:val="none"/>
                      <w:lang w:val="en-US" w:eastAsia="zh-CN"/>
                    </w:rPr>
                  </w:pPr>
                  <w:r>
                    <w:rPr>
                      <w:rFonts w:hint="eastAsia"/>
                      <w:color w:val="auto"/>
                      <w:highlight w:val="none"/>
                    </w:rPr>
                    <w:t>本项目为农作物秸秆综合利用项目，</w:t>
                  </w:r>
                  <w:r>
                    <w:rPr>
                      <w:rFonts w:hint="eastAsia"/>
                      <w:color w:val="auto"/>
                      <w:highlight w:val="none"/>
                      <w:lang w:val="en-US" w:eastAsia="zh-CN"/>
                    </w:rPr>
                    <w:t>属于废弃资源综合利用，</w:t>
                  </w:r>
                </w:p>
                <w:p w14:paraId="60AC8574">
                  <w:pPr>
                    <w:pStyle w:val="49"/>
                    <w:bidi w:val="0"/>
                    <w:rPr>
                      <w:rFonts w:hint="default" w:eastAsia="宋体"/>
                      <w:color w:val="auto"/>
                      <w:highlight w:val="none"/>
                      <w:lang w:val="en-US" w:eastAsia="zh-CN"/>
                    </w:rPr>
                  </w:pPr>
                  <w:r>
                    <w:rPr>
                      <w:rFonts w:hint="eastAsia"/>
                      <w:color w:val="auto"/>
                      <w:highlight w:val="none"/>
                    </w:rPr>
                    <w:t>项目通过配套建设的炭化炉制作机制木炭和粉碎造粒等工序制作生物质颗粒，主要为了解决农村秸秆乱丢、乱放、乱烧等资源浪费、危害环境问题。</w:t>
                  </w:r>
                  <w:r>
                    <w:rPr>
                      <w:rFonts w:hint="eastAsia"/>
                      <w:color w:val="auto"/>
                      <w:highlight w:val="none"/>
                      <w:lang w:val="en-US" w:eastAsia="zh-CN"/>
                    </w:rPr>
                    <w:t>粉碎、烘干废气经袋式除尘和低氮燃烧处理后，经15m高排气筒排放。</w:t>
                  </w:r>
                </w:p>
              </w:tc>
              <w:tc>
                <w:tcPr>
                  <w:tcW w:w="546" w:type="pct"/>
                  <w:tcBorders>
                    <w:top w:val="single" w:color="auto" w:sz="4" w:space="0"/>
                  </w:tcBorders>
                  <w:noWrap w:val="0"/>
                  <w:vAlign w:val="center"/>
                </w:tcPr>
                <w:p w14:paraId="2082F428">
                  <w:pPr>
                    <w:pStyle w:val="33"/>
                    <w:ind w:firstLine="0" w:firstLineChars="0"/>
                    <w:rPr>
                      <w:rFonts w:ascii="Times New Roman" w:hAnsi="Times New Roman"/>
                      <w:color w:val="auto"/>
                      <w:highlight w:val="none"/>
                    </w:rPr>
                  </w:pPr>
                  <w:r>
                    <w:rPr>
                      <w:rFonts w:ascii="Times New Roman" w:hAnsi="Times New Roman"/>
                      <w:color w:val="auto"/>
                      <w:highlight w:val="none"/>
                    </w:rPr>
                    <w:t>符合</w:t>
                  </w:r>
                </w:p>
              </w:tc>
            </w:tr>
            <w:tr w14:paraId="3324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2A6961A6">
                  <w:pPr>
                    <w:pStyle w:val="33"/>
                    <w:ind w:firstLine="0" w:firstLineChars="0"/>
                    <w:rPr>
                      <w:rFonts w:hint="default" w:ascii="Times New Roman" w:hAnsi="Times New Roman" w:eastAsia="宋体" w:cs="Times New Roman"/>
                      <w:snapToGrid w:val="0"/>
                      <w:color w:val="auto"/>
                      <w:kern w:val="0"/>
                      <w:sz w:val="21"/>
                      <w:szCs w:val="21"/>
                      <w:highlight w:val="none"/>
                      <w:lang w:val="en-US" w:eastAsia="zh-CN" w:bidi="ar-SA"/>
                    </w:rPr>
                  </w:pPr>
                  <w:r>
                    <w:rPr>
                      <w:rFonts w:hint="eastAsia" w:ascii="Times New Roman" w:hAnsi="Times New Roman"/>
                      <w:color w:val="auto"/>
                      <w:highlight w:val="none"/>
                      <w:lang w:val="en-US" w:eastAsia="zh-CN"/>
                    </w:rPr>
                    <w:t>7</w:t>
                  </w:r>
                </w:p>
              </w:tc>
              <w:tc>
                <w:tcPr>
                  <w:tcW w:w="758" w:type="pct"/>
                  <w:tcBorders>
                    <w:top w:val="single" w:color="auto" w:sz="4" w:space="0"/>
                    <w:bottom w:val="single" w:color="auto" w:sz="4" w:space="0"/>
                  </w:tcBorders>
                  <w:noWrap w:val="0"/>
                  <w:vAlign w:val="center"/>
                </w:tcPr>
                <w:p w14:paraId="271788CB">
                  <w:pPr>
                    <w:jc w:val="center"/>
                    <w:rPr>
                      <w:color w:val="auto"/>
                      <w:szCs w:val="21"/>
                      <w:highlight w:val="none"/>
                    </w:rPr>
                  </w:pPr>
                  <w:r>
                    <w:rPr>
                      <w:rFonts w:hint="eastAsia"/>
                      <w:color w:val="auto"/>
                      <w:szCs w:val="21"/>
                      <w:highlight w:val="none"/>
                    </w:rPr>
                    <w:t>《陕西省大气污染治理专项行动方案（2023-2027年）的通知》</w:t>
                  </w:r>
                </w:p>
                <w:p w14:paraId="261A48B0">
                  <w:pPr>
                    <w:pStyle w:val="49"/>
                    <w:bidi w:val="0"/>
                    <w:rPr>
                      <w:rFonts w:hint="eastAsia"/>
                      <w:color w:val="auto"/>
                      <w:highlight w:val="none"/>
                      <w:lang w:eastAsia="zh-CN"/>
                    </w:rPr>
                  </w:pPr>
                  <w:r>
                    <w:rPr>
                      <w:rFonts w:hint="eastAsia"/>
                      <w:color w:val="auto"/>
                      <w:szCs w:val="21"/>
                      <w:highlight w:val="none"/>
                    </w:rPr>
                    <w:t>（陕发</w:t>
                  </w:r>
                  <w:r>
                    <w:rPr>
                      <w:rFonts w:hint="eastAsia"/>
                      <w:color w:val="auto"/>
                      <w:highlight w:val="none"/>
                    </w:rPr>
                    <w:t>〔</w:t>
                  </w:r>
                  <w:r>
                    <w:rPr>
                      <w:rFonts w:hint="eastAsia"/>
                      <w:color w:val="auto"/>
                      <w:highlight w:val="none"/>
                      <w:lang w:val="en-US" w:eastAsia="zh-CN"/>
                    </w:rPr>
                    <w:t>2023</w:t>
                  </w:r>
                  <w:r>
                    <w:rPr>
                      <w:rFonts w:hint="eastAsia"/>
                      <w:color w:val="auto"/>
                      <w:highlight w:val="none"/>
                    </w:rPr>
                    <w:t>〕</w:t>
                  </w:r>
                  <w:r>
                    <w:rPr>
                      <w:color w:val="auto"/>
                      <w:szCs w:val="21"/>
                      <w:highlight w:val="none"/>
                    </w:rPr>
                    <w:t>4</w:t>
                  </w:r>
                  <w:r>
                    <w:rPr>
                      <w:rFonts w:hint="eastAsia"/>
                      <w:color w:val="auto"/>
                      <w:szCs w:val="21"/>
                      <w:highlight w:val="none"/>
                    </w:rPr>
                    <w:t>号）</w:t>
                  </w:r>
                </w:p>
              </w:tc>
              <w:tc>
                <w:tcPr>
                  <w:tcW w:w="2106" w:type="pct"/>
                  <w:vMerge w:val="restart"/>
                  <w:tcBorders>
                    <w:top w:val="single" w:color="auto" w:sz="4" w:space="0"/>
                  </w:tcBorders>
                  <w:noWrap w:val="0"/>
                  <w:vAlign w:val="center"/>
                </w:tcPr>
                <w:p w14:paraId="03CE3581">
                  <w:pPr>
                    <w:rPr>
                      <w:color w:val="auto"/>
                      <w:kern w:val="0"/>
                      <w:szCs w:val="21"/>
                      <w:highlight w:val="none"/>
                    </w:rPr>
                  </w:pPr>
                  <w:r>
                    <w:rPr>
                      <w:rFonts w:hint="eastAsia"/>
                      <w:color w:val="auto"/>
                      <w:kern w:val="0"/>
                      <w:szCs w:val="21"/>
                      <w:highlight w:val="none"/>
                    </w:rPr>
                    <w:t>扬尘治理工程</w:t>
                  </w:r>
                </w:p>
                <w:p w14:paraId="31FE5980">
                  <w:pPr>
                    <w:pStyle w:val="49"/>
                    <w:bidi w:val="0"/>
                    <w:rPr>
                      <w:color w:val="auto"/>
                      <w:highlight w:val="none"/>
                    </w:rPr>
                  </w:pPr>
                  <w:r>
                    <w:rPr>
                      <w:rFonts w:hint="eastAsia"/>
                      <w:b w:val="0"/>
                      <w:color w:val="auto"/>
                      <w:sz w:val="21"/>
                      <w:szCs w:val="21"/>
                      <w:highlight w:val="none"/>
                    </w:rPr>
                    <w:t>加强施工期间扬尘管控，严格落实工地周边围挡、物料堆放覆盖、土方开挖湿法作业、路面硬化、出入车辆清洗、渣土车辆密闭运输“六个百分百”。建成区内所有施工工地全部安装在线监测和视频监控设施，并与住建部门联网。所有施工工地扬尘排放超过《施工场界扬尘排放限值（DB61/1078—2017）》的立即停工整改。鼓励各县区推动实施“阳光施工”“阳光运输”，减少夜间施工数量。</w:t>
                  </w:r>
                </w:p>
              </w:tc>
              <w:tc>
                <w:tcPr>
                  <w:tcW w:w="1250" w:type="pct"/>
                  <w:vMerge w:val="restart"/>
                  <w:noWrap w:val="0"/>
                  <w:vAlign w:val="center"/>
                </w:tcPr>
                <w:p w14:paraId="370A7DC8">
                  <w:pPr>
                    <w:pStyle w:val="49"/>
                    <w:bidi w:val="0"/>
                    <w:rPr>
                      <w:rFonts w:hint="eastAsia" w:eastAsia="宋体"/>
                      <w:color w:val="auto"/>
                      <w:highlight w:val="none"/>
                      <w:lang w:eastAsia="zh-CN"/>
                    </w:rPr>
                  </w:pPr>
                  <w:r>
                    <w:rPr>
                      <w:rFonts w:hint="eastAsia"/>
                      <w:color w:val="auto"/>
                      <w:highlight w:val="none"/>
                    </w:rPr>
                    <w:t>本次项目在后期整改施工过程中将严格执行关于建筑施工扬尘污染的相关规定，执行“6个100%”：确保施工现场100%围蔽，工地砂土100%覆盖，工地路面100%硬化，拆除工程100%洒水压尘，出工地车辆100%冲净车轮车身，暂不开发的场地100%绿化。以最大程度地降低扬尘对周围环境的影响</w:t>
                  </w:r>
                  <w:r>
                    <w:rPr>
                      <w:rFonts w:hint="eastAsia"/>
                      <w:color w:val="auto"/>
                      <w:highlight w:val="none"/>
                      <w:lang w:eastAsia="zh-CN"/>
                    </w:rPr>
                    <w:t>。</w:t>
                  </w:r>
                </w:p>
              </w:tc>
              <w:tc>
                <w:tcPr>
                  <w:tcW w:w="546" w:type="pct"/>
                  <w:vMerge w:val="restart"/>
                  <w:noWrap w:val="0"/>
                  <w:vAlign w:val="center"/>
                </w:tcPr>
                <w:p w14:paraId="5C2BCCCD">
                  <w:pPr>
                    <w:pStyle w:val="33"/>
                    <w:ind w:firstLine="0" w:firstLineChars="0"/>
                    <w:rPr>
                      <w:rFonts w:hint="eastAsia"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符合</w:t>
                  </w:r>
                </w:p>
              </w:tc>
            </w:tr>
            <w:tr w14:paraId="6104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1B10DEF4">
                  <w:pPr>
                    <w:pStyle w:val="33"/>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8</w:t>
                  </w:r>
                </w:p>
              </w:tc>
              <w:tc>
                <w:tcPr>
                  <w:tcW w:w="758" w:type="pct"/>
                  <w:tcBorders>
                    <w:top w:val="single" w:color="auto" w:sz="4" w:space="0"/>
                    <w:bottom w:val="single" w:color="auto" w:sz="4" w:space="0"/>
                  </w:tcBorders>
                  <w:noWrap w:val="0"/>
                  <w:vAlign w:val="center"/>
                </w:tcPr>
                <w:p w14:paraId="2632C55C">
                  <w:pPr>
                    <w:jc w:val="center"/>
                    <w:rPr>
                      <w:color w:val="auto"/>
                      <w:szCs w:val="21"/>
                      <w:highlight w:val="none"/>
                    </w:rPr>
                  </w:pPr>
                  <w:r>
                    <w:rPr>
                      <w:rFonts w:hint="eastAsia"/>
                      <w:color w:val="auto"/>
                      <w:szCs w:val="21"/>
                      <w:highlight w:val="none"/>
                    </w:rPr>
                    <w:t>《汉中市大气污染治理专项行动方案（2023-2027年）的通知》</w:t>
                  </w:r>
                </w:p>
                <w:p w14:paraId="3A0D9AAD">
                  <w:pPr>
                    <w:pStyle w:val="49"/>
                    <w:bidi w:val="0"/>
                    <w:rPr>
                      <w:rFonts w:hint="eastAsia"/>
                      <w:color w:val="auto"/>
                      <w:highlight w:val="none"/>
                      <w:lang w:eastAsia="zh-CN"/>
                    </w:rPr>
                  </w:pPr>
                  <w:r>
                    <w:rPr>
                      <w:rFonts w:hint="eastAsia"/>
                      <w:color w:val="auto"/>
                      <w:szCs w:val="21"/>
                      <w:highlight w:val="none"/>
                    </w:rPr>
                    <w:t>（汉发</w:t>
                  </w:r>
                  <w:r>
                    <w:rPr>
                      <w:rFonts w:hint="eastAsia"/>
                      <w:color w:val="auto"/>
                      <w:highlight w:val="none"/>
                    </w:rPr>
                    <w:t>〔</w:t>
                  </w:r>
                  <w:r>
                    <w:rPr>
                      <w:rFonts w:hint="eastAsia"/>
                      <w:color w:val="auto"/>
                      <w:highlight w:val="none"/>
                      <w:lang w:val="en-US" w:eastAsia="zh-CN"/>
                    </w:rPr>
                    <w:t>2023</w:t>
                  </w:r>
                  <w:r>
                    <w:rPr>
                      <w:rFonts w:hint="eastAsia"/>
                      <w:color w:val="auto"/>
                      <w:highlight w:val="none"/>
                    </w:rPr>
                    <w:t>〕</w:t>
                  </w:r>
                  <w:r>
                    <w:rPr>
                      <w:rFonts w:hint="eastAsia"/>
                      <w:color w:val="auto"/>
                      <w:szCs w:val="21"/>
                      <w:highlight w:val="none"/>
                    </w:rPr>
                    <w:t>7号）</w:t>
                  </w:r>
                </w:p>
              </w:tc>
              <w:tc>
                <w:tcPr>
                  <w:tcW w:w="2106" w:type="pct"/>
                  <w:vMerge w:val="continue"/>
                  <w:noWrap w:val="0"/>
                  <w:vAlign w:val="center"/>
                </w:tcPr>
                <w:p w14:paraId="6DB700A8">
                  <w:pPr>
                    <w:pStyle w:val="49"/>
                    <w:bidi w:val="0"/>
                    <w:rPr>
                      <w:color w:val="auto"/>
                      <w:highlight w:val="none"/>
                    </w:rPr>
                  </w:pPr>
                </w:p>
              </w:tc>
              <w:tc>
                <w:tcPr>
                  <w:tcW w:w="1250" w:type="pct"/>
                  <w:vMerge w:val="continue"/>
                  <w:noWrap w:val="0"/>
                  <w:vAlign w:val="center"/>
                </w:tcPr>
                <w:p w14:paraId="4B973F82">
                  <w:pPr>
                    <w:pStyle w:val="49"/>
                    <w:bidi w:val="0"/>
                    <w:rPr>
                      <w:rFonts w:hint="default" w:eastAsia="宋体"/>
                      <w:color w:val="auto"/>
                      <w:highlight w:val="none"/>
                      <w:lang w:val="en-US" w:eastAsia="zh-CN"/>
                    </w:rPr>
                  </w:pPr>
                </w:p>
              </w:tc>
              <w:tc>
                <w:tcPr>
                  <w:tcW w:w="546" w:type="pct"/>
                  <w:vMerge w:val="continue"/>
                  <w:noWrap w:val="0"/>
                  <w:vAlign w:val="center"/>
                </w:tcPr>
                <w:p w14:paraId="377462DC">
                  <w:pPr>
                    <w:pStyle w:val="33"/>
                    <w:ind w:firstLine="0" w:firstLineChars="0"/>
                    <w:rPr>
                      <w:rFonts w:hint="eastAsia" w:ascii="Times New Roman" w:hAnsi="Times New Roman" w:eastAsia="宋体"/>
                      <w:color w:val="auto"/>
                      <w:highlight w:val="none"/>
                      <w:lang w:val="en-US" w:eastAsia="zh-CN"/>
                    </w:rPr>
                  </w:pPr>
                </w:p>
              </w:tc>
            </w:tr>
            <w:tr w14:paraId="7EF2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6F6F3724">
                  <w:pPr>
                    <w:pStyle w:val="49"/>
                    <w:bidi w:val="0"/>
                    <w:rPr>
                      <w:rFonts w:hint="default"/>
                      <w:color w:val="auto"/>
                      <w:highlight w:val="none"/>
                      <w:lang w:val="en-US" w:eastAsia="zh-CN"/>
                    </w:rPr>
                  </w:pPr>
                  <w:r>
                    <w:rPr>
                      <w:rFonts w:hint="eastAsia"/>
                      <w:color w:val="auto"/>
                      <w:highlight w:val="none"/>
                      <w:lang w:val="en-US" w:eastAsia="zh-CN"/>
                    </w:rPr>
                    <w:t>9</w:t>
                  </w:r>
                </w:p>
              </w:tc>
              <w:tc>
                <w:tcPr>
                  <w:tcW w:w="758" w:type="pct"/>
                  <w:tcBorders>
                    <w:top w:val="single" w:color="auto" w:sz="4" w:space="0"/>
                    <w:bottom w:val="single" w:color="auto" w:sz="4" w:space="0"/>
                  </w:tcBorders>
                  <w:noWrap w:val="0"/>
                  <w:vAlign w:val="center"/>
                </w:tcPr>
                <w:p w14:paraId="723BE11B">
                  <w:pPr>
                    <w:pStyle w:val="49"/>
                    <w:bidi w:val="0"/>
                    <w:rPr>
                      <w:rFonts w:hint="eastAsia"/>
                      <w:color w:val="auto"/>
                      <w:highlight w:val="none"/>
                      <w:lang w:eastAsia="zh-CN"/>
                    </w:rPr>
                  </w:pPr>
                  <w:r>
                    <w:rPr>
                      <w:rFonts w:hint="eastAsia"/>
                      <w:color w:val="auto"/>
                      <w:highlight w:val="none"/>
                      <w:lang w:eastAsia="zh-CN"/>
                    </w:rPr>
                    <w:t>《</w:t>
                  </w:r>
                  <w:r>
                    <w:rPr>
                      <w:color w:val="auto"/>
                      <w:highlight w:val="none"/>
                    </w:rPr>
                    <w:t>农业农村部关于加快农业发展全面绿色转型促进乡村生态振兴的指导意见</w:t>
                  </w:r>
                  <w:r>
                    <w:rPr>
                      <w:rFonts w:hint="eastAsia"/>
                      <w:color w:val="auto"/>
                      <w:highlight w:val="none"/>
                      <w:lang w:eastAsia="zh-CN"/>
                    </w:rPr>
                    <w:t>》（</w:t>
                  </w:r>
                  <w:r>
                    <w:rPr>
                      <w:color w:val="auto"/>
                      <w:highlight w:val="none"/>
                    </w:rPr>
                    <w:t>农规发〔2024〕27号</w:t>
                  </w:r>
                  <w:r>
                    <w:rPr>
                      <w:rFonts w:hint="eastAsia"/>
                      <w:color w:val="auto"/>
                      <w:highlight w:val="none"/>
                      <w:lang w:eastAsia="zh-CN"/>
                    </w:rPr>
                    <w:t>）</w:t>
                  </w:r>
                </w:p>
              </w:tc>
              <w:tc>
                <w:tcPr>
                  <w:tcW w:w="2106" w:type="pct"/>
                  <w:noWrap w:val="0"/>
                  <w:vAlign w:val="center"/>
                </w:tcPr>
                <w:p w14:paraId="6B51F909">
                  <w:pPr>
                    <w:pStyle w:val="49"/>
                    <w:bidi w:val="0"/>
                    <w:jc w:val="left"/>
                    <w:rPr>
                      <w:color w:val="auto"/>
                      <w:highlight w:val="none"/>
                    </w:rPr>
                  </w:pPr>
                  <w:r>
                    <w:rPr>
                      <w:rFonts w:hint="eastAsia"/>
                      <w:color w:val="auto"/>
                      <w:highlight w:val="none"/>
                    </w:rPr>
                    <w:t>提升农业生态价值。推动农业节能降碳，研发种养业生产过程温室气体减排技术，开发工厂化农业、新能源农机、农产品初加工及储存运输节能设备，创新农业废弃物资源化、能源化利用技术体系，提升农业生产适应气候变化能力。发展沼气、生物天然气，推进秸秆、畜禽粪污等农业废弃物高值化利用。稳妥推进农村清洁能源替代，推广农村生物质能、太阳能等绿色用能模式。构建以旗舰物种为重点的保护管理体系，全面加强水生野生动植物保护管理工作。完善农业外来入侵物种监测预警体系，严控外来物种入侵风险。</w:t>
                  </w:r>
                </w:p>
              </w:tc>
              <w:tc>
                <w:tcPr>
                  <w:tcW w:w="1250" w:type="pct"/>
                  <w:noWrap w:val="0"/>
                  <w:vAlign w:val="center"/>
                </w:tcPr>
                <w:p w14:paraId="6DAEEB17">
                  <w:pPr>
                    <w:pStyle w:val="49"/>
                    <w:bidi w:val="0"/>
                    <w:rPr>
                      <w:rFonts w:hint="default" w:eastAsia="宋体"/>
                      <w:color w:val="auto"/>
                      <w:highlight w:val="none"/>
                      <w:lang w:val="en-US" w:eastAsia="zh-CN"/>
                    </w:rPr>
                  </w:pPr>
                  <w:r>
                    <w:rPr>
                      <w:color w:val="auto"/>
                      <w:highlight w:val="none"/>
                    </w:rPr>
                    <w:t>本项目以农作物秸秆等废弃物为原料，构建农业废弃物能源化、高值化利用体系，生产生物质燃气、有机肥、生物质炭；产出生物质燃气作为农村清洁燃料，替代传统散煤，推广农村生物质绿色用能，实现农业节能降碳、减少秸秆露天焚烧温室气体排放，契合文件农业废弃物资源化、发展生物质清洁能源相关要求。</w:t>
                  </w:r>
                </w:p>
              </w:tc>
              <w:tc>
                <w:tcPr>
                  <w:tcW w:w="546" w:type="pct"/>
                  <w:noWrap w:val="0"/>
                  <w:vAlign w:val="center"/>
                </w:tcPr>
                <w:p w14:paraId="4231E32F">
                  <w:pPr>
                    <w:pStyle w:val="33"/>
                    <w:ind w:firstLine="0" w:firstLineChars="0"/>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符合</w:t>
                  </w:r>
                </w:p>
              </w:tc>
            </w:tr>
            <w:tr w14:paraId="25D9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7" w:type="pct"/>
                  <w:tcBorders>
                    <w:top w:val="single" w:color="auto" w:sz="4" w:space="0"/>
                    <w:bottom w:val="single" w:color="auto" w:sz="4" w:space="0"/>
                  </w:tcBorders>
                  <w:noWrap w:val="0"/>
                  <w:vAlign w:val="center"/>
                </w:tcPr>
                <w:p w14:paraId="3B4452DE">
                  <w:pPr>
                    <w:pStyle w:val="33"/>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10</w:t>
                  </w:r>
                </w:p>
              </w:tc>
              <w:tc>
                <w:tcPr>
                  <w:tcW w:w="758" w:type="pct"/>
                  <w:tcBorders>
                    <w:top w:val="single" w:color="auto" w:sz="4" w:space="0"/>
                    <w:bottom w:val="single" w:color="auto" w:sz="4" w:space="0"/>
                  </w:tcBorders>
                  <w:noWrap w:val="0"/>
                  <w:vAlign w:val="center"/>
                </w:tcPr>
                <w:p w14:paraId="6044E580">
                  <w:pPr>
                    <w:pStyle w:val="49"/>
                    <w:bidi w:val="0"/>
                    <w:rPr>
                      <w:rFonts w:hint="eastAsia" w:eastAsia="宋体"/>
                      <w:color w:val="auto"/>
                      <w:szCs w:val="21"/>
                      <w:highlight w:val="none"/>
                      <w:lang w:eastAsia="zh-CN"/>
                    </w:rPr>
                  </w:pPr>
                  <w:r>
                    <w:rPr>
                      <w:rFonts w:hint="eastAsia"/>
                      <w:color w:val="auto"/>
                      <w:szCs w:val="21"/>
                      <w:highlight w:val="none"/>
                      <w:lang w:eastAsia="zh-CN"/>
                    </w:rPr>
                    <w:t>《</w:t>
                  </w:r>
                  <w:r>
                    <w:rPr>
                      <w:rFonts w:hint="eastAsia"/>
                      <w:color w:val="auto"/>
                      <w:szCs w:val="21"/>
                      <w:highlight w:val="none"/>
                    </w:rPr>
                    <w:t>关于促进生物天然气产业化发展的指导意见</w:t>
                  </w:r>
                  <w:r>
                    <w:rPr>
                      <w:rFonts w:hint="eastAsia"/>
                      <w:color w:val="auto"/>
                      <w:szCs w:val="21"/>
                      <w:highlight w:val="none"/>
                      <w:lang w:eastAsia="zh-CN"/>
                    </w:rPr>
                    <w:t>》（发改能源规〔2019〕1895号）</w:t>
                  </w:r>
                </w:p>
              </w:tc>
              <w:tc>
                <w:tcPr>
                  <w:tcW w:w="2106" w:type="pct"/>
                  <w:tcBorders>
                    <w:bottom w:val="single" w:color="auto" w:sz="4" w:space="0"/>
                  </w:tcBorders>
                  <w:noWrap w:val="0"/>
                  <w:vAlign w:val="center"/>
                </w:tcPr>
                <w:p w14:paraId="1204DD7B">
                  <w:pPr>
                    <w:pStyle w:val="49"/>
                    <w:bidi w:val="0"/>
                    <w:jc w:val="left"/>
                    <w:rPr>
                      <w:rFonts w:hint="eastAsia"/>
                      <w:color w:val="auto"/>
                      <w:highlight w:val="none"/>
                    </w:rPr>
                  </w:pPr>
                  <w:r>
                    <w:rPr>
                      <w:rFonts w:hint="eastAsia"/>
                      <w:color w:val="auto"/>
                      <w:highlight w:val="none"/>
                    </w:rPr>
                    <w:t>分布式商业化开发建设。就地收集原料、就地消费利用，多点布局、形成产业。根据资源量优化布局，以单个日产1万-3万立方米项目为重点，整县推进，满足工业化各项要求，建设生物天然气商业化可持续运营项目。</w:t>
                  </w:r>
                </w:p>
                <w:p w14:paraId="6A8FD7E6">
                  <w:pPr>
                    <w:pStyle w:val="49"/>
                    <w:bidi w:val="0"/>
                    <w:jc w:val="left"/>
                    <w:rPr>
                      <w:color w:val="auto"/>
                      <w:highlight w:val="none"/>
                    </w:rPr>
                  </w:pPr>
                  <w:r>
                    <w:rPr>
                      <w:rFonts w:hint="eastAsia"/>
                      <w:color w:val="auto"/>
                      <w:highlight w:val="none"/>
                    </w:rPr>
                    <w:t>统筹利用城乡各类有机废弃物资源。开展资源调查，统筹利用农作物秸秆、畜禽粪污、蔬菜种植废弃物等各类农业废弃物，城乡餐厨垃圾，河湖水草污泥，农副产品加工有机废水废渣等，增强生物天然气原料保障能力，保护城乡生态环境，改善农村人居环境。</w:t>
                  </w:r>
                </w:p>
              </w:tc>
              <w:tc>
                <w:tcPr>
                  <w:tcW w:w="1250" w:type="pct"/>
                  <w:tcBorders>
                    <w:bottom w:val="single" w:color="auto" w:sz="4" w:space="0"/>
                  </w:tcBorders>
                  <w:noWrap w:val="0"/>
                  <w:vAlign w:val="center"/>
                </w:tcPr>
                <w:p w14:paraId="7681C11D">
                  <w:pPr>
                    <w:pStyle w:val="49"/>
                    <w:bidi w:val="0"/>
                    <w:rPr>
                      <w:rFonts w:hint="default" w:eastAsia="宋体"/>
                      <w:color w:val="auto"/>
                      <w:highlight w:val="none"/>
                      <w:lang w:val="en-US" w:eastAsia="zh-CN"/>
                    </w:rPr>
                  </w:pPr>
                  <w:r>
                    <w:rPr>
                      <w:color w:val="auto"/>
                      <w:highlight w:val="none"/>
                    </w:rPr>
                    <w:t>本项目</w:t>
                  </w:r>
                  <w:r>
                    <w:rPr>
                      <w:rFonts w:hint="eastAsia"/>
                      <w:color w:val="auto"/>
                      <w:highlight w:val="none"/>
                      <w:lang w:val="en-US" w:eastAsia="zh-CN"/>
                    </w:rPr>
                    <w:t>位于洋县</w:t>
                  </w:r>
                  <w:r>
                    <w:rPr>
                      <w:color w:val="auto"/>
                      <w:highlight w:val="none"/>
                    </w:rPr>
                    <w:t>，就地收集</w:t>
                  </w:r>
                  <w:r>
                    <w:rPr>
                      <w:rFonts w:hint="eastAsia"/>
                      <w:color w:val="auto"/>
                      <w:highlight w:val="none"/>
                      <w:lang w:val="en-US" w:eastAsia="zh-CN"/>
                    </w:rPr>
                    <w:t>周边区</w:t>
                  </w:r>
                  <w:r>
                    <w:rPr>
                      <w:color w:val="auto"/>
                      <w:highlight w:val="none"/>
                    </w:rPr>
                    <w:t>域内农作物秸秆作为原料生产生物质燃气，产品供给周边村镇、农户使用，实现原料就地收储、能源就地消纳；项目规模化消纳县域农业有机废弃物，减少秸秆随意堆放、露天焚烧问题，改善农村人居环境，符合生物天然气分布式开发、农林有机废弃物统筹资源化利用政策导向。</w:t>
                  </w:r>
                </w:p>
              </w:tc>
              <w:tc>
                <w:tcPr>
                  <w:tcW w:w="546" w:type="pct"/>
                  <w:tcBorders>
                    <w:bottom w:val="single" w:color="auto" w:sz="4" w:space="0"/>
                  </w:tcBorders>
                  <w:noWrap w:val="0"/>
                  <w:vAlign w:val="center"/>
                </w:tcPr>
                <w:p w14:paraId="369C59E4">
                  <w:pPr>
                    <w:pStyle w:val="33"/>
                    <w:ind w:firstLine="0" w:firstLineChars="0"/>
                    <w:rPr>
                      <w:rFonts w:hint="default" w:ascii="Times New Roman" w:hAnsi="Times New Roman" w:eastAsia="宋体"/>
                      <w:color w:val="auto"/>
                      <w:highlight w:val="none"/>
                      <w:lang w:val="en-US" w:eastAsia="zh-CN"/>
                    </w:rPr>
                  </w:pPr>
                  <w:r>
                    <w:rPr>
                      <w:rFonts w:hint="eastAsia" w:ascii="Times New Roman" w:hAnsi="Times New Roman"/>
                      <w:color w:val="auto"/>
                      <w:highlight w:val="none"/>
                      <w:lang w:val="en-US" w:eastAsia="zh-CN"/>
                    </w:rPr>
                    <w:t>符合</w:t>
                  </w:r>
                </w:p>
              </w:tc>
            </w:tr>
          </w:tbl>
          <w:p w14:paraId="471775CA">
            <w:pPr>
              <w:pStyle w:val="11"/>
              <w:numPr>
                <w:ilvl w:val="0"/>
                <w:numId w:val="1"/>
              </w:numPr>
              <w:bidi w:val="0"/>
              <w:rPr>
                <w:rFonts w:hint="default"/>
                <w:b/>
                <w:bCs/>
                <w:color w:val="auto"/>
                <w:highlight w:val="none"/>
                <w:lang w:val="en-US" w:eastAsia="zh-CN"/>
              </w:rPr>
            </w:pPr>
            <w:r>
              <w:rPr>
                <w:rFonts w:hint="eastAsia"/>
                <w:b/>
                <w:bCs/>
                <w:color w:val="auto"/>
                <w:highlight w:val="none"/>
                <w:lang w:val="en-US" w:eastAsia="zh-CN"/>
              </w:rPr>
              <w:t>选址选线合理性分析</w:t>
            </w:r>
          </w:p>
          <w:p w14:paraId="642BCB6E">
            <w:pPr>
              <w:pStyle w:val="11"/>
              <w:bidi w:val="0"/>
              <w:rPr>
                <w:rFonts w:hint="eastAsia"/>
                <w:color w:val="auto"/>
                <w:highlight w:val="none"/>
              </w:rPr>
            </w:pPr>
            <w:r>
              <w:rPr>
                <w:color w:val="auto"/>
                <w:highlight w:val="none"/>
              </w:rPr>
              <w:t>本项目位于</w:t>
            </w:r>
            <w:r>
              <w:rPr>
                <w:rFonts w:hint="eastAsia"/>
                <w:color w:val="auto"/>
                <w:highlight w:val="none"/>
              </w:rPr>
              <w:t>洋县戚氏</w:t>
            </w:r>
            <w:r>
              <w:rPr>
                <w:rFonts w:hint="eastAsia"/>
                <w:color w:val="auto"/>
                <w:highlight w:val="none"/>
                <w:lang w:val="en-US" w:eastAsia="zh-CN"/>
              </w:rPr>
              <w:t>街道办，</w:t>
            </w:r>
            <w:r>
              <w:rPr>
                <w:color w:val="auto"/>
                <w:highlight w:val="none"/>
              </w:rPr>
              <w:t>对照国土资源部国家发展和改革委员会关于发布实施的《限制用地项目目录（2012年本）》和《禁止用地项目目录（2012年本）》可知，本项目用地不在限制和禁止用地范围内。本项目土地类型为</w:t>
            </w:r>
            <w:r>
              <w:rPr>
                <w:rFonts w:hint="eastAsia"/>
                <w:color w:val="auto"/>
                <w:highlight w:val="none"/>
              </w:rPr>
              <w:t>工业</w:t>
            </w:r>
            <w:r>
              <w:rPr>
                <w:color w:val="auto"/>
                <w:highlight w:val="none"/>
              </w:rPr>
              <w:t>用地</w:t>
            </w:r>
            <w:r>
              <w:rPr>
                <w:rFonts w:hint="eastAsia"/>
                <w:color w:val="auto"/>
                <w:highlight w:val="none"/>
                <w:lang w:eastAsia="zh-CN"/>
              </w:rPr>
              <w:t>（</w:t>
            </w:r>
            <w:r>
              <w:rPr>
                <w:rFonts w:hint="eastAsia"/>
                <w:color w:val="auto"/>
                <w:highlight w:val="none"/>
                <w:lang w:val="en-US" w:eastAsia="zh-CN"/>
              </w:rPr>
              <w:t>见附件</w:t>
            </w:r>
            <w:r>
              <w:rPr>
                <w:rFonts w:hint="eastAsia"/>
                <w:color w:val="auto"/>
                <w:highlight w:val="none"/>
                <w:lang w:eastAsia="zh-CN"/>
              </w:rPr>
              <w:t>）</w:t>
            </w:r>
            <w:r>
              <w:rPr>
                <w:color w:val="auto"/>
                <w:highlight w:val="none"/>
              </w:rPr>
              <w:t>，因此项目的建设符合国家土地利用政策的要求。</w:t>
            </w:r>
          </w:p>
          <w:p w14:paraId="4D0D999B">
            <w:pPr>
              <w:pStyle w:val="11"/>
              <w:bidi w:val="0"/>
              <w:rPr>
                <w:rFonts w:hint="eastAsia" w:eastAsia="宋体"/>
                <w:color w:val="auto"/>
                <w:highlight w:val="none"/>
                <w:lang w:eastAsia="zh-CN"/>
              </w:rPr>
            </w:pPr>
            <w:r>
              <w:rPr>
                <w:rFonts w:hint="eastAsia"/>
                <w:color w:val="auto"/>
                <w:highlight w:val="none"/>
                <w:lang w:eastAsia="zh-CN"/>
              </w:rPr>
              <w:t>项目厂区现状为空地，</w:t>
            </w:r>
            <w:r>
              <w:rPr>
                <w:rFonts w:hint="eastAsia"/>
                <w:color w:val="auto"/>
                <w:sz w:val="24"/>
                <w:highlight w:val="none"/>
                <w:lang w:val="en-US" w:eastAsia="zh-CN"/>
              </w:rPr>
              <w:t>四周毗邻空地与农田，场地南侧45m处为全丰村。</w:t>
            </w:r>
            <w:r>
              <w:rPr>
                <w:rFonts w:hint="eastAsia"/>
                <w:color w:val="auto"/>
                <w:highlight w:val="none"/>
                <w:lang w:val="en-US" w:eastAsia="zh-CN"/>
              </w:rPr>
              <w:t>经现场调查，本项目场址不涉及水源地保护区、风景名胜区、基本农田保护区等环境敏感区域，也不属于国家相关法律法规划定的禁止建设区域。本项目场址与陕西汉中朱鹮国家级自然保护区的位置关系详见附图3。</w:t>
            </w:r>
          </w:p>
          <w:p w14:paraId="41B01BD9">
            <w:pPr>
              <w:pStyle w:val="11"/>
              <w:bidi w:val="0"/>
              <w:rPr>
                <w:rFonts w:hint="eastAsia"/>
                <w:color w:val="auto"/>
                <w:highlight w:val="none"/>
                <w:lang w:val="en-US" w:eastAsia="zh-CN"/>
              </w:rPr>
            </w:pPr>
            <w:r>
              <w:rPr>
                <w:rFonts w:hint="eastAsia"/>
                <w:color w:val="auto"/>
                <w:highlight w:val="none"/>
                <w:lang w:val="en-US" w:eastAsia="zh-CN"/>
              </w:rPr>
              <w:t>经ArcGIS软件测算，本项目场址距离陕西汉中朱鹮国家级自然保护区的最近距离为152.6m，不在保护区范围内，具体位置关系详见下图和附件。</w:t>
            </w:r>
          </w:p>
          <w:p w14:paraId="4DAF0618">
            <w:pPr>
              <w:pStyle w:val="11"/>
              <w:bidi w:val="0"/>
              <w:rPr>
                <w:rFonts w:hint="default"/>
                <w:color w:val="auto"/>
                <w:highlight w:val="none"/>
                <w:lang w:val="en-US" w:eastAsia="zh-CN"/>
              </w:rPr>
            </w:pPr>
            <w:r>
              <w:rPr>
                <w:rFonts w:hint="eastAsia"/>
                <w:color w:val="auto"/>
                <w:highlight w:val="none"/>
                <w:lang w:val="en-US" w:eastAsia="zh-CN"/>
              </w:rPr>
              <w:t>并且根据洋县多年气象监测数据，项目所在地常年主导风向为东风，区域年平均风速1.2~1.3m/s，静风发生概率较低，整体大气扩散条件平稳。结合项目场址与保护区的相对位置来看，本项目处于陕西汉中朱鹮国家级自然保护区主导风向的侧风向，项目产生的废气、无组织扬尘等大气污染物主要向西、西侧偏南方向扩散，对陕西汉中朱鹮国家级自然保护区的影响较小。</w:t>
            </w:r>
          </w:p>
          <w:p w14:paraId="71403B32">
            <w:pPr>
              <w:pStyle w:val="49"/>
              <w:bidi w:val="0"/>
              <w:rPr>
                <w:rFonts w:hint="default"/>
                <w:color w:val="auto"/>
                <w:highlight w:val="none"/>
                <w:lang w:val="en-US" w:eastAsia="zh-CN"/>
              </w:rPr>
            </w:pPr>
            <w:r>
              <w:rPr>
                <w:rFonts w:hint="default"/>
                <w:color w:val="auto"/>
                <w:highlight w:val="none"/>
                <w:lang w:val="en-US" w:eastAsia="zh-CN"/>
              </w:rPr>
              <w:drawing>
                <wp:inline distT="0" distB="0" distL="114300" distR="114300">
                  <wp:extent cx="3035935" cy="2932430"/>
                  <wp:effectExtent l="9525" t="9525" r="21590" b="10795"/>
                  <wp:docPr id="7" name="图片 7"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无标题"/>
                          <pic:cNvPicPr>
                            <a:picLocks noChangeAspect="1"/>
                          </pic:cNvPicPr>
                        </pic:nvPicPr>
                        <pic:blipFill>
                          <a:blip r:embed="rId12"/>
                          <a:srcRect/>
                          <a:stretch>
                            <a:fillRect/>
                          </a:stretch>
                        </pic:blipFill>
                        <pic:spPr>
                          <a:xfrm>
                            <a:off x="0" y="0"/>
                            <a:ext cx="3035935" cy="2932430"/>
                          </a:xfrm>
                          <a:prstGeom prst="rect">
                            <a:avLst/>
                          </a:prstGeom>
                          <a:ln>
                            <a:solidFill>
                              <a:schemeClr val="tx1"/>
                            </a:solidFill>
                          </a:ln>
                        </pic:spPr>
                      </pic:pic>
                    </a:graphicData>
                  </a:graphic>
                </wp:inline>
              </w:drawing>
            </w:r>
          </w:p>
          <w:p w14:paraId="51935F20">
            <w:pPr>
              <w:pStyle w:val="32"/>
              <w:bidi w:val="0"/>
              <w:rPr>
                <w:rFonts w:hint="default"/>
                <w:color w:val="auto"/>
                <w:highlight w:val="none"/>
                <w:lang w:val="en-US" w:eastAsia="zh-CN"/>
              </w:rPr>
            </w:pPr>
            <w:r>
              <w:rPr>
                <w:rFonts w:hint="eastAsia"/>
                <w:color w:val="auto"/>
                <w:highlight w:val="none"/>
                <w:lang w:val="en-US" w:eastAsia="zh-CN"/>
              </w:rPr>
              <w:t>图1-2   本项目与陕西汉中朱鹮国家级自然保护区</w:t>
            </w:r>
          </w:p>
          <w:p w14:paraId="1BA9C61D">
            <w:pPr>
              <w:pStyle w:val="11"/>
              <w:bidi w:val="0"/>
              <w:rPr>
                <w:rFonts w:hint="eastAsia" w:eastAsia="宋体"/>
                <w:color w:val="auto"/>
                <w:highlight w:val="none"/>
                <w:lang w:eastAsia="zh-CN"/>
              </w:rPr>
            </w:pPr>
            <w:r>
              <w:rPr>
                <w:rFonts w:hint="eastAsia"/>
                <w:color w:val="auto"/>
                <w:highlight w:val="none"/>
                <w:lang w:val="en-US" w:eastAsia="zh-CN"/>
              </w:rPr>
              <w:t>本项目用地为租用全丰村集体建设用地，建设单位已与洋县戚氏镇全丰村村民委员会签订投资合作协议，相关内容详见附件。根据《陕西旺久成实业有限公司洋县分公司洋县秸秆综合利用项目安全预评价报告》结论，本项目开展总平面布置设计时，已充分考虑周边环境、功能分区、厂区道路等条件，并结合生产工艺特点为各建（构）筑物配套了相应安全防护措施；项目总平面布置紧凑合理，功能分区清晰明确，工艺流程简洁顺畅，在按照本报告补充的安全对策措施建议完善后，符合相关法律、法规、标准及规范的要求。</w:t>
            </w:r>
          </w:p>
          <w:p w14:paraId="4C464F9D">
            <w:pPr>
              <w:pStyle w:val="11"/>
              <w:bidi w:val="0"/>
              <w:rPr>
                <w:rFonts w:hint="eastAsia"/>
                <w:color w:val="auto"/>
                <w:highlight w:val="none"/>
                <w:lang w:eastAsia="zh-CN"/>
              </w:rPr>
            </w:pPr>
            <w:r>
              <w:rPr>
                <w:rFonts w:hint="eastAsia"/>
                <w:color w:val="auto"/>
                <w:highlight w:val="none"/>
                <w:lang w:eastAsia="zh-CN"/>
              </w:rPr>
              <w:t>综上，从环境保护角度分析，本项目选址合理可行。</w:t>
            </w:r>
          </w:p>
          <w:p w14:paraId="7AF6D96B">
            <w:pPr>
              <w:pStyle w:val="11"/>
              <w:bidi w:val="0"/>
              <w:rPr>
                <w:rFonts w:hint="eastAsia"/>
                <w:color w:val="auto"/>
                <w:highlight w:val="none"/>
                <w:lang w:eastAsia="zh-CN"/>
              </w:rPr>
            </w:pPr>
          </w:p>
          <w:p w14:paraId="4A6682E4">
            <w:pPr>
              <w:pStyle w:val="11"/>
              <w:bidi w:val="0"/>
              <w:rPr>
                <w:rFonts w:hint="eastAsia"/>
                <w:color w:val="auto"/>
                <w:highlight w:val="none"/>
                <w:lang w:eastAsia="zh-CN"/>
              </w:rPr>
            </w:pPr>
          </w:p>
          <w:p w14:paraId="2D7EA905">
            <w:pPr>
              <w:pStyle w:val="11"/>
              <w:bidi w:val="0"/>
              <w:rPr>
                <w:rFonts w:hint="eastAsia"/>
                <w:color w:val="auto"/>
                <w:highlight w:val="none"/>
                <w:lang w:eastAsia="zh-CN"/>
              </w:rPr>
            </w:pPr>
          </w:p>
          <w:p w14:paraId="04F621DF">
            <w:pPr>
              <w:pStyle w:val="11"/>
              <w:bidi w:val="0"/>
              <w:rPr>
                <w:rFonts w:hint="eastAsia"/>
                <w:color w:val="auto"/>
                <w:highlight w:val="none"/>
                <w:lang w:eastAsia="zh-CN"/>
              </w:rPr>
            </w:pPr>
          </w:p>
          <w:p w14:paraId="1934589D">
            <w:pPr>
              <w:pStyle w:val="11"/>
              <w:bidi w:val="0"/>
              <w:rPr>
                <w:rFonts w:hint="eastAsia"/>
                <w:color w:val="auto"/>
                <w:highlight w:val="none"/>
                <w:lang w:eastAsia="zh-CN"/>
              </w:rPr>
            </w:pPr>
          </w:p>
          <w:p w14:paraId="56E86089">
            <w:pPr>
              <w:pStyle w:val="11"/>
              <w:bidi w:val="0"/>
              <w:rPr>
                <w:rFonts w:hint="eastAsia"/>
                <w:color w:val="auto"/>
                <w:highlight w:val="none"/>
                <w:lang w:eastAsia="zh-CN"/>
              </w:rPr>
            </w:pPr>
          </w:p>
          <w:p w14:paraId="39496C26">
            <w:pPr>
              <w:pStyle w:val="11"/>
              <w:bidi w:val="0"/>
              <w:rPr>
                <w:rFonts w:hint="eastAsia"/>
                <w:color w:val="auto"/>
                <w:highlight w:val="none"/>
                <w:lang w:eastAsia="zh-CN"/>
              </w:rPr>
            </w:pPr>
          </w:p>
          <w:p w14:paraId="60FC8976">
            <w:pPr>
              <w:pStyle w:val="11"/>
              <w:bidi w:val="0"/>
              <w:rPr>
                <w:rFonts w:hint="eastAsia"/>
                <w:color w:val="auto"/>
                <w:highlight w:val="none"/>
                <w:lang w:eastAsia="zh-CN"/>
              </w:rPr>
            </w:pPr>
          </w:p>
          <w:p w14:paraId="43DCD79F">
            <w:pPr>
              <w:pStyle w:val="11"/>
              <w:bidi w:val="0"/>
              <w:rPr>
                <w:rFonts w:hint="eastAsia"/>
                <w:color w:val="auto"/>
                <w:highlight w:val="none"/>
                <w:lang w:eastAsia="zh-CN"/>
              </w:rPr>
            </w:pPr>
          </w:p>
          <w:p w14:paraId="7C78DB0D">
            <w:pPr>
              <w:pStyle w:val="11"/>
              <w:bidi w:val="0"/>
              <w:rPr>
                <w:rFonts w:hint="eastAsia"/>
                <w:color w:val="auto"/>
                <w:highlight w:val="none"/>
                <w:lang w:eastAsia="zh-CN"/>
              </w:rPr>
            </w:pPr>
          </w:p>
          <w:p w14:paraId="7B94EC7F">
            <w:pPr>
              <w:pStyle w:val="11"/>
              <w:bidi w:val="0"/>
              <w:rPr>
                <w:rFonts w:hint="eastAsia"/>
                <w:color w:val="auto"/>
                <w:highlight w:val="none"/>
                <w:lang w:eastAsia="zh-CN"/>
              </w:rPr>
            </w:pPr>
          </w:p>
          <w:p w14:paraId="176B0551">
            <w:pPr>
              <w:pStyle w:val="11"/>
              <w:bidi w:val="0"/>
              <w:rPr>
                <w:rFonts w:hint="eastAsia"/>
                <w:color w:val="auto"/>
                <w:highlight w:val="none"/>
                <w:lang w:eastAsia="zh-CN"/>
              </w:rPr>
            </w:pPr>
          </w:p>
          <w:p w14:paraId="2AD12276">
            <w:pPr>
              <w:pStyle w:val="11"/>
              <w:bidi w:val="0"/>
              <w:rPr>
                <w:rFonts w:hint="eastAsia"/>
                <w:color w:val="auto"/>
                <w:highlight w:val="none"/>
                <w:lang w:eastAsia="zh-CN"/>
              </w:rPr>
            </w:pPr>
          </w:p>
          <w:p w14:paraId="62D1EA5C">
            <w:pPr>
              <w:pStyle w:val="11"/>
              <w:bidi w:val="0"/>
              <w:rPr>
                <w:rFonts w:hint="eastAsia"/>
                <w:color w:val="auto"/>
                <w:highlight w:val="none"/>
                <w:lang w:eastAsia="zh-CN"/>
              </w:rPr>
            </w:pPr>
          </w:p>
          <w:p w14:paraId="14242212">
            <w:pPr>
              <w:pStyle w:val="11"/>
              <w:bidi w:val="0"/>
              <w:rPr>
                <w:rFonts w:hint="eastAsia"/>
                <w:color w:val="auto"/>
                <w:highlight w:val="none"/>
                <w:lang w:eastAsia="zh-CN"/>
              </w:rPr>
            </w:pPr>
          </w:p>
          <w:p w14:paraId="6A81477F">
            <w:pPr>
              <w:pStyle w:val="11"/>
              <w:bidi w:val="0"/>
              <w:rPr>
                <w:rFonts w:hint="eastAsia"/>
                <w:color w:val="auto"/>
                <w:highlight w:val="none"/>
                <w:lang w:eastAsia="zh-CN"/>
              </w:rPr>
            </w:pPr>
          </w:p>
          <w:p w14:paraId="4D288A25">
            <w:pPr>
              <w:pStyle w:val="11"/>
              <w:bidi w:val="0"/>
              <w:rPr>
                <w:rFonts w:hint="eastAsia"/>
                <w:color w:val="auto"/>
                <w:highlight w:val="none"/>
                <w:lang w:eastAsia="zh-CN"/>
              </w:rPr>
            </w:pPr>
          </w:p>
          <w:p w14:paraId="0ADC969D">
            <w:pPr>
              <w:pStyle w:val="11"/>
              <w:bidi w:val="0"/>
              <w:rPr>
                <w:rFonts w:hint="eastAsia"/>
                <w:color w:val="auto"/>
                <w:highlight w:val="none"/>
                <w:lang w:eastAsia="zh-CN"/>
              </w:rPr>
            </w:pPr>
          </w:p>
          <w:p w14:paraId="2772C24E">
            <w:pPr>
              <w:pStyle w:val="11"/>
              <w:bidi w:val="0"/>
              <w:rPr>
                <w:rFonts w:hint="eastAsia"/>
                <w:color w:val="auto"/>
                <w:highlight w:val="none"/>
                <w:lang w:eastAsia="zh-CN"/>
              </w:rPr>
            </w:pPr>
          </w:p>
          <w:p w14:paraId="4E8B4FFF">
            <w:pPr>
              <w:pStyle w:val="11"/>
              <w:bidi w:val="0"/>
              <w:ind w:left="0" w:leftChars="0" w:firstLine="0" w:firstLineChars="0"/>
              <w:rPr>
                <w:rFonts w:hint="eastAsia"/>
                <w:color w:val="auto"/>
                <w:highlight w:val="none"/>
                <w:lang w:eastAsia="zh-CN"/>
              </w:rPr>
            </w:pPr>
          </w:p>
          <w:p w14:paraId="59485146">
            <w:pPr>
              <w:pStyle w:val="11"/>
              <w:bidi w:val="0"/>
              <w:rPr>
                <w:rFonts w:hint="eastAsia"/>
                <w:color w:val="auto"/>
                <w:highlight w:val="none"/>
                <w:lang w:eastAsia="zh-CN"/>
              </w:rPr>
            </w:pPr>
          </w:p>
          <w:p w14:paraId="543EB264">
            <w:pPr>
              <w:pStyle w:val="11"/>
              <w:bidi w:val="0"/>
              <w:ind w:left="0" w:leftChars="0" w:firstLine="0" w:firstLineChars="0"/>
              <w:rPr>
                <w:rFonts w:hint="default"/>
                <w:color w:val="auto"/>
                <w:highlight w:val="none"/>
                <w:lang w:val="en-US" w:eastAsia="zh-CN"/>
              </w:rPr>
            </w:pPr>
          </w:p>
        </w:tc>
      </w:tr>
    </w:tbl>
    <w:p w14:paraId="1FF29161">
      <w:pPr>
        <w:spacing w:line="360" w:lineRule="auto"/>
        <w:outlineLvl w:val="0"/>
        <w:rPr>
          <w:rFonts w:eastAsia="黑体"/>
          <w:color w:val="auto"/>
          <w:sz w:val="30"/>
          <w:highlight w:val="none"/>
        </w:rPr>
        <w:sectPr>
          <w:footerReference r:id="rId7" w:type="default"/>
          <w:pgSz w:w="11906" w:h="16838"/>
          <w:pgMar w:top="1701" w:right="1531" w:bottom="1701" w:left="1531" w:header="851" w:footer="1077" w:gutter="0"/>
          <w:pgNumType w:fmt="decimal" w:start="1"/>
          <w:cols w:space="720" w:num="1"/>
          <w:docGrid w:linePitch="312" w:charSpace="0"/>
        </w:sectPr>
      </w:pPr>
    </w:p>
    <w:p w14:paraId="2B938326">
      <w:pPr>
        <w:pStyle w:val="22"/>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二、建设项目工程分析</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14:paraId="649FBC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3" w:type="dxa"/>
            <w:noWrap w:val="0"/>
            <w:vAlign w:val="center"/>
          </w:tcPr>
          <w:p w14:paraId="326844A7">
            <w:pPr>
              <w:pStyle w:val="22"/>
              <w:adjustRightInd w:val="0"/>
              <w:snapToGrid w:val="0"/>
              <w:spacing w:before="0" w:beforeAutospacing="0" w:after="0" w:afterAutospacing="0"/>
              <w:jc w:val="center"/>
              <w:rPr>
                <w:rFonts w:cs="宋体"/>
                <w:color w:val="auto"/>
                <w:sz w:val="24"/>
                <w:szCs w:val="24"/>
                <w:highlight w:val="none"/>
              </w:rPr>
            </w:pPr>
            <w:r>
              <w:rPr>
                <w:rFonts w:hint="eastAsia" w:cs="宋体"/>
                <w:color w:val="auto"/>
                <w:sz w:val="24"/>
                <w:szCs w:val="24"/>
                <w:highlight w:val="none"/>
              </w:rPr>
              <w:t>建设内容</w:t>
            </w:r>
          </w:p>
        </w:tc>
        <w:tc>
          <w:tcPr>
            <w:tcW w:w="8161" w:type="dxa"/>
            <w:noWrap w:val="0"/>
            <w:vAlign w:val="top"/>
          </w:tcPr>
          <w:p w14:paraId="7BE4189A">
            <w:pPr>
              <w:pStyle w:val="11"/>
              <w:numPr>
                <w:ilvl w:val="0"/>
                <w:numId w:val="2"/>
              </w:numPr>
              <w:bidi w:val="0"/>
              <w:rPr>
                <w:rFonts w:hint="default"/>
                <w:b/>
                <w:bCs/>
                <w:color w:val="auto"/>
                <w:highlight w:val="none"/>
                <w:lang w:val="en-US" w:eastAsia="zh-CN"/>
              </w:rPr>
            </w:pPr>
            <w:r>
              <w:rPr>
                <w:rFonts w:hint="eastAsia"/>
                <w:b/>
                <w:bCs/>
                <w:color w:val="auto"/>
                <w:highlight w:val="none"/>
                <w:lang w:val="en-US" w:eastAsia="zh-CN"/>
              </w:rPr>
              <w:t>项目由来</w:t>
            </w:r>
          </w:p>
          <w:p w14:paraId="10FE4B9B">
            <w:pPr>
              <w:pStyle w:val="11"/>
              <w:bidi w:val="0"/>
              <w:rPr>
                <w:rFonts w:hint="eastAsia"/>
                <w:color w:val="auto"/>
                <w:highlight w:val="none"/>
                <w:lang w:val="en-US" w:eastAsia="zh-CN"/>
              </w:rPr>
            </w:pPr>
            <w:r>
              <w:rPr>
                <w:rFonts w:hint="eastAsia"/>
                <w:color w:val="auto"/>
                <w:highlight w:val="none"/>
                <w:lang w:val="en-US" w:eastAsia="zh-CN"/>
              </w:rPr>
              <w:t>2022年，</w:t>
            </w:r>
            <w:r>
              <w:rPr>
                <w:rFonts w:hint="default"/>
                <w:color w:val="auto"/>
                <w:highlight w:val="none"/>
                <w:lang w:val="en-US" w:eastAsia="zh-CN"/>
              </w:rPr>
              <w:t>农业农村部对秸秆综合利用工作进行专题部署，全面实施秸秆综合利用行动，坚持农用优先、多措并举，以肥料化、饲料化、能源化为主攻方向，推动需求端供给端协同发力，在全国建设300个秸秆综合利用重点县、600个秸秆综合利用展示基地，确保全国秸秆综合利用率稳定在86%以上。</w:t>
            </w:r>
            <w:r>
              <w:rPr>
                <w:rFonts w:hint="eastAsia"/>
                <w:color w:val="auto"/>
                <w:highlight w:val="none"/>
                <w:lang w:val="en-US" w:eastAsia="zh-CN"/>
              </w:rPr>
              <w:t>洋县为了提升农作物秸秆离田利用率，在有效保护环境，减轻秸秆禁烧压力的同时，助力乡村振兴产业发展，带动地方群众增产增收。在此背景下，2022年12月陕西旺久成实业有限公司洋县分公司于洋县行政审批服务局取得项目备案。</w:t>
            </w:r>
          </w:p>
          <w:p w14:paraId="43BD3993">
            <w:pPr>
              <w:pStyle w:val="11"/>
              <w:bidi w:val="0"/>
              <w:rPr>
                <w:rFonts w:hint="default"/>
                <w:color w:val="auto"/>
                <w:highlight w:val="none"/>
                <w:lang w:val="en-US" w:eastAsia="zh-CN"/>
              </w:rPr>
            </w:pPr>
            <w:r>
              <w:rPr>
                <w:rFonts w:hint="default"/>
                <w:color w:val="auto"/>
                <w:highlight w:val="none"/>
                <w:lang w:val="en-US" w:eastAsia="zh-CN"/>
              </w:rPr>
              <w:t>根据《中华人民共和国环境影响评价法》、国务院第682号令《建设项目环境保护管理条例》规定，该项目应进行环境影响评价工作。项目为</w:t>
            </w:r>
            <w:r>
              <w:rPr>
                <w:rFonts w:hint="eastAsia"/>
                <w:color w:val="auto"/>
                <w:highlight w:val="none"/>
                <w:lang w:val="en-US" w:eastAsia="zh-CN"/>
              </w:rPr>
              <w:t>秸秆综合利用项目</w:t>
            </w:r>
            <w:r>
              <w:rPr>
                <w:rFonts w:hint="default"/>
                <w:color w:val="auto"/>
                <w:highlight w:val="none"/>
                <w:lang w:val="en-US" w:eastAsia="zh-CN"/>
              </w:rPr>
              <w:t>，因此对照《建设项目环境影响评价分类管理名录》（2021年版）。本项目属于</w:t>
            </w:r>
            <w:r>
              <w:rPr>
                <w:rFonts w:hint="eastAsia"/>
                <w:color w:val="auto"/>
                <w:highlight w:val="none"/>
                <w:lang w:val="en-US" w:eastAsia="zh-CN"/>
              </w:rPr>
              <w:t>“三十九</w:t>
            </w:r>
            <w:r>
              <w:rPr>
                <w:rFonts w:hint="default"/>
                <w:color w:val="auto"/>
                <w:highlight w:val="none"/>
                <w:lang w:val="en-US" w:eastAsia="zh-CN"/>
              </w:rPr>
              <w:t>、废弃资源综合利用业</w:t>
            </w:r>
            <w:r>
              <w:rPr>
                <w:rFonts w:hint="eastAsia"/>
                <w:color w:val="auto"/>
                <w:highlight w:val="none"/>
                <w:lang w:val="en-US" w:eastAsia="zh-CN"/>
              </w:rPr>
              <w:t>42</w:t>
            </w:r>
            <w:r>
              <w:rPr>
                <w:rFonts w:hint="default"/>
                <w:color w:val="auto"/>
                <w:highlight w:val="none"/>
                <w:lang w:val="en-US" w:eastAsia="zh-CN"/>
              </w:rPr>
              <w:t>、，非金属废料和碎屑加工处理42</w:t>
            </w:r>
            <w:r>
              <w:rPr>
                <w:rFonts w:hint="eastAsia"/>
                <w:color w:val="auto"/>
                <w:highlight w:val="none"/>
                <w:lang w:val="en-US" w:eastAsia="zh-CN"/>
              </w:rPr>
              <w:t>”、“四十二、生物质燃气生产和供应业</w:t>
            </w:r>
            <w:r>
              <w:rPr>
                <w:rFonts w:hint="default"/>
                <w:color w:val="auto"/>
                <w:highlight w:val="none"/>
                <w:lang w:val="en-US" w:eastAsia="zh-CN"/>
              </w:rPr>
              <w:t>45，生物质燃气生产和供应业452（不含供应工程</w:t>
            </w:r>
            <w:r>
              <w:rPr>
                <w:rFonts w:hint="eastAsia"/>
                <w:color w:val="auto"/>
                <w:highlight w:val="none"/>
                <w:lang w:val="en-US" w:eastAsia="zh-CN"/>
              </w:rPr>
              <w:t>）-全部”以及“</w:t>
            </w:r>
            <w:r>
              <w:rPr>
                <w:rFonts w:hint="default"/>
                <w:color w:val="auto"/>
                <w:highlight w:val="none"/>
                <w:lang w:val="en-US" w:eastAsia="zh-CN"/>
              </w:rPr>
              <w:t>二十二、石油、煤炭及其他燃料加工业25，生物质燃料加工254</w:t>
            </w:r>
            <w:r>
              <w:rPr>
                <w:rFonts w:hint="eastAsia"/>
                <w:color w:val="auto"/>
                <w:highlight w:val="none"/>
                <w:lang w:val="en-US" w:eastAsia="zh-CN"/>
              </w:rPr>
              <w:t>-生物质致密成型燃料加工”，应</w:t>
            </w:r>
            <w:r>
              <w:rPr>
                <w:rFonts w:hint="default"/>
                <w:color w:val="auto"/>
                <w:highlight w:val="none"/>
                <w:lang w:val="en-US" w:eastAsia="zh-CN"/>
              </w:rPr>
              <w:t>编制环境影响报告表。2025年</w:t>
            </w:r>
            <w:r>
              <w:rPr>
                <w:rFonts w:hint="eastAsia"/>
                <w:color w:val="auto"/>
                <w:highlight w:val="none"/>
                <w:lang w:val="en-US" w:eastAsia="zh-CN"/>
              </w:rPr>
              <w:t>4</w:t>
            </w:r>
            <w:r>
              <w:rPr>
                <w:rFonts w:hint="default"/>
                <w:color w:val="auto"/>
                <w:highlight w:val="none"/>
                <w:lang w:val="en-US" w:eastAsia="zh-CN"/>
              </w:rPr>
              <w:t>月，</w:t>
            </w:r>
            <w:r>
              <w:rPr>
                <w:rFonts w:hint="eastAsia"/>
                <w:color w:val="auto"/>
                <w:highlight w:val="none"/>
                <w:lang w:val="en-US" w:eastAsia="zh-CN"/>
              </w:rPr>
              <w:t>陕西旺久成实业有限公司洋县分公司</w:t>
            </w:r>
            <w:r>
              <w:rPr>
                <w:rFonts w:hint="default"/>
                <w:color w:val="auto"/>
                <w:highlight w:val="none"/>
                <w:lang w:val="en-US" w:eastAsia="zh-CN"/>
              </w:rPr>
              <w:t>正式委托我公司承担本项目的环境影响评价工作，编制《洋县戚氏镇秸秆综合利用项目环境影响报告表》。</w:t>
            </w:r>
          </w:p>
          <w:p w14:paraId="7CD1809A">
            <w:pPr>
              <w:pStyle w:val="11"/>
              <w:numPr>
                <w:ilvl w:val="0"/>
                <w:numId w:val="2"/>
              </w:numPr>
              <w:bidi w:val="0"/>
              <w:rPr>
                <w:rFonts w:hint="default"/>
                <w:b/>
                <w:bCs/>
                <w:color w:val="auto"/>
                <w:highlight w:val="none"/>
                <w:lang w:val="en-US" w:eastAsia="zh-CN"/>
              </w:rPr>
            </w:pPr>
            <w:r>
              <w:rPr>
                <w:rFonts w:hint="eastAsia"/>
                <w:b/>
                <w:bCs/>
                <w:color w:val="auto"/>
                <w:highlight w:val="none"/>
                <w:lang w:val="en-US" w:eastAsia="zh-CN"/>
              </w:rPr>
              <w:t>项目地理位置及四邻关系</w:t>
            </w:r>
          </w:p>
          <w:p w14:paraId="6E7455E9">
            <w:pPr>
              <w:adjustRightInd w:val="0"/>
              <w:snapToGrid w:val="0"/>
              <w:spacing w:line="360" w:lineRule="auto"/>
              <w:ind w:firstLine="480" w:firstLineChars="200"/>
              <w:rPr>
                <w:rFonts w:hint="default" w:ascii="Times New Roman" w:hAnsi="Times New Roman" w:eastAsia="宋体" w:cs="Times New Roman"/>
                <w:color w:val="auto"/>
                <w:kern w:val="0"/>
                <w:sz w:val="24"/>
                <w:szCs w:val="20"/>
                <w:highlight w:val="none"/>
                <w:lang w:val="en-US" w:eastAsia="zh-CN" w:bidi="ar-SA"/>
              </w:rPr>
            </w:pPr>
            <w:r>
              <w:rPr>
                <w:rFonts w:hint="eastAsia" w:ascii="Times New Roman" w:hAnsi="Times New Roman" w:eastAsia="宋体" w:cs="Times New Roman"/>
                <w:color w:val="auto"/>
                <w:kern w:val="0"/>
                <w:sz w:val="24"/>
                <w:szCs w:val="20"/>
                <w:highlight w:val="none"/>
                <w:lang w:val="en-US" w:eastAsia="zh-CN" w:bidi="ar-SA"/>
              </w:rPr>
              <w:t>本项目位于汉中市洋县戚氏</w:t>
            </w:r>
            <w:r>
              <w:rPr>
                <w:rFonts w:hint="eastAsia" w:cs="Times New Roman"/>
                <w:color w:val="auto"/>
                <w:kern w:val="0"/>
                <w:sz w:val="24"/>
                <w:szCs w:val="20"/>
                <w:highlight w:val="none"/>
                <w:lang w:val="en-US" w:eastAsia="zh-CN" w:bidi="ar-SA"/>
              </w:rPr>
              <w:t>街道办</w:t>
            </w:r>
            <w:r>
              <w:rPr>
                <w:rFonts w:hint="eastAsia" w:ascii="Times New Roman" w:hAnsi="Times New Roman" w:eastAsia="宋体" w:cs="Times New Roman"/>
                <w:color w:val="auto"/>
                <w:kern w:val="0"/>
                <w:sz w:val="24"/>
                <w:szCs w:val="20"/>
                <w:highlight w:val="none"/>
                <w:lang w:val="en-US" w:eastAsia="zh-CN" w:bidi="ar-SA"/>
              </w:rPr>
              <w:t>，项目地理坐标为经度：</w:t>
            </w:r>
            <w:r>
              <w:rPr>
                <w:rFonts w:hint="default" w:ascii="Times New Roman" w:hAnsi="Times New Roman" w:eastAsia="宋体" w:cs="Times New Roman"/>
                <w:color w:val="auto"/>
                <w:kern w:val="0"/>
                <w:sz w:val="24"/>
                <w:szCs w:val="20"/>
                <w:highlight w:val="none"/>
                <w:lang w:val="en-US" w:eastAsia="zh-CN" w:bidi="ar-SA"/>
              </w:rPr>
              <w:t>110°9′1.329″，</w:t>
            </w:r>
            <w:r>
              <w:rPr>
                <w:rFonts w:hint="eastAsia" w:ascii="Times New Roman" w:hAnsi="Times New Roman" w:eastAsia="宋体" w:cs="Times New Roman"/>
                <w:color w:val="auto"/>
                <w:kern w:val="0"/>
                <w:sz w:val="24"/>
                <w:szCs w:val="20"/>
                <w:highlight w:val="none"/>
                <w:lang w:val="en-US" w:eastAsia="zh-CN" w:bidi="ar-SA"/>
              </w:rPr>
              <w:t>纬度</w:t>
            </w:r>
            <w:r>
              <w:rPr>
                <w:rFonts w:hint="default" w:ascii="Times New Roman" w:hAnsi="Times New Roman" w:eastAsia="宋体" w:cs="Times New Roman"/>
                <w:color w:val="auto"/>
                <w:kern w:val="0"/>
                <w:sz w:val="24"/>
                <w:szCs w:val="20"/>
                <w:highlight w:val="none"/>
                <w:lang w:val="en-US" w:eastAsia="zh-CN" w:bidi="ar-SA"/>
              </w:rPr>
              <w:t>38°47′32.509″</w:t>
            </w:r>
            <w:r>
              <w:rPr>
                <w:rFonts w:hint="eastAsia" w:ascii="Times New Roman" w:hAnsi="Times New Roman" w:eastAsia="宋体" w:cs="Times New Roman"/>
                <w:color w:val="auto"/>
                <w:kern w:val="0"/>
                <w:sz w:val="24"/>
                <w:szCs w:val="20"/>
                <w:highlight w:val="none"/>
                <w:lang w:val="en-US" w:eastAsia="zh-CN" w:bidi="ar-SA"/>
              </w:rPr>
              <w:t>，项目地理位置见附图1。项目四周为空地和农田，项目南侧45m处为全丰村，G108国道在项目地南侧，有乡道相连通，项目四邻关系见附图2。</w:t>
            </w:r>
          </w:p>
          <w:p w14:paraId="0120BCA5">
            <w:pPr>
              <w:pStyle w:val="11"/>
              <w:numPr>
                <w:ilvl w:val="0"/>
                <w:numId w:val="2"/>
              </w:numPr>
              <w:bidi w:val="0"/>
              <w:rPr>
                <w:rFonts w:hint="default"/>
                <w:b/>
                <w:bCs/>
                <w:color w:val="auto"/>
                <w:highlight w:val="none"/>
                <w:lang w:val="en-US" w:eastAsia="zh-CN"/>
              </w:rPr>
            </w:pPr>
            <w:r>
              <w:rPr>
                <w:rFonts w:hint="eastAsia"/>
                <w:b/>
                <w:bCs/>
                <w:color w:val="auto"/>
                <w:highlight w:val="none"/>
                <w:lang w:val="en-US" w:eastAsia="zh-CN"/>
              </w:rPr>
              <w:t>项目概况</w:t>
            </w:r>
          </w:p>
          <w:p w14:paraId="1FABF4CA">
            <w:pPr>
              <w:pStyle w:val="11"/>
              <w:bidi w:val="0"/>
              <w:rPr>
                <w:rFonts w:hint="default"/>
                <w:color w:val="auto"/>
                <w:highlight w:val="none"/>
                <w:lang w:val="en-US" w:eastAsia="zh-CN"/>
              </w:rPr>
            </w:pPr>
            <w:r>
              <w:rPr>
                <w:rFonts w:hint="default"/>
                <w:color w:val="auto"/>
                <w:highlight w:val="none"/>
                <w:lang w:val="en-US" w:eastAsia="zh-CN"/>
              </w:rPr>
              <w:t>（1）项目名称：洋县戚氏镇秸秆综合利用项目</w:t>
            </w:r>
            <w:r>
              <w:rPr>
                <w:rFonts w:hint="eastAsia"/>
                <w:color w:val="auto"/>
                <w:highlight w:val="none"/>
                <w:lang w:val="en-US" w:eastAsia="zh-CN"/>
              </w:rPr>
              <w:t>；</w:t>
            </w:r>
          </w:p>
          <w:p w14:paraId="10369EAE">
            <w:pPr>
              <w:pStyle w:val="11"/>
              <w:bidi w:val="0"/>
              <w:rPr>
                <w:rFonts w:hint="default"/>
                <w:color w:val="auto"/>
                <w:highlight w:val="none"/>
                <w:lang w:val="en-US" w:eastAsia="zh-CN"/>
              </w:rPr>
            </w:pPr>
            <w:r>
              <w:rPr>
                <w:rFonts w:hint="default"/>
                <w:color w:val="auto"/>
                <w:highlight w:val="none"/>
                <w:lang w:val="en-US" w:eastAsia="zh-CN"/>
              </w:rPr>
              <w:t>（2）建设地点：</w:t>
            </w:r>
            <w:r>
              <w:rPr>
                <w:rFonts w:hint="eastAsia"/>
                <w:color w:val="auto"/>
                <w:highlight w:val="none"/>
                <w:lang w:val="en-US" w:eastAsia="zh-CN"/>
              </w:rPr>
              <w:t>汉中市洋县戚氏街道办；</w:t>
            </w:r>
          </w:p>
          <w:p w14:paraId="3A6E344E">
            <w:pPr>
              <w:pStyle w:val="11"/>
              <w:bidi w:val="0"/>
              <w:rPr>
                <w:rFonts w:hint="eastAsia"/>
                <w:color w:val="auto"/>
                <w:highlight w:val="none"/>
                <w:lang w:val="en-US" w:eastAsia="zh-CN"/>
              </w:rPr>
            </w:pPr>
            <w:r>
              <w:rPr>
                <w:rFonts w:hint="default"/>
                <w:color w:val="auto"/>
                <w:highlight w:val="none"/>
                <w:lang w:val="en-US" w:eastAsia="zh-CN"/>
              </w:rPr>
              <w:t>（3）建设单位：陕西旺久成实业有限公司洋县分公</w:t>
            </w:r>
            <w:r>
              <w:rPr>
                <w:rFonts w:hint="eastAsia"/>
                <w:color w:val="auto"/>
                <w:highlight w:val="none"/>
                <w:lang w:val="en-US" w:eastAsia="zh-CN"/>
              </w:rPr>
              <w:t>司；</w:t>
            </w:r>
          </w:p>
          <w:p w14:paraId="48579B72">
            <w:pPr>
              <w:pStyle w:val="11"/>
              <w:bidi w:val="0"/>
              <w:rPr>
                <w:rFonts w:hint="default"/>
                <w:color w:val="auto"/>
                <w:highlight w:val="none"/>
                <w:lang w:val="en-US" w:eastAsia="zh-CN"/>
              </w:rPr>
            </w:pPr>
            <w:r>
              <w:rPr>
                <w:rFonts w:hint="default"/>
                <w:color w:val="auto"/>
                <w:highlight w:val="none"/>
                <w:lang w:val="en-US" w:eastAsia="zh-CN"/>
              </w:rPr>
              <w:t>（4）工程投资：项目总投资</w:t>
            </w:r>
            <w:r>
              <w:rPr>
                <w:rFonts w:hint="eastAsia"/>
                <w:color w:val="auto"/>
                <w:highlight w:val="none"/>
                <w:lang w:val="en-US" w:eastAsia="zh-CN"/>
              </w:rPr>
              <w:t>4900</w:t>
            </w:r>
            <w:r>
              <w:rPr>
                <w:rFonts w:hint="default"/>
                <w:color w:val="auto"/>
                <w:highlight w:val="none"/>
                <w:lang w:val="en-US" w:eastAsia="zh-CN"/>
              </w:rPr>
              <w:t>万元，环保投资</w:t>
            </w:r>
            <w:r>
              <w:rPr>
                <w:rFonts w:hint="eastAsia"/>
                <w:color w:val="auto"/>
                <w:highlight w:val="none"/>
                <w:lang w:val="en-US" w:eastAsia="zh-CN"/>
              </w:rPr>
              <w:t>103.5</w:t>
            </w:r>
            <w:r>
              <w:rPr>
                <w:rFonts w:hint="default"/>
                <w:color w:val="auto"/>
                <w:highlight w:val="none"/>
                <w:lang w:val="en-US" w:eastAsia="zh-CN"/>
              </w:rPr>
              <w:t>万元，占项目总投资额的</w:t>
            </w:r>
            <w:r>
              <w:rPr>
                <w:rFonts w:hint="eastAsia"/>
                <w:color w:val="auto"/>
                <w:highlight w:val="none"/>
                <w:lang w:val="en-US" w:eastAsia="zh-CN"/>
              </w:rPr>
              <w:t>2.11</w:t>
            </w:r>
            <w:r>
              <w:rPr>
                <w:rFonts w:hint="default"/>
                <w:color w:val="auto"/>
                <w:highlight w:val="none"/>
                <w:lang w:val="en-US" w:eastAsia="zh-CN"/>
              </w:rPr>
              <w:t>%</w:t>
            </w:r>
            <w:r>
              <w:rPr>
                <w:rFonts w:hint="eastAsia"/>
                <w:color w:val="auto"/>
                <w:highlight w:val="none"/>
                <w:lang w:val="en-US" w:eastAsia="zh-CN"/>
              </w:rPr>
              <w:t>；</w:t>
            </w:r>
          </w:p>
          <w:p w14:paraId="153E11FD">
            <w:pPr>
              <w:pStyle w:val="11"/>
              <w:bidi w:val="0"/>
              <w:rPr>
                <w:rFonts w:hint="default"/>
                <w:color w:val="auto"/>
                <w:highlight w:val="none"/>
                <w:lang w:val="en-US" w:eastAsia="zh-CN"/>
              </w:rPr>
            </w:pPr>
            <w:r>
              <w:rPr>
                <w:rFonts w:hint="default"/>
                <w:color w:val="auto"/>
                <w:highlight w:val="none"/>
                <w:lang w:val="en-US" w:eastAsia="zh-CN"/>
              </w:rPr>
              <w:t>（5）建设规模：</w:t>
            </w:r>
            <w:r>
              <w:rPr>
                <w:rFonts w:hint="eastAsia"/>
                <w:color w:val="auto"/>
                <w:highlight w:val="none"/>
                <w:lang w:val="en-US" w:eastAsia="zh-CN"/>
              </w:rPr>
              <w:t>新建1个厂区，总建筑面积12000平方米，建设年处理秸秆2万吨综合利用生产线1条，建设环保烧烤炭生产线1条，建设有机肥生产线1条，新建专项处理秸秆加工分离出的可燃气体与燃气混合配套设施1套。配套建设消防、安防等相关附属设施安装。</w:t>
            </w:r>
          </w:p>
          <w:p w14:paraId="7587F463">
            <w:pPr>
              <w:pStyle w:val="11"/>
              <w:numPr>
                <w:ilvl w:val="0"/>
                <w:numId w:val="2"/>
              </w:numPr>
              <w:bidi w:val="0"/>
              <w:rPr>
                <w:rFonts w:hint="default"/>
                <w:b/>
                <w:bCs/>
                <w:color w:val="auto"/>
                <w:highlight w:val="none"/>
                <w:lang w:val="en-US" w:eastAsia="zh-CN"/>
              </w:rPr>
            </w:pPr>
            <w:r>
              <w:rPr>
                <w:rFonts w:hint="eastAsia"/>
                <w:b/>
                <w:bCs/>
                <w:color w:val="auto"/>
                <w:highlight w:val="none"/>
                <w:lang w:val="en-US" w:eastAsia="zh-CN"/>
              </w:rPr>
              <w:t>项目组成及建设内容</w:t>
            </w:r>
          </w:p>
          <w:p w14:paraId="61855922">
            <w:pPr>
              <w:pStyle w:val="11"/>
              <w:bidi w:val="0"/>
              <w:rPr>
                <w:rFonts w:hint="eastAsia"/>
                <w:color w:val="auto"/>
                <w:highlight w:val="none"/>
                <w:lang w:val="en-US" w:eastAsia="zh-CN"/>
              </w:rPr>
            </w:pPr>
            <w:r>
              <w:rPr>
                <w:rFonts w:hint="eastAsia"/>
                <w:color w:val="auto"/>
                <w:highlight w:val="none"/>
                <w:lang w:val="en-US" w:eastAsia="zh-CN"/>
              </w:rPr>
              <w:t>本项目设计年处理秸秆2万吨，需购置粉碎机、烘干机、炭化机及混气调压装置等生产设备。项目建成投产后，将形成年产净化秸秆气392.6万m</w:t>
            </w:r>
            <w:r>
              <w:rPr>
                <w:rFonts w:hint="eastAsia"/>
                <w:color w:val="auto"/>
                <w:highlight w:val="none"/>
                <w:vertAlign w:val="superscript"/>
                <w:lang w:val="en-US" w:eastAsia="zh-CN"/>
              </w:rPr>
              <w:t>3</w:t>
            </w:r>
            <w:r>
              <w:rPr>
                <w:rFonts w:hint="eastAsia"/>
                <w:color w:val="auto"/>
                <w:highlight w:val="none"/>
                <w:lang w:val="en-US" w:eastAsia="zh-CN"/>
              </w:rPr>
              <w:t>、生物质炭（秸秆炭）4941.6t、有机肥5000t的生产能力。本项目主要由主体工程、辅助工程、公用工程以及环保工程组成，本次评价不包含本项目范围外的燃气管网及调压站等内容。项目具体建设内容详见表2-1。</w:t>
            </w:r>
          </w:p>
          <w:p w14:paraId="28863835">
            <w:pPr>
              <w:pStyle w:val="32"/>
              <w:bidi w:val="0"/>
              <w:rPr>
                <w:color w:val="auto"/>
                <w:highlight w:val="none"/>
              </w:rPr>
            </w:pPr>
            <w:r>
              <w:rPr>
                <w:color w:val="auto"/>
                <w:highlight w:val="none"/>
              </w:rPr>
              <w:t>表2-1</w:t>
            </w:r>
            <w:r>
              <w:rPr>
                <w:rFonts w:hint="eastAsia"/>
                <w:color w:val="auto"/>
                <w:highlight w:val="none"/>
                <w:lang w:val="en-US" w:eastAsia="zh-CN"/>
              </w:rPr>
              <w:t xml:space="preserve">     </w:t>
            </w:r>
            <w:r>
              <w:rPr>
                <w:color w:val="auto"/>
                <w:highlight w:val="none"/>
              </w:rPr>
              <w:t>项目组成及主要工程内容表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Layout w:type="fixed"/>
              <w:tblCellMar>
                <w:top w:w="0" w:type="dxa"/>
                <w:left w:w="108" w:type="dxa"/>
                <w:bottom w:w="0" w:type="dxa"/>
                <w:right w:w="108" w:type="dxa"/>
              </w:tblCellMar>
            </w:tblPr>
            <w:tblGrid>
              <w:gridCol w:w="444"/>
              <w:gridCol w:w="525"/>
              <w:gridCol w:w="855"/>
              <w:gridCol w:w="5325"/>
              <w:gridCol w:w="786"/>
            </w:tblGrid>
            <w:tr w14:paraId="092293DA">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62" w:hRule="atLeast"/>
                <w:jc w:val="center"/>
              </w:trPr>
              <w:tc>
                <w:tcPr>
                  <w:tcW w:w="444" w:type="dxa"/>
                  <w:noWrap w:val="0"/>
                  <w:vAlign w:val="center"/>
                </w:tcPr>
                <w:p w14:paraId="12710ADA">
                  <w:pPr>
                    <w:pStyle w:val="49"/>
                    <w:bidi w:val="0"/>
                    <w:rPr>
                      <w:rFonts w:hint="eastAsia"/>
                      <w:b/>
                      <w:bCs/>
                      <w:color w:val="auto"/>
                      <w:highlight w:val="none"/>
                      <w:lang w:val="en-US" w:eastAsia="zh-CN"/>
                    </w:rPr>
                  </w:pPr>
                  <w:r>
                    <w:rPr>
                      <w:rFonts w:hint="eastAsia"/>
                      <w:b/>
                      <w:bCs/>
                      <w:color w:val="auto"/>
                      <w:highlight w:val="none"/>
                      <w:lang w:val="en-US" w:eastAsia="zh-CN"/>
                    </w:rPr>
                    <w:t>类别</w:t>
                  </w:r>
                </w:p>
              </w:tc>
              <w:tc>
                <w:tcPr>
                  <w:tcW w:w="1380" w:type="dxa"/>
                  <w:gridSpan w:val="2"/>
                  <w:noWrap w:val="0"/>
                  <w:vAlign w:val="center"/>
                </w:tcPr>
                <w:p w14:paraId="03183926">
                  <w:pPr>
                    <w:pStyle w:val="49"/>
                    <w:bidi w:val="0"/>
                    <w:rPr>
                      <w:rFonts w:hint="eastAsia"/>
                      <w:b/>
                      <w:bCs/>
                      <w:color w:val="auto"/>
                      <w:highlight w:val="none"/>
                      <w:lang w:val="en-US" w:eastAsia="zh-CN"/>
                    </w:rPr>
                  </w:pPr>
                  <w:r>
                    <w:rPr>
                      <w:rFonts w:hint="eastAsia"/>
                      <w:b/>
                      <w:bCs/>
                      <w:color w:val="auto"/>
                      <w:highlight w:val="none"/>
                      <w:lang w:val="en-US" w:eastAsia="zh-CN"/>
                    </w:rPr>
                    <w:t>工程组成</w:t>
                  </w:r>
                </w:p>
              </w:tc>
              <w:tc>
                <w:tcPr>
                  <w:tcW w:w="5325" w:type="dxa"/>
                  <w:noWrap w:val="0"/>
                  <w:vAlign w:val="center"/>
                </w:tcPr>
                <w:p w14:paraId="230B56F6">
                  <w:pPr>
                    <w:pStyle w:val="49"/>
                    <w:bidi w:val="0"/>
                    <w:rPr>
                      <w:b/>
                      <w:bCs/>
                      <w:color w:val="auto"/>
                      <w:highlight w:val="none"/>
                    </w:rPr>
                  </w:pPr>
                  <w:r>
                    <w:rPr>
                      <w:b/>
                      <w:bCs/>
                      <w:color w:val="auto"/>
                      <w:highlight w:val="none"/>
                    </w:rPr>
                    <w:t>工程内容</w:t>
                  </w:r>
                </w:p>
              </w:tc>
              <w:tc>
                <w:tcPr>
                  <w:tcW w:w="786" w:type="dxa"/>
                  <w:noWrap w:val="0"/>
                  <w:vAlign w:val="center"/>
                </w:tcPr>
                <w:p w14:paraId="150E964D">
                  <w:pPr>
                    <w:pStyle w:val="49"/>
                    <w:bidi w:val="0"/>
                    <w:rPr>
                      <w:rFonts w:hint="eastAsia"/>
                      <w:b/>
                      <w:bCs/>
                      <w:color w:val="auto"/>
                      <w:highlight w:val="none"/>
                      <w:lang w:val="en-US" w:eastAsia="zh-CN"/>
                    </w:rPr>
                  </w:pPr>
                  <w:r>
                    <w:rPr>
                      <w:rFonts w:hint="eastAsia"/>
                      <w:b/>
                      <w:bCs/>
                      <w:color w:val="auto"/>
                      <w:highlight w:val="none"/>
                      <w:lang w:val="en-US" w:eastAsia="zh-CN"/>
                    </w:rPr>
                    <w:t>备注</w:t>
                  </w:r>
                </w:p>
              </w:tc>
            </w:tr>
            <w:tr w14:paraId="0D26532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444" w:type="dxa"/>
                  <w:vMerge w:val="restart"/>
                  <w:noWrap w:val="0"/>
                  <w:vAlign w:val="center"/>
                </w:tcPr>
                <w:p w14:paraId="6C8C9C73">
                  <w:pPr>
                    <w:pStyle w:val="49"/>
                    <w:bidi w:val="0"/>
                    <w:rPr>
                      <w:color w:val="auto"/>
                      <w:highlight w:val="none"/>
                    </w:rPr>
                  </w:pPr>
                  <w:r>
                    <w:rPr>
                      <w:color w:val="auto"/>
                      <w:highlight w:val="none"/>
                    </w:rPr>
                    <w:t>主体工程</w:t>
                  </w:r>
                </w:p>
              </w:tc>
              <w:tc>
                <w:tcPr>
                  <w:tcW w:w="1380" w:type="dxa"/>
                  <w:gridSpan w:val="2"/>
                  <w:noWrap w:val="0"/>
                  <w:vAlign w:val="center"/>
                </w:tcPr>
                <w:p w14:paraId="2A414201">
                  <w:pPr>
                    <w:pStyle w:val="49"/>
                    <w:bidi w:val="0"/>
                    <w:rPr>
                      <w:rFonts w:hint="default"/>
                      <w:color w:val="auto"/>
                      <w:highlight w:val="none"/>
                      <w:lang w:val="en-US" w:eastAsia="zh-CN"/>
                    </w:rPr>
                  </w:pPr>
                  <w:r>
                    <w:rPr>
                      <w:rFonts w:hint="eastAsia"/>
                      <w:color w:val="auto"/>
                      <w:highlight w:val="none"/>
                      <w:lang w:val="en-US" w:eastAsia="zh-CN"/>
                    </w:rPr>
                    <w:t>秸秆综合利用车间</w:t>
                  </w:r>
                </w:p>
              </w:tc>
              <w:tc>
                <w:tcPr>
                  <w:tcW w:w="5325" w:type="dxa"/>
                  <w:noWrap w:val="0"/>
                  <w:vAlign w:val="center"/>
                </w:tcPr>
                <w:p w14:paraId="2E2BBB4C">
                  <w:pPr>
                    <w:pStyle w:val="49"/>
                    <w:bidi w:val="0"/>
                    <w:rPr>
                      <w:rFonts w:hint="default"/>
                      <w:color w:val="auto"/>
                      <w:highlight w:val="none"/>
                      <w:lang w:val="en-US" w:eastAsia="zh-CN"/>
                    </w:rPr>
                  </w:pPr>
                  <w:r>
                    <w:rPr>
                      <w:color w:val="auto"/>
                      <w:highlight w:val="none"/>
                      <w:lang w:val="en-US" w:eastAsia="zh-CN"/>
                    </w:rPr>
                    <w:t>位于厂区</w:t>
                  </w:r>
                  <w:r>
                    <w:rPr>
                      <w:rFonts w:hint="eastAsia"/>
                      <w:color w:val="auto"/>
                      <w:highlight w:val="none"/>
                      <w:lang w:val="en-US" w:eastAsia="zh-CN"/>
                    </w:rPr>
                    <w:t>东北方向</w:t>
                  </w:r>
                  <w:r>
                    <w:rPr>
                      <w:color w:val="auto"/>
                      <w:highlight w:val="none"/>
                      <w:lang w:val="en-US" w:eastAsia="zh-CN"/>
                    </w:rPr>
                    <w:t>，钢结构厂房，单层，</w:t>
                  </w:r>
                  <w:r>
                    <w:rPr>
                      <w:rFonts w:hint="eastAsia"/>
                      <w:color w:val="auto"/>
                      <w:highlight w:val="none"/>
                      <w:lang w:val="en-US" w:eastAsia="zh-CN"/>
                    </w:rPr>
                    <w:t>建筑高度7.35m，</w:t>
                  </w:r>
                  <w:r>
                    <w:rPr>
                      <w:color w:val="auto"/>
                      <w:highlight w:val="none"/>
                      <w:lang w:val="en-US" w:eastAsia="zh-CN"/>
                    </w:rPr>
                    <w:t>建筑面积</w:t>
                  </w:r>
                  <w:r>
                    <w:rPr>
                      <w:rFonts w:hint="eastAsia"/>
                      <w:color w:val="auto"/>
                      <w:highlight w:val="none"/>
                      <w:lang w:val="en-US" w:eastAsia="zh-CN"/>
                    </w:rPr>
                    <w:t>为1039.62</w:t>
                  </w:r>
                  <w:r>
                    <w:rPr>
                      <w:color w:val="auto"/>
                      <w:highlight w:val="none"/>
                      <w:lang w:val="en-US" w:eastAsia="zh-CN"/>
                    </w:rPr>
                    <w:t>m</w:t>
                  </w:r>
                  <w:r>
                    <w:rPr>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内设置1套秸秆肥料生产工艺区。</w:t>
                  </w:r>
                </w:p>
              </w:tc>
              <w:tc>
                <w:tcPr>
                  <w:tcW w:w="786" w:type="dxa"/>
                  <w:noWrap w:val="0"/>
                  <w:vAlign w:val="center"/>
                </w:tcPr>
                <w:p w14:paraId="7147E28C">
                  <w:pPr>
                    <w:pStyle w:val="49"/>
                    <w:bidi w:val="0"/>
                    <w:rPr>
                      <w:rFonts w:hint="default"/>
                      <w:color w:val="auto"/>
                      <w:highlight w:val="none"/>
                      <w:lang w:val="en-US" w:eastAsia="zh-CN"/>
                    </w:rPr>
                  </w:pPr>
                  <w:r>
                    <w:rPr>
                      <w:rFonts w:hint="eastAsia"/>
                      <w:color w:val="auto"/>
                      <w:highlight w:val="none"/>
                      <w:lang w:val="en-US" w:eastAsia="zh-CN"/>
                    </w:rPr>
                    <w:t>新建</w:t>
                  </w:r>
                </w:p>
              </w:tc>
            </w:tr>
            <w:tr w14:paraId="667C18F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554" w:hRule="atLeast"/>
                <w:jc w:val="center"/>
              </w:trPr>
              <w:tc>
                <w:tcPr>
                  <w:tcW w:w="444" w:type="dxa"/>
                  <w:vMerge w:val="continue"/>
                  <w:noWrap w:val="0"/>
                  <w:vAlign w:val="center"/>
                </w:tcPr>
                <w:p w14:paraId="469CB972">
                  <w:pPr>
                    <w:pStyle w:val="49"/>
                    <w:bidi w:val="0"/>
                    <w:rPr>
                      <w:color w:val="auto"/>
                      <w:highlight w:val="none"/>
                    </w:rPr>
                  </w:pPr>
                </w:p>
              </w:tc>
              <w:tc>
                <w:tcPr>
                  <w:tcW w:w="1380" w:type="dxa"/>
                  <w:gridSpan w:val="2"/>
                  <w:noWrap w:val="0"/>
                  <w:vAlign w:val="center"/>
                </w:tcPr>
                <w:p w14:paraId="554B1093">
                  <w:pPr>
                    <w:pStyle w:val="49"/>
                    <w:bidi w:val="0"/>
                    <w:rPr>
                      <w:rFonts w:hint="default"/>
                      <w:color w:val="auto"/>
                      <w:highlight w:val="none"/>
                      <w:lang w:val="en-US" w:eastAsia="zh-CN"/>
                    </w:rPr>
                  </w:pPr>
                  <w:r>
                    <w:rPr>
                      <w:rFonts w:hint="eastAsia"/>
                      <w:color w:val="auto"/>
                      <w:highlight w:val="none"/>
                      <w:lang w:val="en-US" w:eastAsia="zh-CN"/>
                    </w:rPr>
                    <w:t>碳化车间</w:t>
                  </w:r>
                </w:p>
              </w:tc>
              <w:tc>
                <w:tcPr>
                  <w:tcW w:w="5325" w:type="dxa"/>
                  <w:noWrap w:val="0"/>
                  <w:vAlign w:val="center"/>
                </w:tcPr>
                <w:p w14:paraId="2B749BA9">
                  <w:pPr>
                    <w:pStyle w:val="49"/>
                    <w:bidi w:val="0"/>
                    <w:rPr>
                      <w:rFonts w:hint="default"/>
                      <w:color w:val="auto"/>
                      <w:highlight w:val="none"/>
                      <w:lang w:val="en-US" w:eastAsia="zh-CN"/>
                    </w:rPr>
                  </w:pPr>
                  <w:r>
                    <w:rPr>
                      <w:rFonts w:hint="eastAsia"/>
                      <w:color w:val="auto"/>
                      <w:highlight w:val="none"/>
                      <w:lang w:val="en-US" w:eastAsia="zh-CN"/>
                    </w:rPr>
                    <w:t>位于厂区西侧，钢结构厂房，单层，建筑高度10.05m，建筑面积1152m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内设置1套秸秆气化和碳化工艺区。</w:t>
                  </w:r>
                </w:p>
              </w:tc>
              <w:tc>
                <w:tcPr>
                  <w:tcW w:w="786" w:type="dxa"/>
                  <w:noWrap w:val="0"/>
                  <w:vAlign w:val="center"/>
                </w:tcPr>
                <w:p w14:paraId="0AE6741C">
                  <w:pPr>
                    <w:pStyle w:val="49"/>
                    <w:bidi w:val="0"/>
                    <w:rPr>
                      <w:rFonts w:hint="default"/>
                      <w:color w:val="auto"/>
                      <w:highlight w:val="none"/>
                      <w:lang w:val="en-US" w:eastAsia="zh-CN"/>
                    </w:rPr>
                  </w:pPr>
                  <w:r>
                    <w:rPr>
                      <w:rFonts w:hint="eastAsia"/>
                      <w:color w:val="auto"/>
                      <w:highlight w:val="none"/>
                      <w:lang w:val="en-US" w:eastAsia="zh-CN"/>
                    </w:rPr>
                    <w:t>新建</w:t>
                  </w:r>
                </w:p>
              </w:tc>
            </w:tr>
            <w:tr w14:paraId="4BA7646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444" w:type="dxa"/>
                  <w:vMerge w:val="restart"/>
                  <w:noWrap w:val="0"/>
                  <w:vAlign w:val="center"/>
                </w:tcPr>
                <w:p w14:paraId="05B40A1D">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储运工程</w:t>
                  </w:r>
                </w:p>
              </w:tc>
              <w:tc>
                <w:tcPr>
                  <w:tcW w:w="1380" w:type="dxa"/>
                  <w:gridSpan w:val="2"/>
                  <w:noWrap w:val="0"/>
                  <w:vAlign w:val="center"/>
                </w:tcPr>
                <w:p w14:paraId="2CF4EDCB">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秸秆材料库房</w:t>
                  </w:r>
                </w:p>
              </w:tc>
              <w:tc>
                <w:tcPr>
                  <w:tcW w:w="5325" w:type="dxa"/>
                  <w:noWrap w:val="0"/>
                  <w:vAlign w:val="center"/>
                </w:tcPr>
                <w:p w14:paraId="2BF98D2F">
                  <w:pPr>
                    <w:pStyle w:val="49"/>
                    <w:bidi w:val="0"/>
                    <w:rPr>
                      <w:rFonts w:hint="default"/>
                      <w:color w:val="auto"/>
                      <w:highlight w:val="none"/>
                      <w:lang w:val="en-US" w:eastAsia="zh-CN"/>
                    </w:rPr>
                  </w:pPr>
                  <w:r>
                    <w:rPr>
                      <w:rFonts w:hint="eastAsia"/>
                      <w:color w:val="auto"/>
                      <w:highlight w:val="none"/>
                      <w:lang w:val="en-US" w:eastAsia="zh-CN"/>
                    </w:rPr>
                    <w:t>位于碳化车间北侧，单层，建筑高度7.35m，建筑面积1186.79m</w:t>
                  </w:r>
                  <w:r>
                    <w:rPr>
                      <w:rFonts w:hint="eastAsia"/>
                      <w:color w:val="auto"/>
                      <w:highlight w:val="none"/>
                      <w:vertAlign w:val="superscript"/>
                      <w:lang w:val="en-US" w:eastAsia="zh-CN"/>
                    </w:rPr>
                    <w:t>2</w:t>
                  </w:r>
                  <w:r>
                    <w:rPr>
                      <w:rFonts w:hint="eastAsia"/>
                      <w:color w:val="auto"/>
                      <w:highlight w:val="none"/>
                      <w:lang w:eastAsia="zh-CN"/>
                    </w:rPr>
                    <w:t>，</w:t>
                  </w:r>
                  <w:r>
                    <w:rPr>
                      <w:rFonts w:hint="eastAsia"/>
                      <w:color w:val="auto"/>
                      <w:highlight w:val="none"/>
                      <w:lang w:val="en-US" w:eastAsia="zh-CN"/>
                    </w:rPr>
                    <w:t>主要作用堆存秸秆原料。</w:t>
                  </w:r>
                </w:p>
              </w:tc>
              <w:tc>
                <w:tcPr>
                  <w:tcW w:w="786" w:type="dxa"/>
                  <w:noWrap w:val="0"/>
                  <w:vAlign w:val="center"/>
                </w:tcPr>
                <w:p w14:paraId="314F40E8">
                  <w:pPr>
                    <w:pStyle w:val="49"/>
                    <w:bidi w:val="0"/>
                    <w:rPr>
                      <w:rFonts w:hint="default"/>
                      <w:color w:val="auto"/>
                      <w:highlight w:val="none"/>
                      <w:lang w:val="en-US" w:eastAsia="zh-CN"/>
                    </w:rPr>
                  </w:pPr>
                  <w:r>
                    <w:rPr>
                      <w:rFonts w:hint="eastAsia"/>
                      <w:color w:val="auto"/>
                      <w:highlight w:val="none"/>
                      <w:lang w:val="en-US" w:eastAsia="zh-CN"/>
                    </w:rPr>
                    <w:t>新建</w:t>
                  </w:r>
                </w:p>
              </w:tc>
            </w:tr>
            <w:tr w14:paraId="7DF82CF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444" w:type="dxa"/>
                  <w:vMerge w:val="continue"/>
                  <w:noWrap w:val="0"/>
                  <w:vAlign w:val="center"/>
                </w:tcPr>
                <w:p w14:paraId="557F806F">
                  <w:pPr>
                    <w:pStyle w:val="49"/>
                    <w:bidi w:val="0"/>
                    <w:rPr>
                      <w:color w:val="auto"/>
                      <w:highlight w:val="none"/>
                    </w:rPr>
                  </w:pPr>
                </w:p>
              </w:tc>
              <w:tc>
                <w:tcPr>
                  <w:tcW w:w="1380" w:type="dxa"/>
                  <w:gridSpan w:val="2"/>
                  <w:noWrap w:val="0"/>
                  <w:vAlign w:val="center"/>
                </w:tcPr>
                <w:p w14:paraId="4E8D95D6">
                  <w:pPr>
                    <w:pStyle w:val="49"/>
                    <w:bidi w:val="0"/>
                    <w:rPr>
                      <w:rFonts w:hint="eastAsia"/>
                      <w:color w:val="auto"/>
                      <w:highlight w:val="none"/>
                      <w:lang w:val="en-US" w:eastAsia="zh-CN"/>
                    </w:rPr>
                  </w:pPr>
                  <w:r>
                    <w:rPr>
                      <w:rFonts w:hint="eastAsia"/>
                      <w:color w:val="auto"/>
                      <w:highlight w:val="none"/>
                      <w:lang w:val="en-US" w:eastAsia="zh-CN"/>
                    </w:rPr>
                    <w:t>燃气储罐区</w:t>
                  </w:r>
                </w:p>
              </w:tc>
              <w:tc>
                <w:tcPr>
                  <w:tcW w:w="5325" w:type="dxa"/>
                  <w:noWrap w:val="0"/>
                  <w:vAlign w:val="center"/>
                </w:tcPr>
                <w:p w14:paraId="4924541D">
                  <w:pPr>
                    <w:pStyle w:val="49"/>
                    <w:bidi w:val="0"/>
                    <w:rPr>
                      <w:rFonts w:hint="default"/>
                      <w:color w:val="auto"/>
                      <w:highlight w:val="none"/>
                      <w:lang w:val="en-US" w:eastAsia="zh-CN"/>
                    </w:rPr>
                  </w:pPr>
                  <w:r>
                    <w:rPr>
                      <w:rFonts w:hint="eastAsia"/>
                      <w:color w:val="auto"/>
                      <w:highlight w:val="none"/>
                      <w:lang w:val="en-US" w:eastAsia="zh-CN"/>
                    </w:rPr>
                    <w:t>位于厂区北侧，占地面积1248m</w:t>
                  </w:r>
                  <w:r>
                    <w:rPr>
                      <w:rFonts w:hint="eastAsia"/>
                      <w:color w:val="auto"/>
                      <w:highlight w:val="none"/>
                      <w:vertAlign w:val="superscript"/>
                      <w:lang w:val="en-US" w:eastAsia="zh-CN"/>
                    </w:rPr>
                    <w:t>2</w:t>
                  </w:r>
                  <w:r>
                    <w:rPr>
                      <w:rFonts w:hint="eastAsia"/>
                      <w:color w:val="auto"/>
                      <w:highlight w:val="none"/>
                      <w:lang w:val="en-US" w:eastAsia="zh-CN"/>
                    </w:rPr>
                    <w:t>，设有2个200m</w:t>
                  </w:r>
                  <w:r>
                    <w:rPr>
                      <w:rFonts w:hint="eastAsia"/>
                      <w:color w:val="auto"/>
                      <w:highlight w:val="none"/>
                      <w:vertAlign w:val="superscript"/>
                      <w:lang w:val="en-US" w:eastAsia="zh-CN"/>
                    </w:rPr>
                    <w:t>3</w:t>
                  </w:r>
                  <w:r>
                    <w:rPr>
                      <w:rFonts w:hint="eastAsia"/>
                      <w:color w:val="auto"/>
                      <w:highlight w:val="none"/>
                      <w:lang w:val="en-US" w:eastAsia="zh-CN"/>
                    </w:rPr>
                    <w:t>低压钢制储罐（秸秆气），100m</w:t>
                  </w:r>
                  <w:r>
                    <w:rPr>
                      <w:rFonts w:hint="eastAsia"/>
                      <w:color w:val="auto"/>
                      <w:highlight w:val="none"/>
                      <w:vertAlign w:val="superscript"/>
                      <w:lang w:val="en-US" w:eastAsia="zh-CN"/>
                    </w:rPr>
                    <w:t>3</w:t>
                  </w:r>
                  <w:r>
                    <w:rPr>
                      <w:rFonts w:hint="eastAsia"/>
                      <w:color w:val="auto"/>
                      <w:highlight w:val="none"/>
                      <w:lang w:val="en-US" w:eastAsia="zh-CN"/>
                    </w:rPr>
                    <w:t>混合气缓冲罐，100m3混合气储罐。同时还设有调压装置区，主要设置压计量加臭装置、压缩机等工艺设备，对来气进行过滤、调压、流量计量及通过加臭剂（四氢噻吩）进行加臭。</w:t>
                  </w:r>
                </w:p>
              </w:tc>
              <w:tc>
                <w:tcPr>
                  <w:tcW w:w="786" w:type="dxa"/>
                  <w:noWrap w:val="0"/>
                  <w:vAlign w:val="center"/>
                </w:tcPr>
                <w:p w14:paraId="0B74BAC1">
                  <w:pPr>
                    <w:pStyle w:val="49"/>
                    <w:bidi w:val="0"/>
                    <w:rPr>
                      <w:rFonts w:hint="default"/>
                      <w:color w:val="auto"/>
                      <w:highlight w:val="none"/>
                      <w:lang w:val="en-US" w:eastAsia="zh-CN"/>
                    </w:rPr>
                  </w:pPr>
                  <w:r>
                    <w:rPr>
                      <w:rFonts w:hint="eastAsia"/>
                      <w:color w:val="auto"/>
                      <w:highlight w:val="none"/>
                      <w:lang w:val="en-US" w:eastAsia="zh-CN"/>
                    </w:rPr>
                    <w:t>新建</w:t>
                  </w:r>
                </w:p>
              </w:tc>
            </w:tr>
            <w:tr w14:paraId="16280A1A">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32" w:hRule="atLeast"/>
                <w:jc w:val="center"/>
              </w:trPr>
              <w:tc>
                <w:tcPr>
                  <w:tcW w:w="444" w:type="dxa"/>
                  <w:vMerge w:val="continue"/>
                  <w:noWrap w:val="0"/>
                  <w:vAlign w:val="center"/>
                </w:tcPr>
                <w:p w14:paraId="205149D5">
                  <w:pPr>
                    <w:pStyle w:val="49"/>
                    <w:bidi w:val="0"/>
                    <w:rPr>
                      <w:color w:val="auto"/>
                      <w:highlight w:val="none"/>
                    </w:rPr>
                  </w:pPr>
                </w:p>
              </w:tc>
              <w:tc>
                <w:tcPr>
                  <w:tcW w:w="1380" w:type="dxa"/>
                  <w:gridSpan w:val="2"/>
                  <w:noWrap w:val="0"/>
                  <w:vAlign w:val="center"/>
                </w:tcPr>
                <w:p w14:paraId="6DDE06C1">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CNG卸车区</w:t>
                  </w:r>
                </w:p>
              </w:tc>
              <w:tc>
                <w:tcPr>
                  <w:tcW w:w="5325" w:type="dxa"/>
                  <w:noWrap w:val="0"/>
                  <w:vAlign w:val="center"/>
                </w:tcPr>
                <w:p w14:paraId="7AB41DAA">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厂区中间设有2个CNG卸车区，占地面积128.0m</w:t>
                  </w:r>
                  <w:r>
                    <w:rPr>
                      <w:rFonts w:hint="eastAsia"/>
                      <w:color w:val="auto"/>
                      <w:highlight w:val="none"/>
                      <w:vertAlign w:val="superscript"/>
                      <w:lang w:val="en-US" w:eastAsia="zh-CN"/>
                    </w:rPr>
                    <w:t>2</w:t>
                  </w:r>
                  <w:r>
                    <w:rPr>
                      <w:rFonts w:hint="eastAsia"/>
                      <w:color w:val="auto"/>
                      <w:highlight w:val="none"/>
                      <w:lang w:val="en-US" w:eastAsia="zh-CN"/>
                    </w:rPr>
                    <w:t>。</w:t>
                  </w:r>
                </w:p>
              </w:tc>
              <w:tc>
                <w:tcPr>
                  <w:tcW w:w="786" w:type="dxa"/>
                  <w:noWrap w:val="0"/>
                  <w:vAlign w:val="center"/>
                </w:tcPr>
                <w:p w14:paraId="543F4A42">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新建</w:t>
                  </w:r>
                </w:p>
              </w:tc>
            </w:tr>
            <w:tr w14:paraId="540BE7CE">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291" w:hRule="atLeast"/>
                <w:jc w:val="center"/>
              </w:trPr>
              <w:tc>
                <w:tcPr>
                  <w:tcW w:w="444" w:type="dxa"/>
                  <w:vMerge w:val="restart"/>
                  <w:noWrap w:val="0"/>
                  <w:vAlign w:val="center"/>
                </w:tcPr>
                <w:p w14:paraId="69BD77A1">
                  <w:pPr>
                    <w:pStyle w:val="49"/>
                    <w:bidi w:val="0"/>
                    <w:rPr>
                      <w:color w:val="auto"/>
                      <w:highlight w:val="none"/>
                    </w:rPr>
                  </w:pPr>
                  <w:r>
                    <w:rPr>
                      <w:color w:val="auto"/>
                      <w:highlight w:val="none"/>
                    </w:rPr>
                    <w:t>辅助</w:t>
                  </w:r>
                </w:p>
                <w:p w14:paraId="7C746555">
                  <w:pPr>
                    <w:pStyle w:val="49"/>
                    <w:bidi w:val="0"/>
                    <w:rPr>
                      <w:color w:val="auto"/>
                      <w:highlight w:val="none"/>
                    </w:rPr>
                  </w:pPr>
                  <w:r>
                    <w:rPr>
                      <w:color w:val="auto"/>
                      <w:highlight w:val="none"/>
                    </w:rPr>
                    <w:t>工程</w:t>
                  </w:r>
                </w:p>
              </w:tc>
              <w:tc>
                <w:tcPr>
                  <w:tcW w:w="1380" w:type="dxa"/>
                  <w:gridSpan w:val="2"/>
                  <w:noWrap w:val="0"/>
                  <w:vAlign w:val="center"/>
                </w:tcPr>
                <w:p w14:paraId="136C4D58">
                  <w:pPr>
                    <w:pStyle w:val="49"/>
                    <w:bidi w:val="0"/>
                    <w:rPr>
                      <w:rFonts w:hint="default"/>
                      <w:color w:val="auto"/>
                      <w:highlight w:val="none"/>
                      <w:lang w:val="en-US" w:eastAsia="zh-CN"/>
                    </w:rPr>
                  </w:pPr>
                  <w:r>
                    <w:rPr>
                      <w:rFonts w:hint="eastAsia"/>
                      <w:color w:val="auto"/>
                      <w:highlight w:val="none"/>
                      <w:lang w:val="en-US" w:eastAsia="zh-CN"/>
                    </w:rPr>
                    <w:t>办公楼</w:t>
                  </w:r>
                </w:p>
              </w:tc>
              <w:tc>
                <w:tcPr>
                  <w:tcW w:w="5325" w:type="dxa"/>
                  <w:noWrap w:val="0"/>
                  <w:vAlign w:val="center"/>
                </w:tcPr>
                <w:p w14:paraId="27FC4C10">
                  <w:pPr>
                    <w:pStyle w:val="49"/>
                    <w:bidi w:val="0"/>
                    <w:rPr>
                      <w:rFonts w:hint="default"/>
                      <w:color w:val="auto"/>
                      <w:highlight w:val="none"/>
                      <w:lang w:val="en-US" w:eastAsia="zh-CN"/>
                    </w:rPr>
                  </w:pPr>
                  <w:r>
                    <w:rPr>
                      <w:rFonts w:hint="eastAsia"/>
                      <w:color w:val="auto"/>
                      <w:highlight w:val="none"/>
                      <w:lang w:val="en-US" w:eastAsia="zh-CN"/>
                    </w:rPr>
                    <w:t>位于厂区东侧，框架结构</w:t>
                  </w:r>
                  <w:r>
                    <w:rPr>
                      <w:color w:val="auto"/>
                      <w:highlight w:val="none"/>
                      <w:lang w:val="en-US" w:eastAsia="zh-CN"/>
                    </w:rPr>
                    <w:t>，</w:t>
                  </w:r>
                  <w:r>
                    <w:rPr>
                      <w:rFonts w:hint="eastAsia"/>
                      <w:color w:val="auto"/>
                      <w:highlight w:val="none"/>
                      <w:lang w:val="en-US" w:eastAsia="zh-CN"/>
                    </w:rPr>
                    <w:t>地上两层，建筑高度6.9m</w:t>
                  </w:r>
                  <w:r>
                    <w:rPr>
                      <w:color w:val="auto"/>
                      <w:highlight w:val="none"/>
                      <w:lang w:val="en-US" w:eastAsia="zh-CN"/>
                    </w:rPr>
                    <w:t>，占地面积</w:t>
                  </w:r>
                  <w:r>
                    <w:rPr>
                      <w:rFonts w:hint="eastAsia"/>
                      <w:color w:val="auto"/>
                      <w:highlight w:val="none"/>
                      <w:lang w:val="en-US" w:eastAsia="zh-CN"/>
                    </w:rPr>
                    <w:t>399.84</w:t>
                  </w:r>
                  <w:r>
                    <w:rPr>
                      <w:color w:val="auto"/>
                      <w:highlight w:val="none"/>
                      <w:lang w:val="en-US" w:eastAsia="zh-CN"/>
                    </w:rPr>
                    <w:t>m</w:t>
                  </w:r>
                  <w:r>
                    <w:rPr>
                      <w:color w:val="auto"/>
                      <w:highlight w:val="none"/>
                      <w:vertAlign w:val="superscript"/>
                      <w:lang w:val="en-US" w:eastAsia="zh-CN"/>
                    </w:rPr>
                    <w:t>2</w:t>
                  </w:r>
                  <w:r>
                    <w:rPr>
                      <w:rFonts w:hint="eastAsia"/>
                      <w:color w:val="auto"/>
                      <w:highlight w:val="none"/>
                      <w:lang w:val="en-US" w:eastAsia="zh-CN"/>
                    </w:rPr>
                    <w:t>，内设有办公室、会议室、餐厅等。</w:t>
                  </w:r>
                </w:p>
              </w:tc>
              <w:tc>
                <w:tcPr>
                  <w:tcW w:w="786" w:type="dxa"/>
                  <w:noWrap w:val="0"/>
                  <w:vAlign w:val="center"/>
                </w:tcPr>
                <w:p w14:paraId="38FF9363">
                  <w:pPr>
                    <w:pStyle w:val="49"/>
                    <w:bidi w:val="0"/>
                    <w:rPr>
                      <w:color w:val="auto"/>
                      <w:highlight w:val="none"/>
                      <w:lang w:val="en-US" w:eastAsia="zh-CN"/>
                    </w:rPr>
                  </w:pPr>
                  <w:r>
                    <w:rPr>
                      <w:rFonts w:hint="eastAsia"/>
                      <w:color w:val="auto"/>
                      <w:highlight w:val="none"/>
                      <w:lang w:val="en-US" w:eastAsia="zh-CN"/>
                    </w:rPr>
                    <w:t>新建</w:t>
                  </w:r>
                </w:p>
              </w:tc>
            </w:tr>
            <w:tr w14:paraId="57B513D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291" w:hRule="atLeast"/>
                <w:jc w:val="center"/>
              </w:trPr>
              <w:tc>
                <w:tcPr>
                  <w:tcW w:w="444" w:type="dxa"/>
                  <w:vMerge w:val="continue"/>
                  <w:noWrap w:val="0"/>
                  <w:vAlign w:val="center"/>
                </w:tcPr>
                <w:p w14:paraId="37DE182D">
                  <w:pPr>
                    <w:pStyle w:val="49"/>
                    <w:bidi w:val="0"/>
                    <w:rPr>
                      <w:color w:val="auto"/>
                      <w:highlight w:val="none"/>
                    </w:rPr>
                  </w:pPr>
                </w:p>
              </w:tc>
              <w:tc>
                <w:tcPr>
                  <w:tcW w:w="1380" w:type="dxa"/>
                  <w:gridSpan w:val="2"/>
                  <w:noWrap w:val="0"/>
                  <w:vAlign w:val="center"/>
                </w:tcPr>
                <w:p w14:paraId="7A1DFEDC">
                  <w:pPr>
                    <w:pStyle w:val="49"/>
                    <w:bidi w:val="0"/>
                    <w:rPr>
                      <w:rFonts w:hint="eastAsia"/>
                      <w:color w:val="auto"/>
                      <w:highlight w:val="none"/>
                      <w:lang w:val="en-US" w:eastAsia="zh-CN"/>
                    </w:rPr>
                  </w:pPr>
                  <w:r>
                    <w:rPr>
                      <w:rFonts w:hint="eastAsia"/>
                      <w:color w:val="auto"/>
                      <w:highlight w:val="none"/>
                    </w:rPr>
                    <w:t>消防泵房及配电室</w:t>
                  </w:r>
                </w:p>
              </w:tc>
              <w:tc>
                <w:tcPr>
                  <w:tcW w:w="5325" w:type="dxa"/>
                  <w:noWrap w:val="0"/>
                  <w:vAlign w:val="center"/>
                </w:tcPr>
                <w:p w14:paraId="61C005DE">
                  <w:pPr>
                    <w:pStyle w:val="49"/>
                    <w:bidi w:val="0"/>
                    <w:rPr>
                      <w:rFonts w:hint="default"/>
                      <w:color w:val="auto"/>
                      <w:highlight w:val="none"/>
                      <w:lang w:val="en-US" w:eastAsia="zh-CN"/>
                    </w:rPr>
                  </w:pPr>
                  <w:r>
                    <w:rPr>
                      <w:rFonts w:hint="eastAsia"/>
                      <w:color w:val="auto"/>
                      <w:highlight w:val="none"/>
                      <w:lang w:val="en-US" w:eastAsia="zh-CN"/>
                    </w:rPr>
                    <w:t>位于厂区南侧，框架结构，单层，建筑高度4.05m。建筑面积99.32m</w:t>
                  </w:r>
                  <w:r>
                    <w:rPr>
                      <w:rFonts w:hint="eastAsia"/>
                      <w:color w:val="auto"/>
                      <w:highlight w:val="none"/>
                      <w:vertAlign w:val="superscript"/>
                      <w:lang w:val="en-US" w:eastAsia="zh-CN"/>
                    </w:rPr>
                    <w:t>2</w:t>
                  </w:r>
                  <w:r>
                    <w:rPr>
                      <w:rFonts w:hint="eastAsia"/>
                      <w:color w:val="auto"/>
                      <w:highlight w:val="none"/>
                      <w:lang w:val="en-US" w:eastAsia="zh-CN"/>
                    </w:rPr>
                    <w:t>。</w:t>
                  </w:r>
                </w:p>
              </w:tc>
              <w:tc>
                <w:tcPr>
                  <w:tcW w:w="786" w:type="dxa"/>
                  <w:noWrap w:val="0"/>
                  <w:vAlign w:val="center"/>
                </w:tcPr>
                <w:p w14:paraId="7812CC14">
                  <w:pPr>
                    <w:pStyle w:val="49"/>
                    <w:bidi w:val="0"/>
                    <w:rPr>
                      <w:rFonts w:hint="default"/>
                      <w:color w:val="auto"/>
                      <w:highlight w:val="none"/>
                      <w:lang w:val="en-US" w:eastAsia="zh-CN"/>
                    </w:rPr>
                  </w:pPr>
                  <w:r>
                    <w:rPr>
                      <w:rFonts w:hint="eastAsia"/>
                      <w:color w:val="auto"/>
                      <w:highlight w:val="none"/>
                      <w:lang w:val="en-US" w:eastAsia="zh-CN"/>
                    </w:rPr>
                    <w:t>新建</w:t>
                  </w:r>
                </w:p>
              </w:tc>
            </w:tr>
            <w:tr w14:paraId="0018B649">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68" w:hRule="atLeast"/>
                <w:jc w:val="center"/>
              </w:trPr>
              <w:tc>
                <w:tcPr>
                  <w:tcW w:w="444" w:type="dxa"/>
                  <w:vMerge w:val="continue"/>
                  <w:noWrap w:val="0"/>
                  <w:vAlign w:val="center"/>
                </w:tcPr>
                <w:p w14:paraId="60515C2A">
                  <w:pPr>
                    <w:pStyle w:val="49"/>
                    <w:bidi w:val="0"/>
                    <w:rPr>
                      <w:color w:val="auto"/>
                      <w:highlight w:val="none"/>
                    </w:rPr>
                  </w:pPr>
                </w:p>
              </w:tc>
              <w:tc>
                <w:tcPr>
                  <w:tcW w:w="1380" w:type="dxa"/>
                  <w:gridSpan w:val="2"/>
                  <w:noWrap w:val="0"/>
                  <w:vAlign w:val="center"/>
                </w:tcPr>
                <w:p w14:paraId="6F1AE1C7">
                  <w:pPr>
                    <w:pStyle w:val="49"/>
                    <w:bidi w:val="0"/>
                    <w:rPr>
                      <w:rFonts w:hint="eastAsia"/>
                      <w:color w:val="auto"/>
                      <w:highlight w:val="none"/>
                      <w:lang w:val="en-US" w:eastAsia="zh-CN"/>
                    </w:rPr>
                  </w:pPr>
                  <w:r>
                    <w:rPr>
                      <w:rFonts w:hint="eastAsia"/>
                      <w:color w:val="auto"/>
                      <w:highlight w:val="none"/>
                      <w:lang w:val="en-US" w:eastAsia="zh-CN"/>
                    </w:rPr>
                    <w:t>消防水池</w:t>
                  </w:r>
                </w:p>
              </w:tc>
              <w:tc>
                <w:tcPr>
                  <w:tcW w:w="5325" w:type="dxa"/>
                  <w:noWrap w:val="0"/>
                  <w:vAlign w:val="center"/>
                </w:tcPr>
                <w:p w14:paraId="04045787">
                  <w:pPr>
                    <w:pStyle w:val="49"/>
                    <w:bidi w:val="0"/>
                    <w:rPr>
                      <w:rFonts w:hint="default"/>
                      <w:color w:val="auto"/>
                      <w:highlight w:val="none"/>
                      <w:lang w:val="en-US" w:eastAsia="zh-CN"/>
                    </w:rPr>
                  </w:pPr>
                  <w:r>
                    <w:rPr>
                      <w:rFonts w:hint="eastAsia"/>
                      <w:color w:val="auto"/>
                      <w:highlight w:val="none"/>
                      <w:lang w:val="en-US" w:eastAsia="zh-CN"/>
                    </w:rPr>
                    <w:t>设置2座消防水池，位于厂区西北角，有效容积800m3，总容积1600m</w:t>
                  </w:r>
                  <w:r>
                    <w:rPr>
                      <w:rFonts w:hint="eastAsia"/>
                      <w:color w:val="auto"/>
                      <w:highlight w:val="none"/>
                      <w:vertAlign w:val="superscript"/>
                      <w:lang w:val="en-US" w:eastAsia="zh-CN"/>
                    </w:rPr>
                    <w:t>3</w:t>
                  </w:r>
                  <w:r>
                    <w:rPr>
                      <w:rFonts w:hint="eastAsia"/>
                      <w:color w:val="auto"/>
                      <w:highlight w:val="none"/>
                      <w:lang w:val="en-US" w:eastAsia="zh-CN"/>
                    </w:rPr>
                    <w:t>。</w:t>
                  </w:r>
                </w:p>
              </w:tc>
              <w:tc>
                <w:tcPr>
                  <w:tcW w:w="786" w:type="dxa"/>
                  <w:noWrap w:val="0"/>
                  <w:vAlign w:val="center"/>
                </w:tcPr>
                <w:p w14:paraId="7D4147D7">
                  <w:pPr>
                    <w:pStyle w:val="49"/>
                    <w:bidi w:val="0"/>
                    <w:rPr>
                      <w:rFonts w:hint="eastAsia"/>
                      <w:color w:val="auto"/>
                      <w:highlight w:val="none"/>
                      <w:lang w:val="en-US" w:eastAsia="zh-CN"/>
                    </w:rPr>
                  </w:pPr>
                  <w:r>
                    <w:rPr>
                      <w:rFonts w:hint="eastAsia"/>
                      <w:color w:val="auto"/>
                      <w:highlight w:val="none"/>
                      <w:lang w:val="en-US" w:eastAsia="zh-CN"/>
                    </w:rPr>
                    <w:t>新建</w:t>
                  </w:r>
                </w:p>
              </w:tc>
            </w:tr>
            <w:tr w14:paraId="7D1092CB">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68" w:hRule="atLeast"/>
                <w:jc w:val="center"/>
              </w:trPr>
              <w:tc>
                <w:tcPr>
                  <w:tcW w:w="444" w:type="dxa"/>
                  <w:vMerge w:val="continue"/>
                  <w:noWrap w:val="0"/>
                  <w:vAlign w:val="center"/>
                </w:tcPr>
                <w:p w14:paraId="36D3D1BE">
                  <w:pPr>
                    <w:pStyle w:val="49"/>
                    <w:bidi w:val="0"/>
                    <w:rPr>
                      <w:color w:val="auto"/>
                      <w:highlight w:val="none"/>
                    </w:rPr>
                  </w:pPr>
                </w:p>
              </w:tc>
              <w:tc>
                <w:tcPr>
                  <w:tcW w:w="1380" w:type="dxa"/>
                  <w:gridSpan w:val="2"/>
                  <w:noWrap w:val="0"/>
                  <w:vAlign w:val="center"/>
                </w:tcPr>
                <w:p w14:paraId="17047A67">
                  <w:pPr>
                    <w:pStyle w:val="49"/>
                    <w:bidi w:val="0"/>
                    <w:rPr>
                      <w:rFonts w:hint="eastAsia"/>
                      <w:color w:val="auto"/>
                      <w:highlight w:val="none"/>
                      <w:lang w:val="en-US" w:eastAsia="zh-CN"/>
                    </w:rPr>
                  </w:pPr>
                  <w:r>
                    <w:rPr>
                      <w:rFonts w:hint="eastAsia"/>
                      <w:color w:val="auto"/>
                      <w:highlight w:val="none"/>
                    </w:rPr>
                    <w:t>卸车雨棚</w:t>
                  </w:r>
                </w:p>
              </w:tc>
              <w:tc>
                <w:tcPr>
                  <w:tcW w:w="5325" w:type="dxa"/>
                  <w:noWrap w:val="0"/>
                  <w:vAlign w:val="center"/>
                </w:tcPr>
                <w:p w14:paraId="24D3213F">
                  <w:pPr>
                    <w:pStyle w:val="49"/>
                    <w:bidi w:val="0"/>
                    <w:rPr>
                      <w:rFonts w:hint="default"/>
                      <w:color w:val="auto"/>
                      <w:highlight w:val="none"/>
                      <w:lang w:val="en-US" w:eastAsia="zh-CN"/>
                    </w:rPr>
                  </w:pPr>
                  <w:r>
                    <w:rPr>
                      <w:rFonts w:hint="eastAsia"/>
                      <w:color w:val="auto"/>
                      <w:highlight w:val="none"/>
                      <w:lang w:val="en-US" w:eastAsia="zh-CN"/>
                    </w:rPr>
                    <w:t>位于罐区南侧，钢结构，高度5m，建筑面积33m</w:t>
                  </w:r>
                  <w:r>
                    <w:rPr>
                      <w:rFonts w:hint="eastAsia"/>
                      <w:color w:val="auto"/>
                      <w:highlight w:val="none"/>
                      <w:vertAlign w:val="superscript"/>
                      <w:lang w:val="en-US" w:eastAsia="zh-CN"/>
                    </w:rPr>
                    <w:t>2</w:t>
                  </w:r>
                  <w:r>
                    <w:rPr>
                      <w:rFonts w:hint="eastAsia"/>
                      <w:color w:val="auto"/>
                      <w:highlight w:val="none"/>
                      <w:lang w:val="en-US" w:eastAsia="zh-CN"/>
                    </w:rPr>
                    <w:t>。</w:t>
                  </w:r>
                </w:p>
              </w:tc>
              <w:tc>
                <w:tcPr>
                  <w:tcW w:w="786" w:type="dxa"/>
                  <w:noWrap w:val="0"/>
                  <w:vAlign w:val="center"/>
                </w:tcPr>
                <w:p w14:paraId="02820964">
                  <w:pPr>
                    <w:pStyle w:val="49"/>
                    <w:bidi w:val="0"/>
                    <w:rPr>
                      <w:rFonts w:hint="default"/>
                      <w:color w:val="auto"/>
                      <w:highlight w:val="none"/>
                      <w:lang w:val="en-US" w:eastAsia="zh-CN"/>
                    </w:rPr>
                  </w:pPr>
                  <w:r>
                    <w:rPr>
                      <w:rFonts w:hint="eastAsia"/>
                      <w:color w:val="auto"/>
                      <w:highlight w:val="none"/>
                      <w:lang w:val="en-US" w:eastAsia="zh-CN"/>
                    </w:rPr>
                    <w:t>新建</w:t>
                  </w:r>
                </w:p>
              </w:tc>
            </w:tr>
            <w:tr w14:paraId="60B7DDD8">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68" w:hRule="atLeast"/>
                <w:jc w:val="center"/>
              </w:trPr>
              <w:tc>
                <w:tcPr>
                  <w:tcW w:w="444" w:type="dxa"/>
                  <w:vMerge w:val="continue"/>
                  <w:noWrap w:val="0"/>
                  <w:vAlign w:val="center"/>
                </w:tcPr>
                <w:p w14:paraId="61D1739D">
                  <w:pPr>
                    <w:pStyle w:val="49"/>
                    <w:bidi w:val="0"/>
                    <w:rPr>
                      <w:color w:val="auto"/>
                      <w:highlight w:val="none"/>
                    </w:rPr>
                  </w:pPr>
                </w:p>
              </w:tc>
              <w:tc>
                <w:tcPr>
                  <w:tcW w:w="1380" w:type="dxa"/>
                  <w:gridSpan w:val="2"/>
                  <w:noWrap w:val="0"/>
                  <w:vAlign w:val="center"/>
                </w:tcPr>
                <w:p w14:paraId="7E79A536">
                  <w:pPr>
                    <w:pStyle w:val="49"/>
                    <w:bidi w:val="0"/>
                    <w:rPr>
                      <w:rFonts w:hint="eastAsia"/>
                      <w:color w:val="auto"/>
                      <w:highlight w:val="none"/>
                      <w:lang w:val="en-US" w:eastAsia="zh-CN"/>
                    </w:rPr>
                  </w:pPr>
                  <w:r>
                    <w:rPr>
                      <w:rFonts w:hint="eastAsia"/>
                      <w:color w:val="auto"/>
                      <w:highlight w:val="none"/>
                      <w:lang w:val="en-US" w:eastAsia="zh-CN"/>
                    </w:rPr>
                    <w:t>冷却水循环水池</w:t>
                  </w:r>
                </w:p>
              </w:tc>
              <w:tc>
                <w:tcPr>
                  <w:tcW w:w="5325" w:type="dxa"/>
                  <w:noWrap w:val="0"/>
                  <w:vAlign w:val="center"/>
                </w:tcPr>
                <w:p w14:paraId="2E03211B">
                  <w:pPr>
                    <w:pStyle w:val="49"/>
                    <w:bidi w:val="0"/>
                    <w:jc w:val="center"/>
                    <w:rPr>
                      <w:rFonts w:hint="default"/>
                      <w:color w:val="auto"/>
                      <w:highlight w:val="none"/>
                      <w:lang w:val="en-US" w:eastAsia="zh-CN"/>
                    </w:rPr>
                  </w:pPr>
                  <w:r>
                    <w:rPr>
                      <w:rFonts w:hint="eastAsia"/>
                      <w:color w:val="auto"/>
                      <w:highlight w:val="none"/>
                      <w:lang w:val="en-US" w:eastAsia="zh-CN"/>
                    </w:rPr>
                    <w:t>设置1座碳化车间冷却水循环水池，有效容积60m</w:t>
                  </w:r>
                  <w:r>
                    <w:rPr>
                      <w:rFonts w:hint="eastAsia"/>
                      <w:color w:val="auto"/>
                      <w:highlight w:val="none"/>
                      <w:vertAlign w:val="superscript"/>
                      <w:lang w:val="en-US" w:eastAsia="zh-CN"/>
                    </w:rPr>
                    <w:t>3</w:t>
                  </w:r>
                  <w:r>
                    <w:rPr>
                      <w:rFonts w:hint="eastAsia"/>
                      <w:color w:val="auto"/>
                      <w:highlight w:val="none"/>
                      <w:lang w:val="en-US" w:eastAsia="zh-CN"/>
                    </w:rPr>
                    <w:t>。</w:t>
                  </w:r>
                </w:p>
              </w:tc>
              <w:tc>
                <w:tcPr>
                  <w:tcW w:w="786" w:type="dxa"/>
                  <w:noWrap w:val="0"/>
                  <w:vAlign w:val="center"/>
                </w:tcPr>
                <w:p w14:paraId="7F569511">
                  <w:pPr>
                    <w:pStyle w:val="49"/>
                    <w:bidi w:val="0"/>
                    <w:rPr>
                      <w:rFonts w:hint="default"/>
                      <w:color w:val="auto"/>
                      <w:highlight w:val="none"/>
                      <w:lang w:val="en-US" w:eastAsia="zh-CN"/>
                    </w:rPr>
                  </w:pPr>
                  <w:r>
                    <w:rPr>
                      <w:rFonts w:hint="eastAsia"/>
                      <w:color w:val="auto"/>
                      <w:highlight w:val="none"/>
                      <w:lang w:val="en-US" w:eastAsia="zh-CN"/>
                    </w:rPr>
                    <w:t>新建</w:t>
                  </w:r>
                </w:p>
              </w:tc>
            </w:tr>
            <w:tr w14:paraId="7BE387C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01" w:hRule="atLeast"/>
                <w:jc w:val="center"/>
              </w:trPr>
              <w:tc>
                <w:tcPr>
                  <w:tcW w:w="444" w:type="dxa"/>
                  <w:vMerge w:val="restart"/>
                  <w:noWrap w:val="0"/>
                  <w:vAlign w:val="center"/>
                </w:tcPr>
                <w:p w14:paraId="61A57FC2">
                  <w:pPr>
                    <w:pStyle w:val="49"/>
                    <w:bidi w:val="0"/>
                    <w:rPr>
                      <w:color w:val="auto"/>
                      <w:highlight w:val="none"/>
                    </w:rPr>
                  </w:pPr>
                  <w:r>
                    <w:rPr>
                      <w:color w:val="auto"/>
                      <w:highlight w:val="none"/>
                    </w:rPr>
                    <w:t>公用</w:t>
                  </w:r>
                </w:p>
                <w:p w14:paraId="57216AB8">
                  <w:pPr>
                    <w:pStyle w:val="49"/>
                    <w:bidi w:val="0"/>
                    <w:rPr>
                      <w:color w:val="auto"/>
                      <w:highlight w:val="none"/>
                    </w:rPr>
                  </w:pPr>
                  <w:r>
                    <w:rPr>
                      <w:color w:val="auto"/>
                      <w:highlight w:val="none"/>
                    </w:rPr>
                    <w:t>工程</w:t>
                  </w:r>
                </w:p>
              </w:tc>
              <w:tc>
                <w:tcPr>
                  <w:tcW w:w="1380" w:type="dxa"/>
                  <w:gridSpan w:val="2"/>
                  <w:noWrap w:val="0"/>
                  <w:vAlign w:val="center"/>
                </w:tcPr>
                <w:p w14:paraId="78718A9A">
                  <w:pPr>
                    <w:pStyle w:val="49"/>
                    <w:bidi w:val="0"/>
                    <w:rPr>
                      <w:color w:val="auto"/>
                      <w:highlight w:val="none"/>
                    </w:rPr>
                  </w:pPr>
                  <w:r>
                    <w:rPr>
                      <w:color w:val="auto"/>
                      <w:highlight w:val="none"/>
                    </w:rPr>
                    <w:t>供水</w:t>
                  </w:r>
                </w:p>
              </w:tc>
              <w:tc>
                <w:tcPr>
                  <w:tcW w:w="5325" w:type="dxa"/>
                  <w:noWrap w:val="0"/>
                  <w:vAlign w:val="center"/>
                </w:tcPr>
                <w:p w14:paraId="2CCB02ED">
                  <w:pPr>
                    <w:pStyle w:val="49"/>
                    <w:bidi w:val="0"/>
                    <w:rPr>
                      <w:rFonts w:hint="eastAsia"/>
                      <w:color w:val="auto"/>
                      <w:highlight w:val="none"/>
                      <w:lang w:eastAsia="zh-CN"/>
                    </w:rPr>
                  </w:pPr>
                  <w:r>
                    <w:rPr>
                      <w:color w:val="auto"/>
                      <w:highlight w:val="none"/>
                    </w:rPr>
                    <w:t>本项目给水水源接自市政给水管网</w:t>
                  </w:r>
                  <w:r>
                    <w:rPr>
                      <w:rFonts w:hint="eastAsia"/>
                      <w:color w:val="auto"/>
                      <w:highlight w:val="none"/>
                      <w:lang w:eastAsia="zh-CN"/>
                    </w:rPr>
                    <w:t>。</w:t>
                  </w:r>
                </w:p>
              </w:tc>
              <w:tc>
                <w:tcPr>
                  <w:tcW w:w="786" w:type="dxa"/>
                  <w:noWrap w:val="0"/>
                  <w:vAlign w:val="center"/>
                </w:tcPr>
                <w:p w14:paraId="3D304025">
                  <w:pPr>
                    <w:pStyle w:val="49"/>
                    <w:bidi w:val="0"/>
                    <w:rPr>
                      <w:rFonts w:hint="eastAsia"/>
                      <w:color w:val="auto"/>
                      <w:highlight w:val="none"/>
                      <w:lang w:val="en-US" w:eastAsia="zh-CN"/>
                    </w:rPr>
                  </w:pPr>
                  <w:r>
                    <w:rPr>
                      <w:rFonts w:hint="eastAsia"/>
                      <w:color w:val="auto"/>
                      <w:highlight w:val="none"/>
                      <w:lang w:val="en-US" w:eastAsia="zh-CN"/>
                    </w:rPr>
                    <w:t>新建</w:t>
                  </w:r>
                </w:p>
              </w:tc>
            </w:tr>
            <w:tr w14:paraId="40F1EFC0">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01" w:hRule="atLeast"/>
                <w:jc w:val="center"/>
              </w:trPr>
              <w:tc>
                <w:tcPr>
                  <w:tcW w:w="444" w:type="dxa"/>
                  <w:vMerge w:val="continue"/>
                  <w:noWrap w:val="0"/>
                  <w:vAlign w:val="center"/>
                </w:tcPr>
                <w:p w14:paraId="0434B515">
                  <w:pPr>
                    <w:pStyle w:val="49"/>
                    <w:bidi w:val="0"/>
                    <w:rPr>
                      <w:color w:val="auto"/>
                      <w:highlight w:val="none"/>
                    </w:rPr>
                  </w:pPr>
                </w:p>
              </w:tc>
              <w:tc>
                <w:tcPr>
                  <w:tcW w:w="1380" w:type="dxa"/>
                  <w:gridSpan w:val="2"/>
                  <w:noWrap w:val="0"/>
                  <w:vAlign w:val="center"/>
                </w:tcPr>
                <w:p w14:paraId="0158D468">
                  <w:pPr>
                    <w:pStyle w:val="49"/>
                    <w:bidi w:val="0"/>
                    <w:rPr>
                      <w:rFonts w:hint="eastAsia"/>
                      <w:color w:val="auto"/>
                      <w:highlight w:val="none"/>
                      <w:lang w:val="en-US" w:eastAsia="zh-CN"/>
                    </w:rPr>
                  </w:pPr>
                  <w:r>
                    <w:rPr>
                      <w:rFonts w:hint="eastAsia"/>
                      <w:color w:val="auto"/>
                      <w:highlight w:val="none"/>
                      <w:lang w:val="en-US" w:eastAsia="zh-CN"/>
                    </w:rPr>
                    <w:t>排水</w:t>
                  </w:r>
                </w:p>
              </w:tc>
              <w:tc>
                <w:tcPr>
                  <w:tcW w:w="5325" w:type="dxa"/>
                  <w:noWrap w:val="0"/>
                  <w:vAlign w:val="center"/>
                </w:tcPr>
                <w:p w14:paraId="057496E9">
                  <w:pPr>
                    <w:pStyle w:val="49"/>
                    <w:bidi w:val="0"/>
                    <w:rPr>
                      <w:color w:val="auto"/>
                      <w:highlight w:val="none"/>
                    </w:rPr>
                  </w:pPr>
                  <w:r>
                    <w:rPr>
                      <w:rFonts w:hint="eastAsia"/>
                      <w:color w:val="auto"/>
                      <w:highlight w:val="none"/>
                    </w:rPr>
                    <w:t>厂区内雨污分流。</w:t>
                  </w:r>
                  <w:r>
                    <w:rPr>
                      <w:color w:val="auto"/>
                      <w:highlight w:val="none"/>
                    </w:rPr>
                    <w:t>生活污水经化粪池处理后，生活盥洗废水泼洒用于厂区绿化；</w:t>
                  </w:r>
                  <w:r>
                    <w:rPr>
                      <w:rFonts w:hint="eastAsia"/>
                      <w:color w:val="auto"/>
                      <w:highlight w:val="none"/>
                      <w:lang w:val="en-US" w:eastAsia="zh-CN"/>
                    </w:rPr>
                    <w:t>厂区绿化洒水用水，全部蒸发损耗；</w:t>
                  </w:r>
                  <w:r>
                    <w:rPr>
                      <w:color w:val="auto"/>
                      <w:highlight w:val="none"/>
                    </w:rPr>
                    <w:t>化粪池</w:t>
                  </w:r>
                  <w:r>
                    <w:rPr>
                      <w:rFonts w:hint="eastAsia"/>
                      <w:color w:val="auto"/>
                      <w:highlight w:val="none"/>
                      <w:lang w:eastAsia="zh-CN"/>
                    </w:rPr>
                    <w:t>（</w:t>
                  </w:r>
                  <w:r>
                    <w:rPr>
                      <w:rFonts w:hint="eastAsia"/>
                      <w:color w:val="auto"/>
                      <w:highlight w:val="none"/>
                      <w:lang w:val="en-US" w:eastAsia="zh-CN"/>
                    </w:rPr>
                    <w:t>容积8m</w:t>
                  </w:r>
                  <w:r>
                    <w:rPr>
                      <w:rFonts w:hint="eastAsia"/>
                      <w:color w:val="auto"/>
                      <w:highlight w:val="none"/>
                      <w:vertAlign w:val="superscript"/>
                      <w:lang w:val="en-US" w:eastAsia="zh-CN"/>
                    </w:rPr>
                    <w:t>3</w:t>
                  </w:r>
                  <w:r>
                    <w:rPr>
                      <w:rFonts w:hint="eastAsia"/>
                      <w:color w:val="auto"/>
                      <w:highlight w:val="none"/>
                      <w:lang w:eastAsia="zh-CN"/>
                    </w:rPr>
                    <w:t>）</w:t>
                  </w:r>
                  <w:r>
                    <w:rPr>
                      <w:color w:val="auto"/>
                      <w:highlight w:val="none"/>
                    </w:rPr>
                    <w:t>定期清掏用作农肥</w:t>
                  </w:r>
                  <w:r>
                    <w:rPr>
                      <w:rFonts w:hint="eastAsia"/>
                      <w:color w:val="auto"/>
                      <w:highlight w:val="none"/>
                    </w:rPr>
                    <w:t>；生产用水</w:t>
                  </w:r>
                  <w:r>
                    <w:rPr>
                      <w:rFonts w:hint="eastAsia"/>
                      <w:color w:val="auto"/>
                      <w:highlight w:val="none"/>
                      <w:lang w:val="en-US" w:eastAsia="zh-CN"/>
                    </w:rPr>
                    <w:t>冷却</w:t>
                  </w:r>
                  <w:r>
                    <w:rPr>
                      <w:rFonts w:hint="eastAsia"/>
                      <w:color w:val="auto"/>
                      <w:highlight w:val="none"/>
                    </w:rPr>
                    <w:t>循环使用，不外排</w:t>
                  </w:r>
                  <w:r>
                    <w:rPr>
                      <w:color w:val="auto"/>
                      <w:highlight w:val="none"/>
                    </w:rPr>
                    <w:t>。</w:t>
                  </w:r>
                </w:p>
              </w:tc>
              <w:tc>
                <w:tcPr>
                  <w:tcW w:w="786" w:type="dxa"/>
                  <w:noWrap w:val="0"/>
                  <w:vAlign w:val="center"/>
                </w:tcPr>
                <w:p w14:paraId="0FC2A69D">
                  <w:pPr>
                    <w:pStyle w:val="49"/>
                    <w:bidi w:val="0"/>
                    <w:rPr>
                      <w:rFonts w:hint="default"/>
                      <w:color w:val="auto"/>
                      <w:highlight w:val="none"/>
                      <w:lang w:val="en-US" w:eastAsia="zh-CN"/>
                    </w:rPr>
                  </w:pPr>
                  <w:r>
                    <w:rPr>
                      <w:rFonts w:hint="eastAsia"/>
                      <w:color w:val="auto"/>
                      <w:highlight w:val="none"/>
                      <w:lang w:val="en-US" w:eastAsia="zh-CN"/>
                    </w:rPr>
                    <w:t>新建</w:t>
                  </w:r>
                </w:p>
              </w:tc>
            </w:tr>
            <w:tr w14:paraId="08DFDD3E">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269" w:hRule="atLeast"/>
                <w:jc w:val="center"/>
              </w:trPr>
              <w:tc>
                <w:tcPr>
                  <w:tcW w:w="444" w:type="dxa"/>
                  <w:vMerge w:val="continue"/>
                  <w:noWrap w:val="0"/>
                  <w:vAlign w:val="center"/>
                </w:tcPr>
                <w:p w14:paraId="704F3A8B">
                  <w:pPr>
                    <w:pStyle w:val="49"/>
                    <w:bidi w:val="0"/>
                    <w:rPr>
                      <w:color w:val="auto"/>
                      <w:highlight w:val="none"/>
                    </w:rPr>
                  </w:pPr>
                </w:p>
              </w:tc>
              <w:tc>
                <w:tcPr>
                  <w:tcW w:w="1380" w:type="dxa"/>
                  <w:gridSpan w:val="2"/>
                  <w:noWrap w:val="0"/>
                  <w:vAlign w:val="center"/>
                </w:tcPr>
                <w:p w14:paraId="1580B9DE">
                  <w:pPr>
                    <w:pStyle w:val="49"/>
                    <w:bidi w:val="0"/>
                    <w:rPr>
                      <w:color w:val="auto"/>
                      <w:highlight w:val="none"/>
                    </w:rPr>
                  </w:pPr>
                  <w:r>
                    <w:rPr>
                      <w:color w:val="auto"/>
                      <w:highlight w:val="none"/>
                    </w:rPr>
                    <w:t>供热</w:t>
                  </w:r>
                </w:p>
              </w:tc>
              <w:tc>
                <w:tcPr>
                  <w:tcW w:w="5325" w:type="dxa"/>
                  <w:noWrap w:val="0"/>
                  <w:vAlign w:val="center"/>
                </w:tcPr>
                <w:p w14:paraId="068DAB87">
                  <w:pPr>
                    <w:pStyle w:val="49"/>
                    <w:bidi w:val="0"/>
                    <w:rPr>
                      <w:rFonts w:hint="default" w:eastAsia="宋体"/>
                      <w:color w:val="auto"/>
                      <w:highlight w:val="none"/>
                      <w:lang w:val="en-US" w:eastAsia="zh-CN"/>
                    </w:rPr>
                  </w:pPr>
                  <w:r>
                    <w:rPr>
                      <w:color w:val="auto"/>
                      <w:highlight w:val="none"/>
                    </w:rPr>
                    <w:t>本项目冬季采暖采用</w:t>
                  </w:r>
                  <w:r>
                    <w:rPr>
                      <w:rFonts w:hint="eastAsia"/>
                      <w:color w:val="auto"/>
                      <w:highlight w:val="none"/>
                    </w:rPr>
                    <w:t>空调</w:t>
                  </w:r>
                  <w:r>
                    <w:rPr>
                      <w:color w:val="auto"/>
                      <w:highlight w:val="none"/>
                    </w:rPr>
                    <w:t>供暖</w:t>
                  </w:r>
                  <w:r>
                    <w:rPr>
                      <w:rFonts w:hint="eastAsia"/>
                      <w:color w:val="auto"/>
                      <w:highlight w:val="none"/>
                      <w:lang w:eastAsia="zh-CN"/>
                    </w:rPr>
                    <w:t>；</w:t>
                  </w:r>
                  <w:r>
                    <w:rPr>
                      <w:rFonts w:hint="eastAsia"/>
                      <w:color w:val="auto"/>
                      <w:highlight w:val="none"/>
                      <w:lang w:val="en-US" w:eastAsia="zh-CN"/>
                    </w:rPr>
                    <w:t>炭化过程中秸秆气经冷凝处理后用作炭化过程热源，首次由CNG天然气点燃。</w:t>
                  </w:r>
                </w:p>
              </w:tc>
              <w:tc>
                <w:tcPr>
                  <w:tcW w:w="786" w:type="dxa"/>
                  <w:noWrap w:val="0"/>
                  <w:vAlign w:val="center"/>
                </w:tcPr>
                <w:p w14:paraId="7CA42B1E">
                  <w:pPr>
                    <w:pStyle w:val="49"/>
                    <w:bidi w:val="0"/>
                    <w:rPr>
                      <w:rFonts w:hint="eastAsia"/>
                      <w:color w:val="auto"/>
                      <w:highlight w:val="none"/>
                      <w:lang w:val="en-US" w:eastAsia="zh-CN"/>
                    </w:rPr>
                  </w:pPr>
                  <w:r>
                    <w:rPr>
                      <w:rFonts w:hint="eastAsia"/>
                      <w:color w:val="auto"/>
                      <w:highlight w:val="none"/>
                      <w:lang w:val="en-US" w:eastAsia="zh-CN"/>
                    </w:rPr>
                    <w:t>新建</w:t>
                  </w:r>
                </w:p>
              </w:tc>
            </w:tr>
            <w:tr w14:paraId="1C5D3D5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55" w:hRule="atLeast"/>
                <w:jc w:val="center"/>
              </w:trPr>
              <w:tc>
                <w:tcPr>
                  <w:tcW w:w="444" w:type="dxa"/>
                  <w:vMerge w:val="continue"/>
                  <w:noWrap w:val="0"/>
                  <w:vAlign w:val="center"/>
                </w:tcPr>
                <w:p w14:paraId="30E746D2">
                  <w:pPr>
                    <w:pStyle w:val="49"/>
                    <w:bidi w:val="0"/>
                    <w:rPr>
                      <w:color w:val="auto"/>
                      <w:highlight w:val="none"/>
                    </w:rPr>
                  </w:pPr>
                </w:p>
              </w:tc>
              <w:tc>
                <w:tcPr>
                  <w:tcW w:w="1380" w:type="dxa"/>
                  <w:gridSpan w:val="2"/>
                  <w:noWrap w:val="0"/>
                  <w:vAlign w:val="center"/>
                </w:tcPr>
                <w:p w14:paraId="1E85E8A1">
                  <w:pPr>
                    <w:pStyle w:val="49"/>
                    <w:bidi w:val="0"/>
                    <w:rPr>
                      <w:color w:val="auto"/>
                      <w:highlight w:val="none"/>
                    </w:rPr>
                  </w:pPr>
                  <w:r>
                    <w:rPr>
                      <w:color w:val="auto"/>
                      <w:highlight w:val="none"/>
                    </w:rPr>
                    <w:t>供电</w:t>
                  </w:r>
                </w:p>
              </w:tc>
              <w:tc>
                <w:tcPr>
                  <w:tcW w:w="5325" w:type="dxa"/>
                  <w:noWrap w:val="0"/>
                  <w:vAlign w:val="center"/>
                </w:tcPr>
                <w:p w14:paraId="2AD9A5D3">
                  <w:pPr>
                    <w:pStyle w:val="49"/>
                    <w:bidi w:val="0"/>
                    <w:rPr>
                      <w:rFonts w:hint="default"/>
                      <w:color w:val="auto"/>
                      <w:highlight w:val="none"/>
                      <w:lang w:val="en-US" w:eastAsia="zh-CN"/>
                    </w:rPr>
                  </w:pPr>
                  <w:r>
                    <w:rPr>
                      <w:color w:val="auto"/>
                      <w:highlight w:val="none"/>
                    </w:rPr>
                    <w:t>由当地电网供电，站内设配电室</w:t>
                  </w:r>
                  <w:r>
                    <w:rPr>
                      <w:rFonts w:hint="eastAsia"/>
                      <w:color w:val="auto"/>
                      <w:highlight w:val="none"/>
                      <w:lang w:eastAsia="zh-CN"/>
                    </w:rPr>
                    <w:t>，</w:t>
                  </w:r>
                  <w:r>
                    <w:rPr>
                      <w:rFonts w:hint="eastAsia"/>
                      <w:color w:val="auto"/>
                      <w:highlight w:val="none"/>
                      <w:lang w:val="en-US" w:eastAsia="zh-CN"/>
                    </w:rPr>
                    <w:t>可满足项目用电需求。</w:t>
                  </w:r>
                </w:p>
              </w:tc>
              <w:tc>
                <w:tcPr>
                  <w:tcW w:w="786" w:type="dxa"/>
                  <w:noWrap w:val="0"/>
                  <w:vAlign w:val="center"/>
                </w:tcPr>
                <w:p w14:paraId="3F6B9352">
                  <w:pPr>
                    <w:pStyle w:val="49"/>
                    <w:bidi w:val="0"/>
                    <w:rPr>
                      <w:rFonts w:hint="eastAsia"/>
                      <w:color w:val="auto"/>
                      <w:highlight w:val="none"/>
                      <w:lang w:val="en-US" w:eastAsia="zh-CN"/>
                    </w:rPr>
                  </w:pPr>
                  <w:r>
                    <w:rPr>
                      <w:rFonts w:hint="eastAsia"/>
                      <w:color w:val="auto"/>
                      <w:highlight w:val="none"/>
                      <w:lang w:val="en-US" w:eastAsia="zh-CN"/>
                    </w:rPr>
                    <w:t>新建</w:t>
                  </w:r>
                </w:p>
              </w:tc>
            </w:tr>
            <w:tr w14:paraId="50472F42">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448" w:hRule="atLeast"/>
                <w:jc w:val="center"/>
              </w:trPr>
              <w:tc>
                <w:tcPr>
                  <w:tcW w:w="444" w:type="dxa"/>
                  <w:vMerge w:val="restart"/>
                  <w:noWrap w:val="0"/>
                  <w:vAlign w:val="center"/>
                </w:tcPr>
                <w:p w14:paraId="697F5994">
                  <w:pPr>
                    <w:pStyle w:val="49"/>
                    <w:bidi w:val="0"/>
                    <w:rPr>
                      <w:color w:val="auto"/>
                      <w:highlight w:val="none"/>
                    </w:rPr>
                  </w:pPr>
                  <w:r>
                    <w:rPr>
                      <w:color w:val="auto"/>
                      <w:highlight w:val="none"/>
                    </w:rPr>
                    <w:t>环保工程</w:t>
                  </w:r>
                </w:p>
              </w:tc>
              <w:tc>
                <w:tcPr>
                  <w:tcW w:w="1380" w:type="dxa"/>
                  <w:gridSpan w:val="2"/>
                  <w:noWrap w:val="0"/>
                  <w:vAlign w:val="center"/>
                </w:tcPr>
                <w:p w14:paraId="186964AF">
                  <w:pPr>
                    <w:pStyle w:val="49"/>
                    <w:bidi w:val="0"/>
                    <w:rPr>
                      <w:rFonts w:hint="eastAsia"/>
                      <w:color w:val="auto"/>
                      <w:highlight w:val="none"/>
                      <w:lang w:val="en-US" w:eastAsia="zh-CN"/>
                    </w:rPr>
                  </w:pPr>
                  <w:r>
                    <w:rPr>
                      <w:color w:val="auto"/>
                      <w:highlight w:val="none"/>
                    </w:rPr>
                    <w:t>废水</w:t>
                  </w:r>
                </w:p>
              </w:tc>
              <w:tc>
                <w:tcPr>
                  <w:tcW w:w="5325" w:type="dxa"/>
                  <w:noWrap w:val="0"/>
                  <w:vAlign w:val="center"/>
                </w:tcPr>
                <w:p w14:paraId="2C84E942">
                  <w:pPr>
                    <w:pStyle w:val="49"/>
                    <w:bidi w:val="0"/>
                    <w:rPr>
                      <w:color w:val="auto"/>
                      <w:highlight w:val="none"/>
                    </w:rPr>
                  </w:pPr>
                  <w:r>
                    <w:rPr>
                      <w:color w:val="auto"/>
                      <w:highlight w:val="none"/>
                    </w:rPr>
                    <w:t>生活污水经化粪池处理后，定期清掏用作农肥</w:t>
                  </w:r>
                  <w:r>
                    <w:rPr>
                      <w:rFonts w:hint="eastAsia"/>
                      <w:color w:val="auto"/>
                      <w:highlight w:val="none"/>
                      <w:lang w:eastAsia="zh-CN"/>
                    </w:rPr>
                    <w:t>；</w:t>
                  </w:r>
                  <w:r>
                    <w:rPr>
                      <w:rFonts w:hint="eastAsia"/>
                      <w:color w:val="auto"/>
                      <w:highlight w:val="none"/>
                    </w:rPr>
                    <w:t>冷</w:t>
                  </w:r>
                  <w:r>
                    <w:rPr>
                      <w:rFonts w:hint="eastAsia"/>
                      <w:color w:val="auto"/>
                      <w:highlight w:val="none"/>
                      <w:lang w:val="en-US" w:eastAsia="zh-CN"/>
                    </w:rPr>
                    <w:t>凝</w:t>
                  </w:r>
                  <w:r>
                    <w:rPr>
                      <w:rFonts w:hint="eastAsia"/>
                      <w:color w:val="auto"/>
                      <w:highlight w:val="none"/>
                    </w:rPr>
                    <w:t>循环水循环使用，定期补充，不外排；绿化洒水用水，全部蒸发损耗；肥料产线生产用水随产品带走，不外排。</w:t>
                  </w:r>
                </w:p>
              </w:tc>
              <w:tc>
                <w:tcPr>
                  <w:tcW w:w="786" w:type="dxa"/>
                  <w:noWrap w:val="0"/>
                  <w:vAlign w:val="center"/>
                </w:tcPr>
                <w:p w14:paraId="21BD08E7">
                  <w:pPr>
                    <w:pStyle w:val="49"/>
                    <w:bidi w:val="0"/>
                    <w:rPr>
                      <w:rFonts w:hint="default"/>
                      <w:color w:val="auto"/>
                      <w:highlight w:val="none"/>
                      <w:lang w:val="en-US" w:eastAsia="zh-CN"/>
                    </w:rPr>
                  </w:pPr>
                  <w:r>
                    <w:rPr>
                      <w:rFonts w:hint="eastAsia"/>
                      <w:color w:val="auto"/>
                      <w:highlight w:val="none"/>
                      <w:lang w:val="en-US" w:eastAsia="zh-CN"/>
                    </w:rPr>
                    <w:t>新建</w:t>
                  </w:r>
                </w:p>
              </w:tc>
            </w:tr>
            <w:tr w14:paraId="0EC9717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47122047">
                  <w:pPr>
                    <w:pStyle w:val="49"/>
                    <w:bidi w:val="0"/>
                    <w:rPr>
                      <w:color w:val="auto"/>
                      <w:highlight w:val="none"/>
                    </w:rPr>
                  </w:pPr>
                </w:p>
              </w:tc>
              <w:tc>
                <w:tcPr>
                  <w:tcW w:w="525" w:type="dxa"/>
                  <w:vMerge w:val="restart"/>
                  <w:noWrap w:val="0"/>
                  <w:vAlign w:val="center"/>
                </w:tcPr>
                <w:p w14:paraId="71CF3DF8">
                  <w:pPr>
                    <w:pStyle w:val="49"/>
                    <w:bidi w:val="0"/>
                    <w:rPr>
                      <w:color w:val="auto"/>
                      <w:highlight w:val="none"/>
                    </w:rPr>
                  </w:pPr>
                  <w:r>
                    <w:rPr>
                      <w:color w:val="auto"/>
                      <w:highlight w:val="none"/>
                    </w:rPr>
                    <w:t>废气</w:t>
                  </w:r>
                </w:p>
              </w:tc>
              <w:tc>
                <w:tcPr>
                  <w:tcW w:w="855" w:type="dxa"/>
                  <w:noWrap w:val="0"/>
                  <w:vAlign w:val="center"/>
                </w:tcPr>
                <w:p w14:paraId="6687B543">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粉碎粉尘</w:t>
                  </w:r>
                </w:p>
              </w:tc>
              <w:tc>
                <w:tcPr>
                  <w:tcW w:w="5325" w:type="dxa"/>
                  <w:vMerge w:val="restart"/>
                  <w:noWrap w:val="0"/>
                  <w:vAlign w:val="center"/>
                </w:tcPr>
                <w:p w14:paraId="10B89A6D">
                  <w:pPr>
                    <w:pStyle w:val="49"/>
                    <w:bidi w:val="0"/>
                    <w:ind w:left="0" w:leftChars="0" w:firstLine="0" w:firstLineChars="0"/>
                    <w:rPr>
                      <w:rFonts w:hint="default"/>
                      <w:color w:val="auto"/>
                      <w:highlight w:val="none"/>
                      <w:lang w:val="en-US" w:eastAsia="zh-CN"/>
                    </w:rPr>
                  </w:pPr>
                  <w:r>
                    <w:rPr>
                      <w:rFonts w:hint="eastAsia"/>
                      <w:color w:val="auto"/>
                      <w:highlight w:val="none"/>
                    </w:rPr>
                    <w:t>粉碎粉尘</w:t>
                  </w:r>
                  <w:r>
                    <w:rPr>
                      <w:rFonts w:hint="eastAsia"/>
                      <w:color w:val="auto"/>
                      <w:highlight w:val="none"/>
                      <w:lang w:val="en-US" w:eastAsia="zh-CN"/>
                    </w:rPr>
                    <w:t>和烘干废气（带有低氮燃烧装置）</w:t>
                  </w:r>
                  <w:r>
                    <w:rPr>
                      <w:rFonts w:hint="eastAsia"/>
                      <w:color w:val="auto"/>
                      <w:highlight w:val="none"/>
                    </w:rPr>
                    <w:t>经密闭收集后引至</w:t>
                  </w:r>
                  <w:r>
                    <w:rPr>
                      <w:rFonts w:hint="eastAsia"/>
                      <w:color w:val="auto"/>
                      <w:highlight w:val="none"/>
                      <w:lang w:val="en-US" w:eastAsia="zh-CN"/>
                    </w:rPr>
                    <w:t>袋式</w:t>
                  </w:r>
                  <w:r>
                    <w:rPr>
                      <w:rFonts w:hint="eastAsia"/>
                      <w:color w:val="auto"/>
                      <w:highlight w:val="none"/>
                    </w:rPr>
                    <w:t>除尘器处理后由1根15m高排气筒（DA001）排放</w:t>
                  </w:r>
                  <w:r>
                    <w:rPr>
                      <w:rFonts w:hint="eastAsia"/>
                      <w:color w:val="auto"/>
                      <w:highlight w:val="none"/>
                      <w:lang w:eastAsia="zh-CN"/>
                    </w:rPr>
                    <w:t>。</w:t>
                  </w:r>
                </w:p>
              </w:tc>
              <w:tc>
                <w:tcPr>
                  <w:tcW w:w="786" w:type="dxa"/>
                  <w:vMerge w:val="restart"/>
                  <w:noWrap w:val="0"/>
                  <w:vAlign w:val="center"/>
                </w:tcPr>
                <w:p w14:paraId="6A2D6EDA">
                  <w:pPr>
                    <w:pStyle w:val="49"/>
                    <w:bidi w:val="0"/>
                    <w:rPr>
                      <w:rFonts w:hint="eastAsia"/>
                      <w:color w:val="auto"/>
                      <w:highlight w:val="none"/>
                    </w:rPr>
                  </w:pPr>
                  <w:r>
                    <w:rPr>
                      <w:rFonts w:hint="eastAsia"/>
                      <w:color w:val="auto"/>
                      <w:highlight w:val="none"/>
                      <w:lang w:val="en-US" w:eastAsia="zh-CN"/>
                    </w:rPr>
                    <w:t>新建</w:t>
                  </w:r>
                </w:p>
              </w:tc>
            </w:tr>
            <w:tr w14:paraId="20BDA7B9">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473BAF55">
                  <w:pPr>
                    <w:pStyle w:val="49"/>
                    <w:bidi w:val="0"/>
                    <w:rPr>
                      <w:color w:val="auto"/>
                      <w:highlight w:val="none"/>
                    </w:rPr>
                  </w:pPr>
                </w:p>
              </w:tc>
              <w:tc>
                <w:tcPr>
                  <w:tcW w:w="525" w:type="dxa"/>
                  <w:vMerge w:val="continue"/>
                  <w:noWrap w:val="0"/>
                  <w:vAlign w:val="center"/>
                </w:tcPr>
                <w:p w14:paraId="6405A0FF">
                  <w:pPr>
                    <w:pStyle w:val="49"/>
                    <w:bidi w:val="0"/>
                    <w:rPr>
                      <w:color w:val="auto"/>
                      <w:highlight w:val="none"/>
                    </w:rPr>
                  </w:pPr>
                </w:p>
              </w:tc>
              <w:tc>
                <w:tcPr>
                  <w:tcW w:w="855" w:type="dxa"/>
                  <w:noWrap w:val="0"/>
                  <w:vAlign w:val="center"/>
                </w:tcPr>
                <w:p w14:paraId="35A0A8CE">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烘干废气</w:t>
                  </w:r>
                </w:p>
              </w:tc>
              <w:tc>
                <w:tcPr>
                  <w:tcW w:w="5325" w:type="dxa"/>
                  <w:vMerge w:val="continue"/>
                  <w:noWrap w:val="0"/>
                  <w:vAlign w:val="center"/>
                </w:tcPr>
                <w:p w14:paraId="35E70D92">
                  <w:pPr>
                    <w:pStyle w:val="49"/>
                    <w:bidi w:val="0"/>
                    <w:ind w:left="0" w:leftChars="0" w:firstLine="0" w:firstLineChars="0"/>
                    <w:rPr>
                      <w:rFonts w:hint="eastAsia"/>
                      <w:color w:val="auto"/>
                      <w:highlight w:val="none"/>
                      <w:lang w:val="en-US" w:eastAsia="zh-CN"/>
                    </w:rPr>
                  </w:pPr>
                </w:p>
              </w:tc>
              <w:tc>
                <w:tcPr>
                  <w:tcW w:w="786" w:type="dxa"/>
                  <w:vMerge w:val="continue"/>
                  <w:noWrap w:val="0"/>
                  <w:vAlign w:val="center"/>
                </w:tcPr>
                <w:p w14:paraId="39F2BB4D">
                  <w:pPr>
                    <w:pStyle w:val="49"/>
                    <w:bidi w:val="0"/>
                    <w:rPr>
                      <w:rFonts w:hint="eastAsia"/>
                      <w:color w:val="auto"/>
                      <w:highlight w:val="none"/>
                      <w:lang w:val="en-US" w:eastAsia="zh-CN"/>
                    </w:rPr>
                  </w:pPr>
                </w:p>
              </w:tc>
            </w:tr>
            <w:tr w14:paraId="4AE27891">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68229100">
                  <w:pPr>
                    <w:pStyle w:val="49"/>
                    <w:bidi w:val="0"/>
                    <w:rPr>
                      <w:color w:val="auto"/>
                      <w:highlight w:val="none"/>
                    </w:rPr>
                  </w:pPr>
                </w:p>
              </w:tc>
              <w:tc>
                <w:tcPr>
                  <w:tcW w:w="525" w:type="dxa"/>
                  <w:vMerge w:val="continue"/>
                  <w:noWrap w:val="0"/>
                  <w:vAlign w:val="center"/>
                </w:tcPr>
                <w:p w14:paraId="3BEEE384">
                  <w:pPr>
                    <w:pStyle w:val="49"/>
                    <w:bidi w:val="0"/>
                    <w:rPr>
                      <w:color w:val="auto"/>
                      <w:highlight w:val="none"/>
                    </w:rPr>
                  </w:pPr>
                </w:p>
              </w:tc>
              <w:tc>
                <w:tcPr>
                  <w:tcW w:w="855" w:type="dxa"/>
                  <w:noWrap w:val="0"/>
                  <w:vAlign w:val="center"/>
                </w:tcPr>
                <w:p w14:paraId="77E24182">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储罐呼吸废气</w:t>
                  </w:r>
                </w:p>
              </w:tc>
              <w:tc>
                <w:tcPr>
                  <w:tcW w:w="5325" w:type="dxa"/>
                  <w:noWrap w:val="0"/>
                  <w:vAlign w:val="center"/>
                </w:tcPr>
                <w:p w14:paraId="50D76DCE">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采用立式固定顶罐</w:t>
                  </w:r>
                </w:p>
              </w:tc>
              <w:tc>
                <w:tcPr>
                  <w:tcW w:w="786" w:type="dxa"/>
                  <w:noWrap w:val="0"/>
                  <w:vAlign w:val="center"/>
                </w:tcPr>
                <w:p w14:paraId="0EE9B24A">
                  <w:pPr>
                    <w:pStyle w:val="49"/>
                    <w:bidi w:val="0"/>
                    <w:rPr>
                      <w:rFonts w:hint="default"/>
                      <w:color w:val="auto"/>
                      <w:highlight w:val="none"/>
                      <w:lang w:val="en-US" w:eastAsia="zh-CN"/>
                    </w:rPr>
                  </w:pPr>
                  <w:r>
                    <w:rPr>
                      <w:rFonts w:hint="eastAsia"/>
                      <w:color w:val="auto"/>
                      <w:highlight w:val="none"/>
                      <w:lang w:val="en-US" w:eastAsia="zh-CN"/>
                    </w:rPr>
                    <w:t>新建</w:t>
                  </w:r>
                </w:p>
              </w:tc>
            </w:tr>
            <w:tr w14:paraId="15CEA5FC">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733E26B3">
                  <w:pPr>
                    <w:pStyle w:val="49"/>
                    <w:bidi w:val="0"/>
                    <w:rPr>
                      <w:color w:val="auto"/>
                      <w:highlight w:val="none"/>
                    </w:rPr>
                  </w:pPr>
                </w:p>
              </w:tc>
              <w:tc>
                <w:tcPr>
                  <w:tcW w:w="525" w:type="dxa"/>
                  <w:vMerge w:val="continue"/>
                  <w:noWrap w:val="0"/>
                  <w:vAlign w:val="center"/>
                </w:tcPr>
                <w:p w14:paraId="7B05D30A">
                  <w:pPr>
                    <w:pStyle w:val="49"/>
                    <w:bidi w:val="0"/>
                    <w:rPr>
                      <w:color w:val="auto"/>
                      <w:highlight w:val="none"/>
                    </w:rPr>
                  </w:pPr>
                </w:p>
              </w:tc>
              <w:tc>
                <w:tcPr>
                  <w:tcW w:w="855" w:type="dxa"/>
                  <w:noWrap w:val="0"/>
                  <w:vAlign w:val="center"/>
                </w:tcPr>
                <w:p w14:paraId="26AAC329">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发酵废气</w:t>
                  </w:r>
                </w:p>
              </w:tc>
              <w:tc>
                <w:tcPr>
                  <w:tcW w:w="5325" w:type="dxa"/>
                  <w:noWrap w:val="0"/>
                  <w:vAlign w:val="center"/>
                </w:tcPr>
                <w:p w14:paraId="605F2342">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发酵工序设置在密闭设施及密闭车间内，产生的废气经收集后，通过除臭装置处理，由1根15m高排气筒（DA003）排放。</w:t>
                  </w:r>
                </w:p>
              </w:tc>
              <w:tc>
                <w:tcPr>
                  <w:tcW w:w="786" w:type="dxa"/>
                  <w:noWrap w:val="0"/>
                  <w:vAlign w:val="center"/>
                </w:tcPr>
                <w:p w14:paraId="54257BA2">
                  <w:pPr>
                    <w:pStyle w:val="49"/>
                    <w:bidi w:val="0"/>
                    <w:rPr>
                      <w:rFonts w:hint="default"/>
                      <w:color w:val="auto"/>
                      <w:highlight w:val="none"/>
                      <w:lang w:val="en-US" w:eastAsia="zh-CN"/>
                    </w:rPr>
                  </w:pPr>
                  <w:r>
                    <w:rPr>
                      <w:rFonts w:hint="eastAsia"/>
                      <w:color w:val="auto"/>
                      <w:highlight w:val="none"/>
                      <w:lang w:val="en-US" w:eastAsia="zh-CN"/>
                    </w:rPr>
                    <w:t>新建</w:t>
                  </w:r>
                </w:p>
              </w:tc>
            </w:tr>
            <w:tr w14:paraId="58DB6A4F">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4B5DAC06">
                  <w:pPr>
                    <w:pStyle w:val="49"/>
                    <w:bidi w:val="0"/>
                    <w:rPr>
                      <w:color w:val="auto"/>
                      <w:highlight w:val="none"/>
                    </w:rPr>
                  </w:pPr>
                </w:p>
              </w:tc>
              <w:tc>
                <w:tcPr>
                  <w:tcW w:w="525" w:type="dxa"/>
                  <w:vMerge w:val="continue"/>
                  <w:noWrap w:val="0"/>
                  <w:vAlign w:val="center"/>
                </w:tcPr>
                <w:p w14:paraId="7F79884F">
                  <w:pPr>
                    <w:pStyle w:val="49"/>
                    <w:bidi w:val="0"/>
                    <w:rPr>
                      <w:color w:val="auto"/>
                      <w:highlight w:val="none"/>
                    </w:rPr>
                  </w:pPr>
                </w:p>
              </w:tc>
              <w:tc>
                <w:tcPr>
                  <w:tcW w:w="855" w:type="dxa"/>
                  <w:noWrap w:val="0"/>
                  <w:vAlign w:val="center"/>
                </w:tcPr>
                <w:p w14:paraId="67BAF65F">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有机肥料产线扬尘</w:t>
                  </w:r>
                </w:p>
              </w:tc>
              <w:tc>
                <w:tcPr>
                  <w:tcW w:w="5325" w:type="dxa"/>
                  <w:noWrap w:val="0"/>
                  <w:vAlign w:val="center"/>
                </w:tcPr>
                <w:p w14:paraId="7DBBC498">
                  <w:pPr>
                    <w:pStyle w:val="49"/>
                    <w:bidi w:val="0"/>
                    <w:ind w:left="0" w:leftChars="0" w:firstLine="0" w:firstLineChars="0"/>
                    <w:rPr>
                      <w:rFonts w:hint="eastAsia"/>
                      <w:color w:val="auto"/>
                      <w:highlight w:val="none"/>
                      <w:lang w:val="en-US" w:eastAsia="zh-CN"/>
                    </w:rPr>
                  </w:pPr>
                  <w:r>
                    <w:rPr>
                      <w:rFonts w:hint="eastAsia"/>
                      <w:color w:val="auto"/>
                      <w:highlight w:val="none"/>
                    </w:rPr>
                    <w:t>经密闭收集后引至</w:t>
                  </w:r>
                  <w:r>
                    <w:rPr>
                      <w:rFonts w:hint="eastAsia"/>
                      <w:color w:val="auto"/>
                      <w:highlight w:val="none"/>
                      <w:lang w:val="en-US" w:eastAsia="zh-CN"/>
                    </w:rPr>
                    <w:t>袋式</w:t>
                  </w:r>
                  <w:r>
                    <w:rPr>
                      <w:rFonts w:hint="eastAsia"/>
                      <w:color w:val="auto"/>
                      <w:highlight w:val="none"/>
                    </w:rPr>
                    <w:t>除尘器处理后由1根15m高排气筒（DA00</w:t>
                  </w:r>
                  <w:r>
                    <w:rPr>
                      <w:rFonts w:hint="eastAsia"/>
                      <w:color w:val="auto"/>
                      <w:highlight w:val="none"/>
                      <w:lang w:val="en-US" w:eastAsia="zh-CN"/>
                    </w:rPr>
                    <w:t>2</w:t>
                  </w:r>
                  <w:r>
                    <w:rPr>
                      <w:rFonts w:hint="eastAsia"/>
                      <w:color w:val="auto"/>
                      <w:highlight w:val="none"/>
                    </w:rPr>
                    <w:t>）排放</w:t>
                  </w:r>
                  <w:r>
                    <w:rPr>
                      <w:rFonts w:hint="eastAsia"/>
                      <w:color w:val="auto"/>
                      <w:highlight w:val="none"/>
                      <w:lang w:eastAsia="zh-CN"/>
                    </w:rPr>
                    <w:t>。</w:t>
                  </w:r>
                </w:p>
              </w:tc>
              <w:tc>
                <w:tcPr>
                  <w:tcW w:w="786" w:type="dxa"/>
                  <w:noWrap w:val="0"/>
                  <w:vAlign w:val="center"/>
                </w:tcPr>
                <w:p w14:paraId="5664C9FB">
                  <w:pPr>
                    <w:pStyle w:val="49"/>
                    <w:bidi w:val="0"/>
                    <w:rPr>
                      <w:rFonts w:hint="default"/>
                      <w:color w:val="auto"/>
                      <w:highlight w:val="none"/>
                      <w:lang w:val="en-US" w:eastAsia="zh-CN"/>
                    </w:rPr>
                  </w:pPr>
                  <w:r>
                    <w:rPr>
                      <w:rFonts w:hint="eastAsia"/>
                      <w:color w:val="auto"/>
                      <w:highlight w:val="none"/>
                      <w:lang w:val="en-US" w:eastAsia="zh-CN"/>
                    </w:rPr>
                    <w:t>新建</w:t>
                  </w:r>
                </w:p>
              </w:tc>
            </w:tr>
            <w:tr w14:paraId="14CA383D">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1A39BDD1">
                  <w:pPr>
                    <w:pStyle w:val="49"/>
                    <w:bidi w:val="0"/>
                    <w:rPr>
                      <w:color w:val="auto"/>
                      <w:highlight w:val="none"/>
                    </w:rPr>
                  </w:pPr>
                </w:p>
              </w:tc>
              <w:tc>
                <w:tcPr>
                  <w:tcW w:w="525" w:type="dxa"/>
                  <w:vMerge w:val="continue"/>
                  <w:noWrap w:val="0"/>
                  <w:vAlign w:val="center"/>
                </w:tcPr>
                <w:p w14:paraId="4A719500">
                  <w:pPr>
                    <w:pStyle w:val="49"/>
                    <w:bidi w:val="0"/>
                    <w:rPr>
                      <w:color w:val="auto"/>
                      <w:highlight w:val="none"/>
                    </w:rPr>
                  </w:pPr>
                </w:p>
              </w:tc>
              <w:tc>
                <w:tcPr>
                  <w:tcW w:w="855" w:type="dxa"/>
                  <w:noWrap w:val="0"/>
                  <w:vAlign w:val="center"/>
                </w:tcPr>
                <w:p w14:paraId="3AD17BAB">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食堂油烟</w:t>
                  </w:r>
                </w:p>
              </w:tc>
              <w:tc>
                <w:tcPr>
                  <w:tcW w:w="5325" w:type="dxa"/>
                  <w:noWrap w:val="0"/>
                  <w:vAlign w:val="center"/>
                </w:tcPr>
                <w:p w14:paraId="1A8686B3">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食堂设净化效率不低于60%的油烟净化装置对食堂油烟进行净化处理。</w:t>
                  </w:r>
                </w:p>
              </w:tc>
              <w:tc>
                <w:tcPr>
                  <w:tcW w:w="786" w:type="dxa"/>
                  <w:noWrap w:val="0"/>
                  <w:vAlign w:val="center"/>
                </w:tcPr>
                <w:p w14:paraId="1C56B43C">
                  <w:pPr>
                    <w:pStyle w:val="49"/>
                    <w:bidi w:val="0"/>
                    <w:rPr>
                      <w:rFonts w:hint="default"/>
                      <w:color w:val="auto"/>
                      <w:highlight w:val="none"/>
                      <w:lang w:val="en-US" w:eastAsia="zh-CN"/>
                    </w:rPr>
                  </w:pPr>
                  <w:r>
                    <w:rPr>
                      <w:rFonts w:hint="eastAsia"/>
                      <w:color w:val="auto"/>
                      <w:highlight w:val="none"/>
                      <w:lang w:val="en-US" w:eastAsia="zh-CN"/>
                    </w:rPr>
                    <w:t>新建</w:t>
                  </w:r>
                </w:p>
              </w:tc>
            </w:tr>
            <w:tr w14:paraId="73732F04">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390" w:hRule="atLeast"/>
                <w:jc w:val="center"/>
              </w:trPr>
              <w:tc>
                <w:tcPr>
                  <w:tcW w:w="444" w:type="dxa"/>
                  <w:vMerge w:val="continue"/>
                  <w:noWrap w:val="0"/>
                  <w:vAlign w:val="center"/>
                </w:tcPr>
                <w:p w14:paraId="6A8AB5B0">
                  <w:pPr>
                    <w:pStyle w:val="49"/>
                    <w:bidi w:val="0"/>
                    <w:rPr>
                      <w:color w:val="auto"/>
                      <w:highlight w:val="none"/>
                    </w:rPr>
                  </w:pPr>
                </w:p>
              </w:tc>
              <w:tc>
                <w:tcPr>
                  <w:tcW w:w="525" w:type="dxa"/>
                  <w:vMerge w:val="continue"/>
                  <w:noWrap w:val="0"/>
                  <w:vAlign w:val="center"/>
                </w:tcPr>
                <w:p w14:paraId="378AA120">
                  <w:pPr>
                    <w:pStyle w:val="49"/>
                    <w:bidi w:val="0"/>
                    <w:rPr>
                      <w:color w:val="auto"/>
                      <w:highlight w:val="none"/>
                    </w:rPr>
                  </w:pPr>
                </w:p>
              </w:tc>
              <w:tc>
                <w:tcPr>
                  <w:tcW w:w="855" w:type="dxa"/>
                  <w:noWrap w:val="0"/>
                  <w:vAlign w:val="center"/>
                </w:tcPr>
                <w:p w14:paraId="3D8E8727">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放散废气</w:t>
                  </w:r>
                </w:p>
              </w:tc>
              <w:tc>
                <w:tcPr>
                  <w:tcW w:w="5325" w:type="dxa"/>
                  <w:noWrap w:val="0"/>
                  <w:vAlign w:val="center"/>
                </w:tcPr>
                <w:p w14:paraId="66DE6591">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储罐区设置1根15m高放散立管，放散废气通过1根15m高放散管集中排放。</w:t>
                  </w:r>
                </w:p>
              </w:tc>
              <w:tc>
                <w:tcPr>
                  <w:tcW w:w="786" w:type="dxa"/>
                  <w:noWrap w:val="0"/>
                  <w:vAlign w:val="center"/>
                </w:tcPr>
                <w:p w14:paraId="7516A094">
                  <w:pPr>
                    <w:pStyle w:val="49"/>
                    <w:bidi w:val="0"/>
                    <w:rPr>
                      <w:rFonts w:hint="default"/>
                      <w:color w:val="auto"/>
                      <w:highlight w:val="none"/>
                      <w:lang w:val="en-US" w:eastAsia="zh-CN"/>
                    </w:rPr>
                  </w:pPr>
                  <w:r>
                    <w:rPr>
                      <w:rFonts w:hint="eastAsia"/>
                      <w:color w:val="auto"/>
                      <w:highlight w:val="none"/>
                      <w:lang w:val="en-US" w:eastAsia="zh-CN"/>
                    </w:rPr>
                    <w:t>新建</w:t>
                  </w:r>
                </w:p>
              </w:tc>
            </w:tr>
            <w:tr w14:paraId="24E3C3AE">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90" w:hRule="atLeast"/>
                <w:jc w:val="center"/>
              </w:trPr>
              <w:tc>
                <w:tcPr>
                  <w:tcW w:w="444" w:type="dxa"/>
                  <w:vMerge w:val="continue"/>
                  <w:noWrap w:val="0"/>
                  <w:vAlign w:val="center"/>
                </w:tcPr>
                <w:p w14:paraId="0CF88E7D">
                  <w:pPr>
                    <w:pStyle w:val="49"/>
                    <w:bidi w:val="0"/>
                    <w:rPr>
                      <w:color w:val="auto"/>
                      <w:highlight w:val="none"/>
                    </w:rPr>
                  </w:pPr>
                </w:p>
              </w:tc>
              <w:tc>
                <w:tcPr>
                  <w:tcW w:w="1380" w:type="dxa"/>
                  <w:gridSpan w:val="2"/>
                  <w:noWrap w:val="0"/>
                  <w:vAlign w:val="center"/>
                </w:tcPr>
                <w:p w14:paraId="55806991">
                  <w:pPr>
                    <w:pStyle w:val="49"/>
                    <w:bidi w:val="0"/>
                    <w:rPr>
                      <w:color w:val="auto"/>
                      <w:highlight w:val="none"/>
                    </w:rPr>
                  </w:pPr>
                  <w:r>
                    <w:rPr>
                      <w:color w:val="auto"/>
                      <w:highlight w:val="none"/>
                    </w:rPr>
                    <w:t>噪声</w:t>
                  </w:r>
                </w:p>
              </w:tc>
              <w:tc>
                <w:tcPr>
                  <w:tcW w:w="5325" w:type="dxa"/>
                  <w:noWrap w:val="0"/>
                  <w:vAlign w:val="center"/>
                </w:tcPr>
                <w:p w14:paraId="519697D1">
                  <w:pPr>
                    <w:pStyle w:val="49"/>
                    <w:bidi w:val="0"/>
                    <w:rPr>
                      <w:rFonts w:hint="default"/>
                      <w:color w:val="auto"/>
                      <w:highlight w:val="none"/>
                      <w:lang w:val="en-US" w:eastAsia="zh-CN"/>
                    </w:rPr>
                  </w:pPr>
                  <w:r>
                    <w:rPr>
                      <w:color w:val="auto"/>
                      <w:highlight w:val="none"/>
                    </w:rPr>
                    <w:t>低噪声设备、设置减振垫、房间隔声</w:t>
                  </w:r>
                </w:p>
              </w:tc>
              <w:tc>
                <w:tcPr>
                  <w:tcW w:w="786" w:type="dxa"/>
                  <w:noWrap w:val="0"/>
                  <w:vAlign w:val="center"/>
                </w:tcPr>
                <w:p w14:paraId="24C9E5DD">
                  <w:pPr>
                    <w:pStyle w:val="49"/>
                    <w:bidi w:val="0"/>
                    <w:rPr>
                      <w:rFonts w:hint="eastAsia"/>
                      <w:color w:val="auto"/>
                      <w:highlight w:val="none"/>
                    </w:rPr>
                  </w:pPr>
                  <w:r>
                    <w:rPr>
                      <w:rFonts w:hint="eastAsia"/>
                      <w:color w:val="auto"/>
                      <w:highlight w:val="none"/>
                      <w:lang w:val="en-US" w:eastAsia="zh-CN"/>
                    </w:rPr>
                    <w:t>新建</w:t>
                  </w:r>
                </w:p>
              </w:tc>
            </w:tr>
            <w:tr w14:paraId="4D6286A2">
              <w:tblPrEx>
                <w:tblBorders>
                  <w:top w:val="single" w:color="auto" w:sz="4" w:space="0"/>
                  <w:left w:val="single" w:color="auto" w:sz="4" w:space="0"/>
                  <w:bottom w:val="single" w:color="auto" w:sz="4" w:space="0"/>
                  <w:right w:val="single" w:color="auto" w:sz="4" w:space="0"/>
                  <w:insideH w:val="single" w:color="auto" w:sz="8" w:space="0"/>
                  <w:insideV w:val="single" w:color="auto" w:sz="8" w:space="0"/>
                </w:tblBorders>
                <w:tblCellMar>
                  <w:top w:w="0" w:type="dxa"/>
                  <w:left w:w="108" w:type="dxa"/>
                  <w:bottom w:w="0" w:type="dxa"/>
                  <w:right w:w="108" w:type="dxa"/>
                </w:tblCellMar>
              </w:tblPrEx>
              <w:trPr>
                <w:cantSplit/>
                <w:trHeight w:val="272" w:hRule="atLeast"/>
                <w:jc w:val="center"/>
              </w:trPr>
              <w:tc>
                <w:tcPr>
                  <w:tcW w:w="444" w:type="dxa"/>
                  <w:vMerge w:val="continue"/>
                  <w:noWrap w:val="0"/>
                  <w:vAlign w:val="center"/>
                </w:tcPr>
                <w:p w14:paraId="3BB3A7B1">
                  <w:pPr>
                    <w:pStyle w:val="49"/>
                    <w:bidi w:val="0"/>
                    <w:rPr>
                      <w:color w:val="auto"/>
                      <w:highlight w:val="none"/>
                    </w:rPr>
                  </w:pPr>
                </w:p>
              </w:tc>
              <w:tc>
                <w:tcPr>
                  <w:tcW w:w="1380" w:type="dxa"/>
                  <w:gridSpan w:val="2"/>
                  <w:noWrap w:val="0"/>
                  <w:vAlign w:val="center"/>
                </w:tcPr>
                <w:p w14:paraId="08CD435A">
                  <w:pPr>
                    <w:pStyle w:val="49"/>
                    <w:bidi w:val="0"/>
                    <w:rPr>
                      <w:rFonts w:hint="default"/>
                      <w:color w:val="auto"/>
                      <w:highlight w:val="none"/>
                      <w:lang w:val="en-US" w:eastAsia="zh-CN"/>
                    </w:rPr>
                  </w:pPr>
                  <w:r>
                    <w:rPr>
                      <w:rFonts w:hint="eastAsia"/>
                      <w:color w:val="auto"/>
                      <w:highlight w:val="none"/>
                      <w:lang w:val="en-US" w:eastAsia="zh-CN"/>
                    </w:rPr>
                    <w:t>固废</w:t>
                  </w:r>
                </w:p>
              </w:tc>
              <w:tc>
                <w:tcPr>
                  <w:tcW w:w="5325" w:type="dxa"/>
                  <w:noWrap w:val="0"/>
                  <w:vAlign w:val="center"/>
                </w:tcPr>
                <w:p w14:paraId="2882A6CB">
                  <w:pPr>
                    <w:pStyle w:val="49"/>
                    <w:bidi w:val="0"/>
                    <w:rPr>
                      <w:rFonts w:hint="default"/>
                      <w:color w:val="auto"/>
                      <w:highlight w:val="none"/>
                      <w:lang w:val="en-US" w:eastAsia="zh-CN"/>
                    </w:rPr>
                  </w:pPr>
                  <w:r>
                    <w:rPr>
                      <w:color w:val="auto"/>
                      <w:highlight w:val="none"/>
                    </w:rPr>
                    <w:t>员工生活垃圾设垃圾桶集中收集，</w:t>
                  </w:r>
                  <w:r>
                    <w:rPr>
                      <w:rFonts w:hint="eastAsia"/>
                      <w:color w:val="auto"/>
                      <w:highlight w:val="none"/>
                      <w:lang w:val="en-US" w:eastAsia="zh-CN"/>
                    </w:rPr>
                    <w:t>定期由环卫部门清运</w:t>
                  </w:r>
                  <w:r>
                    <w:rPr>
                      <w:color w:val="auto"/>
                      <w:highlight w:val="none"/>
                    </w:rPr>
                    <w:t>；</w:t>
                  </w:r>
                  <w:r>
                    <w:rPr>
                      <w:rFonts w:hint="eastAsia"/>
                      <w:color w:val="auto"/>
                      <w:highlight w:val="none"/>
                      <w:lang w:val="en-US" w:eastAsia="zh-CN"/>
                    </w:rPr>
                    <w:t>炭化灰渣、</w:t>
                  </w:r>
                  <w:r>
                    <w:rPr>
                      <w:rFonts w:hint="eastAsia"/>
                      <w:color w:val="auto"/>
                      <w:highlight w:val="none"/>
                      <w:lang w:eastAsia="zh-CN"/>
                    </w:rPr>
                    <w:t>收集粉尘集中收集后，回用于生产；</w:t>
                  </w:r>
                  <w:r>
                    <w:rPr>
                      <w:rFonts w:hint="eastAsia"/>
                      <w:color w:val="auto"/>
                      <w:highlight w:val="none"/>
                      <w:lang w:val="en-US" w:eastAsia="zh-CN"/>
                    </w:rPr>
                    <w:t>运营期产生的废包装材料暂存于一般固废暂存间（30m</w:t>
                  </w:r>
                  <w:r>
                    <w:rPr>
                      <w:rFonts w:hint="eastAsia"/>
                      <w:color w:val="auto"/>
                      <w:highlight w:val="none"/>
                      <w:vertAlign w:val="superscript"/>
                      <w:lang w:val="en-US" w:eastAsia="zh-CN"/>
                    </w:rPr>
                    <w:t>2</w:t>
                  </w:r>
                  <w:r>
                    <w:rPr>
                      <w:rFonts w:hint="eastAsia"/>
                      <w:color w:val="auto"/>
                      <w:highlight w:val="none"/>
                      <w:lang w:val="en-US" w:eastAsia="zh-CN"/>
                    </w:rPr>
                    <w:t>）；运营期产生的危废暂存于危废贮存库（10m</w:t>
                  </w:r>
                  <w:r>
                    <w:rPr>
                      <w:rFonts w:hint="eastAsia"/>
                      <w:color w:val="auto"/>
                      <w:highlight w:val="none"/>
                      <w:vertAlign w:val="superscript"/>
                      <w:lang w:val="en-US" w:eastAsia="zh-CN"/>
                    </w:rPr>
                    <w:t>2</w:t>
                  </w:r>
                  <w:r>
                    <w:rPr>
                      <w:rFonts w:hint="eastAsia"/>
                      <w:color w:val="auto"/>
                      <w:highlight w:val="none"/>
                      <w:lang w:val="en-US" w:eastAsia="zh-CN"/>
                    </w:rPr>
                    <w:t>），定期交由有资质的单位处理处置。</w:t>
                  </w:r>
                </w:p>
              </w:tc>
              <w:tc>
                <w:tcPr>
                  <w:tcW w:w="786" w:type="dxa"/>
                  <w:noWrap w:val="0"/>
                  <w:vAlign w:val="center"/>
                </w:tcPr>
                <w:p w14:paraId="5FF586BC">
                  <w:pPr>
                    <w:pStyle w:val="49"/>
                    <w:bidi w:val="0"/>
                    <w:rPr>
                      <w:color w:val="auto"/>
                      <w:highlight w:val="none"/>
                    </w:rPr>
                  </w:pPr>
                  <w:r>
                    <w:rPr>
                      <w:rFonts w:hint="eastAsia"/>
                      <w:color w:val="auto"/>
                      <w:highlight w:val="none"/>
                      <w:lang w:val="en-US" w:eastAsia="zh-CN"/>
                    </w:rPr>
                    <w:t>新建</w:t>
                  </w:r>
                </w:p>
              </w:tc>
            </w:tr>
          </w:tbl>
          <w:p w14:paraId="0AF6E13A">
            <w:pPr>
              <w:pStyle w:val="11"/>
              <w:numPr>
                <w:ilvl w:val="0"/>
                <w:numId w:val="2"/>
              </w:numPr>
              <w:bidi w:val="0"/>
              <w:ind w:left="0" w:leftChars="0" w:right="0" w:rightChars="0" w:firstLine="482" w:firstLineChars="200"/>
              <w:rPr>
                <w:rFonts w:hint="eastAsia"/>
                <w:b/>
                <w:bCs/>
                <w:color w:val="auto"/>
                <w:highlight w:val="none"/>
                <w:lang w:val="en-US" w:eastAsia="zh-CN"/>
              </w:rPr>
            </w:pPr>
            <w:r>
              <w:rPr>
                <w:rFonts w:hint="eastAsia"/>
                <w:b/>
                <w:bCs/>
                <w:color w:val="auto"/>
                <w:highlight w:val="none"/>
                <w:lang w:val="en-US" w:eastAsia="zh-CN"/>
              </w:rPr>
              <w:t>产品方案</w:t>
            </w:r>
          </w:p>
          <w:p w14:paraId="22F1D68F">
            <w:pPr>
              <w:pStyle w:val="11"/>
              <w:bidi w:val="0"/>
              <w:rPr>
                <w:rFonts w:hint="eastAsia"/>
                <w:color w:val="auto"/>
                <w:highlight w:val="none"/>
                <w:lang w:val="en-US" w:eastAsia="zh-CN"/>
              </w:rPr>
            </w:pPr>
            <w:r>
              <w:rPr>
                <w:rFonts w:hint="eastAsia"/>
                <w:color w:val="auto"/>
                <w:highlight w:val="none"/>
                <w:lang w:val="en-US" w:eastAsia="zh-CN"/>
              </w:rPr>
              <w:t>根据建设单位提供的相关资料，本项目产品方案见表2-2。</w:t>
            </w:r>
          </w:p>
          <w:p w14:paraId="740138A0">
            <w:pPr>
              <w:pStyle w:val="32"/>
              <w:bidi w:val="0"/>
              <w:rPr>
                <w:rFonts w:hint="eastAsia"/>
                <w:color w:val="auto"/>
                <w:highlight w:val="none"/>
                <w:lang w:val="en-US" w:eastAsia="zh-CN"/>
              </w:rPr>
            </w:pPr>
            <w:r>
              <w:rPr>
                <w:rFonts w:hint="eastAsia"/>
                <w:color w:val="auto"/>
                <w:highlight w:val="none"/>
                <w:lang w:val="en-US" w:eastAsia="zh-CN"/>
              </w:rPr>
              <w:t>表2-2     本项目产品方案一览表</w:t>
            </w:r>
          </w:p>
          <w:tbl>
            <w:tblPr>
              <w:tblStyle w:val="27"/>
              <w:tblW w:w="7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815"/>
              <w:gridCol w:w="1305"/>
              <w:gridCol w:w="1534"/>
              <w:gridCol w:w="1987"/>
            </w:tblGrid>
            <w:tr w14:paraId="5EF8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19" w:type="dxa"/>
                  <w:gridSpan w:val="2"/>
                  <w:vAlign w:val="center"/>
                </w:tcPr>
                <w:p w14:paraId="69E38558">
                  <w:pPr>
                    <w:pStyle w:val="49"/>
                    <w:bidi w:val="0"/>
                    <w:jc w:val="center"/>
                    <w:rPr>
                      <w:rFonts w:hint="default"/>
                      <w:b/>
                      <w:bCs/>
                      <w:color w:val="auto"/>
                      <w:highlight w:val="none"/>
                      <w:lang w:val="en-US" w:eastAsia="zh-CN"/>
                    </w:rPr>
                  </w:pPr>
                  <w:r>
                    <w:rPr>
                      <w:rFonts w:hint="eastAsia"/>
                      <w:b/>
                      <w:bCs/>
                      <w:color w:val="auto"/>
                      <w:highlight w:val="none"/>
                      <w:lang w:val="en-US" w:eastAsia="zh-CN"/>
                    </w:rPr>
                    <w:t>产品名称</w:t>
                  </w:r>
                </w:p>
              </w:tc>
              <w:tc>
                <w:tcPr>
                  <w:tcW w:w="1305" w:type="dxa"/>
                  <w:vAlign w:val="center"/>
                </w:tcPr>
                <w:p w14:paraId="2A02A8E9">
                  <w:pPr>
                    <w:pStyle w:val="49"/>
                    <w:bidi w:val="0"/>
                    <w:jc w:val="center"/>
                    <w:rPr>
                      <w:rFonts w:hint="default"/>
                      <w:b/>
                      <w:bCs/>
                      <w:color w:val="auto"/>
                      <w:highlight w:val="none"/>
                      <w:lang w:val="en-US" w:eastAsia="zh-CN"/>
                    </w:rPr>
                  </w:pPr>
                  <w:r>
                    <w:rPr>
                      <w:rFonts w:hint="eastAsia"/>
                      <w:b/>
                      <w:bCs/>
                      <w:color w:val="auto"/>
                      <w:highlight w:val="none"/>
                      <w:lang w:val="en-US" w:eastAsia="zh-CN"/>
                    </w:rPr>
                    <w:t>产品规格</w:t>
                  </w:r>
                </w:p>
              </w:tc>
              <w:tc>
                <w:tcPr>
                  <w:tcW w:w="1534" w:type="dxa"/>
                  <w:vAlign w:val="center"/>
                </w:tcPr>
                <w:p w14:paraId="0776144D">
                  <w:pPr>
                    <w:pStyle w:val="49"/>
                    <w:bidi w:val="0"/>
                    <w:jc w:val="center"/>
                    <w:rPr>
                      <w:rFonts w:hint="default"/>
                      <w:b/>
                      <w:bCs/>
                      <w:color w:val="auto"/>
                      <w:highlight w:val="none"/>
                      <w:lang w:val="en-US" w:eastAsia="zh-CN"/>
                    </w:rPr>
                  </w:pPr>
                  <w:r>
                    <w:rPr>
                      <w:rFonts w:hint="eastAsia"/>
                      <w:b/>
                      <w:bCs/>
                      <w:color w:val="auto"/>
                      <w:highlight w:val="none"/>
                      <w:lang w:val="en-US" w:eastAsia="zh-CN"/>
                    </w:rPr>
                    <w:t>产量</w:t>
                  </w:r>
                </w:p>
              </w:tc>
              <w:tc>
                <w:tcPr>
                  <w:tcW w:w="1987" w:type="dxa"/>
                  <w:vAlign w:val="center"/>
                </w:tcPr>
                <w:p w14:paraId="7468FAA0">
                  <w:pPr>
                    <w:pStyle w:val="49"/>
                    <w:bidi w:val="0"/>
                    <w:jc w:val="center"/>
                    <w:rPr>
                      <w:rFonts w:hint="default"/>
                      <w:b/>
                      <w:bCs/>
                      <w:color w:val="auto"/>
                      <w:highlight w:val="none"/>
                      <w:lang w:val="en-US" w:eastAsia="zh-CN"/>
                    </w:rPr>
                  </w:pPr>
                  <w:r>
                    <w:rPr>
                      <w:rFonts w:hint="eastAsia"/>
                      <w:b/>
                      <w:bCs/>
                      <w:color w:val="auto"/>
                      <w:highlight w:val="none"/>
                      <w:lang w:val="en-US" w:eastAsia="zh-CN"/>
                    </w:rPr>
                    <w:t>备注</w:t>
                  </w:r>
                </w:p>
              </w:tc>
            </w:tr>
            <w:tr w14:paraId="7E30E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restart"/>
                  <w:vAlign w:val="center"/>
                </w:tcPr>
                <w:p w14:paraId="78296923">
                  <w:pPr>
                    <w:pStyle w:val="49"/>
                    <w:bidi w:val="0"/>
                    <w:jc w:val="center"/>
                    <w:rPr>
                      <w:rFonts w:hint="default"/>
                      <w:color w:val="auto"/>
                      <w:highlight w:val="none"/>
                      <w:lang w:val="en-US" w:eastAsia="zh-CN"/>
                    </w:rPr>
                  </w:pPr>
                  <w:r>
                    <w:rPr>
                      <w:rFonts w:hint="eastAsia"/>
                      <w:color w:val="auto"/>
                      <w:highlight w:val="none"/>
                      <w:lang w:val="en-US" w:eastAsia="zh-CN"/>
                    </w:rPr>
                    <w:t>产品</w:t>
                  </w:r>
                </w:p>
              </w:tc>
              <w:tc>
                <w:tcPr>
                  <w:tcW w:w="1815" w:type="dxa"/>
                  <w:vAlign w:val="center"/>
                </w:tcPr>
                <w:p w14:paraId="10248C4D">
                  <w:pPr>
                    <w:pStyle w:val="49"/>
                    <w:bidi w:val="0"/>
                    <w:jc w:val="center"/>
                    <w:rPr>
                      <w:rFonts w:hint="default"/>
                      <w:color w:val="auto"/>
                      <w:highlight w:val="none"/>
                      <w:lang w:val="en-US" w:eastAsia="zh-CN"/>
                    </w:rPr>
                  </w:pPr>
                  <w:r>
                    <w:rPr>
                      <w:rFonts w:hint="eastAsia"/>
                      <w:color w:val="auto"/>
                      <w:highlight w:val="none"/>
                      <w:lang w:val="en-US" w:eastAsia="zh-CN"/>
                    </w:rPr>
                    <w:t>净化秸秆气</w:t>
                  </w:r>
                </w:p>
              </w:tc>
              <w:tc>
                <w:tcPr>
                  <w:tcW w:w="1305" w:type="dxa"/>
                  <w:vAlign w:val="center"/>
                </w:tcPr>
                <w:p w14:paraId="2DEDD326">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w:t>
                  </w:r>
                </w:p>
              </w:tc>
              <w:tc>
                <w:tcPr>
                  <w:tcW w:w="1534" w:type="dxa"/>
                  <w:vAlign w:val="center"/>
                </w:tcPr>
                <w:p w14:paraId="748236D0">
                  <w:pPr>
                    <w:pStyle w:val="49"/>
                    <w:bidi w:val="0"/>
                    <w:jc w:val="center"/>
                    <w:rPr>
                      <w:rFonts w:hint="default"/>
                      <w:color w:val="auto"/>
                      <w:highlight w:val="none"/>
                      <w:vertAlign w:val="baseline"/>
                      <w:lang w:val="en-US" w:eastAsia="zh-CN"/>
                    </w:rPr>
                  </w:pPr>
                  <w:r>
                    <w:rPr>
                      <w:rFonts w:hint="eastAsia"/>
                      <w:color w:val="auto"/>
                      <w:highlight w:val="none"/>
                      <w:lang w:val="en-US" w:eastAsia="zh-CN"/>
                    </w:rPr>
                    <w:t>392.6万m</w:t>
                  </w:r>
                  <w:r>
                    <w:rPr>
                      <w:rFonts w:hint="eastAsia"/>
                      <w:color w:val="auto"/>
                      <w:highlight w:val="none"/>
                      <w:vertAlign w:val="superscript"/>
                      <w:lang w:val="en-US" w:eastAsia="zh-CN"/>
                    </w:rPr>
                    <w:t>3</w:t>
                  </w:r>
                  <w:r>
                    <w:rPr>
                      <w:rFonts w:hint="eastAsia"/>
                      <w:color w:val="auto"/>
                      <w:highlight w:val="none"/>
                      <w:vertAlign w:val="baseline"/>
                      <w:lang w:val="en-US" w:eastAsia="zh-CN"/>
                    </w:rPr>
                    <w:t>/a</w:t>
                  </w:r>
                </w:p>
              </w:tc>
              <w:tc>
                <w:tcPr>
                  <w:tcW w:w="1987" w:type="dxa"/>
                  <w:vMerge w:val="restart"/>
                  <w:vAlign w:val="center"/>
                </w:tcPr>
                <w:p w14:paraId="0C51C150">
                  <w:pPr>
                    <w:pStyle w:val="49"/>
                    <w:bidi w:val="0"/>
                    <w:jc w:val="center"/>
                    <w:rPr>
                      <w:rFonts w:hint="default"/>
                      <w:color w:val="auto"/>
                      <w:highlight w:val="none"/>
                      <w:lang w:val="en-US" w:eastAsia="zh-CN"/>
                    </w:rPr>
                  </w:pPr>
                  <w:r>
                    <w:rPr>
                      <w:rFonts w:hint="eastAsia"/>
                      <w:color w:val="auto"/>
                      <w:highlight w:val="none"/>
                      <w:lang w:val="en-US" w:eastAsia="zh-CN"/>
                    </w:rPr>
                    <w:t>外售</w:t>
                  </w:r>
                </w:p>
              </w:tc>
            </w:tr>
            <w:tr w14:paraId="1E01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vAlign w:val="center"/>
                </w:tcPr>
                <w:p w14:paraId="1CC6A0CD">
                  <w:pPr>
                    <w:pStyle w:val="49"/>
                    <w:bidi w:val="0"/>
                    <w:jc w:val="center"/>
                    <w:rPr>
                      <w:rFonts w:hint="default"/>
                      <w:color w:val="auto"/>
                      <w:highlight w:val="none"/>
                      <w:lang w:val="en-US" w:eastAsia="zh-CN"/>
                    </w:rPr>
                  </w:pPr>
                </w:p>
              </w:tc>
              <w:tc>
                <w:tcPr>
                  <w:tcW w:w="1815" w:type="dxa"/>
                  <w:vAlign w:val="center"/>
                </w:tcPr>
                <w:p w14:paraId="3E640AFD">
                  <w:pPr>
                    <w:pStyle w:val="49"/>
                    <w:bidi w:val="0"/>
                    <w:jc w:val="center"/>
                    <w:rPr>
                      <w:rFonts w:hint="default"/>
                      <w:color w:val="auto"/>
                      <w:highlight w:val="none"/>
                      <w:lang w:val="en-US" w:eastAsia="zh-CN"/>
                    </w:rPr>
                  </w:pPr>
                  <w:r>
                    <w:rPr>
                      <w:rFonts w:hint="eastAsia"/>
                      <w:color w:val="auto"/>
                      <w:highlight w:val="none"/>
                      <w:lang w:val="en-US" w:eastAsia="zh-CN"/>
                    </w:rPr>
                    <w:t>秸秆炭（块状）</w:t>
                  </w:r>
                </w:p>
              </w:tc>
              <w:tc>
                <w:tcPr>
                  <w:tcW w:w="1305" w:type="dxa"/>
                  <w:vAlign w:val="center"/>
                </w:tcPr>
                <w:p w14:paraId="2325136A">
                  <w:pPr>
                    <w:pStyle w:val="49"/>
                    <w:bidi w:val="0"/>
                    <w:jc w:val="center"/>
                    <w:rPr>
                      <w:rFonts w:hint="default"/>
                      <w:color w:val="auto"/>
                      <w:highlight w:val="none"/>
                      <w:lang w:val="en-US" w:eastAsia="zh-CN"/>
                    </w:rPr>
                  </w:pPr>
                  <w:r>
                    <w:rPr>
                      <w:rFonts w:hint="eastAsia"/>
                      <w:color w:val="auto"/>
                      <w:highlight w:val="none"/>
                      <w:lang w:val="en-US" w:eastAsia="zh-CN"/>
                    </w:rPr>
                    <w:t>25kg/袋</w:t>
                  </w:r>
                </w:p>
              </w:tc>
              <w:tc>
                <w:tcPr>
                  <w:tcW w:w="1534" w:type="dxa"/>
                  <w:vAlign w:val="center"/>
                </w:tcPr>
                <w:p w14:paraId="42DE093C">
                  <w:pPr>
                    <w:pStyle w:val="49"/>
                    <w:bidi w:val="0"/>
                    <w:jc w:val="center"/>
                    <w:rPr>
                      <w:rFonts w:hint="default"/>
                      <w:color w:val="auto"/>
                      <w:highlight w:val="none"/>
                      <w:lang w:val="en-US" w:eastAsia="zh-CN"/>
                    </w:rPr>
                  </w:pPr>
                  <w:r>
                    <w:rPr>
                      <w:rFonts w:hint="eastAsia"/>
                      <w:color w:val="auto"/>
                      <w:highlight w:val="none"/>
                      <w:lang w:val="en-US" w:eastAsia="zh-CN"/>
                    </w:rPr>
                    <w:t>4941.6t/a</w:t>
                  </w:r>
                </w:p>
              </w:tc>
              <w:tc>
                <w:tcPr>
                  <w:tcW w:w="1987" w:type="dxa"/>
                  <w:vMerge w:val="continue"/>
                  <w:vAlign w:val="center"/>
                </w:tcPr>
                <w:p w14:paraId="21286441">
                  <w:pPr>
                    <w:pStyle w:val="49"/>
                    <w:bidi w:val="0"/>
                    <w:jc w:val="center"/>
                    <w:rPr>
                      <w:rFonts w:hint="default"/>
                      <w:color w:val="auto"/>
                      <w:highlight w:val="none"/>
                      <w:lang w:val="en-US" w:eastAsia="zh-CN"/>
                    </w:rPr>
                  </w:pPr>
                </w:p>
              </w:tc>
            </w:tr>
            <w:tr w14:paraId="738B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304" w:type="dxa"/>
                  <w:vMerge w:val="continue"/>
                  <w:vAlign w:val="center"/>
                </w:tcPr>
                <w:p w14:paraId="17DA5275">
                  <w:pPr>
                    <w:pStyle w:val="49"/>
                    <w:bidi w:val="0"/>
                    <w:jc w:val="center"/>
                    <w:rPr>
                      <w:rFonts w:hint="default"/>
                      <w:color w:val="auto"/>
                      <w:highlight w:val="none"/>
                      <w:lang w:val="en-US" w:eastAsia="zh-CN"/>
                    </w:rPr>
                  </w:pPr>
                </w:p>
              </w:tc>
              <w:tc>
                <w:tcPr>
                  <w:tcW w:w="1815" w:type="dxa"/>
                  <w:vAlign w:val="center"/>
                </w:tcPr>
                <w:p w14:paraId="05289E5D">
                  <w:pPr>
                    <w:pStyle w:val="49"/>
                    <w:bidi w:val="0"/>
                    <w:jc w:val="center"/>
                    <w:rPr>
                      <w:rFonts w:hint="default"/>
                      <w:color w:val="auto"/>
                      <w:highlight w:val="none"/>
                      <w:lang w:val="en-US" w:eastAsia="zh-CN"/>
                    </w:rPr>
                  </w:pPr>
                  <w:r>
                    <w:rPr>
                      <w:rFonts w:hint="eastAsia"/>
                      <w:color w:val="auto"/>
                      <w:highlight w:val="none"/>
                      <w:lang w:val="en-US" w:eastAsia="zh-CN"/>
                    </w:rPr>
                    <w:t>有机肥</w:t>
                  </w:r>
                </w:p>
              </w:tc>
              <w:tc>
                <w:tcPr>
                  <w:tcW w:w="1305" w:type="dxa"/>
                  <w:vAlign w:val="center"/>
                </w:tcPr>
                <w:p w14:paraId="4593C39C">
                  <w:pPr>
                    <w:pStyle w:val="49"/>
                    <w:bidi w:val="0"/>
                    <w:jc w:val="center"/>
                    <w:rPr>
                      <w:rFonts w:hint="default"/>
                      <w:color w:val="auto"/>
                      <w:highlight w:val="none"/>
                      <w:lang w:val="en-US" w:eastAsia="zh-CN"/>
                    </w:rPr>
                  </w:pPr>
                  <w:r>
                    <w:rPr>
                      <w:rFonts w:hint="eastAsia"/>
                      <w:color w:val="auto"/>
                      <w:highlight w:val="none"/>
                      <w:lang w:val="en-US" w:eastAsia="zh-CN"/>
                    </w:rPr>
                    <w:t>25kg/袋</w:t>
                  </w:r>
                </w:p>
              </w:tc>
              <w:tc>
                <w:tcPr>
                  <w:tcW w:w="1534" w:type="dxa"/>
                  <w:vAlign w:val="center"/>
                </w:tcPr>
                <w:p w14:paraId="4B577FF1">
                  <w:pPr>
                    <w:pStyle w:val="49"/>
                    <w:bidi w:val="0"/>
                    <w:jc w:val="center"/>
                    <w:rPr>
                      <w:rFonts w:hint="default"/>
                      <w:color w:val="auto"/>
                      <w:highlight w:val="none"/>
                      <w:lang w:val="en-US" w:eastAsia="zh-CN"/>
                    </w:rPr>
                  </w:pPr>
                  <w:r>
                    <w:rPr>
                      <w:rFonts w:hint="eastAsia"/>
                      <w:color w:val="auto"/>
                      <w:highlight w:val="none"/>
                      <w:lang w:val="en-US" w:eastAsia="zh-CN"/>
                    </w:rPr>
                    <w:t>5000t/a</w:t>
                  </w:r>
                </w:p>
              </w:tc>
              <w:tc>
                <w:tcPr>
                  <w:tcW w:w="1987" w:type="dxa"/>
                  <w:vMerge w:val="continue"/>
                  <w:vAlign w:val="center"/>
                </w:tcPr>
                <w:p w14:paraId="137184B8">
                  <w:pPr>
                    <w:pStyle w:val="49"/>
                    <w:bidi w:val="0"/>
                    <w:jc w:val="center"/>
                    <w:rPr>
                      <w:rFonts w:hint="default"/>
                      <w:color w:val="auto"/>
                      <w:highlight w:val="none"/>
                      <w:lang w:val="en-US" w:eastAsia="zh-CN"/>
                    </w:rPr>
                  </w:pPr>
                </w:p>
              </w:tc>
            </w:tr>
            <w:tr w14:paraId="1498D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304" w:type="dxa"/>
                  <w:vMerge w:val="restart"/>
                  <w:vAlign w:val="center"/>
                </w:tcPr>
                <w:p w14:paraId="58B23841">
                  <w:pPr>
                    <w:pStyle w:val="49"/>
                    <w:bidi w:val="0"/>
                    <w:jc w:val="center"/>
                    <w:rPr>
                      <w:rFonts w:hint="default"/>
                      <w:color w:val="auto"/>
                      <w:highlight w:val="none"/>
                      <w:lang w:val="en-US" w:eastAsia="zh-CN"/>
                    </w:rPr>
                  </w:pPr>
                  <w:r>
                    <w:rPr>
                      <w:rFonts w:hint="eastAsia"/>
                      <w:color w:val="auto"/>
                      <w:highlight w:val="none"/>
                      <w:lang w:val="en-US" w:eastAsia="zh-CN"/>
                    </w:rPr>
                    <w:t>副产品</w:t>
                  </w:r>
                </w:p>
              </w:tc>
              <w:tc>
                <w:tcPr>
                  <w:tcW w:w="1815" w:type="dxa"/>
                  <w:vAlign w:val="center"/>
                </w:tcPr>
                <w:p w14:paraId="53EF5868">
                  <w:pPr>
                    <w:pStyle w:val="49"/>
                    <w:bidi w:val="0"/>
                    <w:jc w:val="center"/>
                    <w:rPr>
                      <w:rFonts w:hint="default"/>
                      <w:color w:val="auto"/>
                      <w:highlight w:val="none"/>
                      <w:lang w:val="en-US" w:eastAsia="zh-CN"/>
                    </w:rPr>
                  </w:pPr>
                  <w:r>
                    <w:rPr>
                      <w:rFonts w:hint="eastAsia"/>
                      <w:color w:val="auto"/>
                      <w:highlight w:val="none"/>
                      <w:lang w:val="en-US" w:eastAsia="zh-CN"/>
                    </w:rPr>
                    <w:t>木焦油</w:t>
                  </w:r>
                </w:p>
              </w:tc>
              <w:tc>
                <w:tcPr>
                  <w:tcW w:w="1305" w:type="dxa"/>
                  <w:vAlign w:val="center"/>
                </w:tcPr>
                <w:p w14:paraId="4B528E20">
                  <w:pPr>
                    <w:pStyle w:val="49"/>
                    <w:bidi w:val="0"/>
                    <w:jc w:val="center"/>
                    <w:rPr>
                      <w:rFonts w:hint="default"/>
                      <w:color w:val="auto"/>
                      <w:highlight w:val="none"/>
                      <w:lang w:val="en-US" w:eastAsia="zh-CN"/>
                    </w:rPr>
                  </w:pPr>
                  <w:r>
                    <w:rPr>
                      <w:rFonts w:hint="eastAsia"/>
                      <w:color w:val="auto"/>
                      <w:highlight w:val="none"/>
                      <w:lang w:val="en-US" w:eastAsia="zh-CN"/>
                    </w:rPr>
                    <w:t>/</w:t>
                  </w:r>
                </w:p>
              </w:tc>
              <w:tc>
                <w:tcPr>
                  <w:tcW w:w="1534" w:type="dxa"/>
                  <w:vAlign w:val="center"/>
                </w:tcPr>
                <w:p w14:paraId="2FFC786A">
                  <w:pPr>
                    <w:pStyle w:val="49"/>
                    <w:bidi w:val="0"/>
                    <w:jc w:val="center"/>
                    <w:rPr>
                      <w:rFonts w:hint="default"/>
                      <w:color w:val="auto"/>
                      <w:highlight w:val="none"/>
                      <w:lang w:val="en-US" w:eastAsia="zh-CN"/>
                    </w:rPr>
                  </w:pPr>
                  <w:r>
                    <w:rPr>
                      <w:rFonts w:hint="eastAsia"/>
                      <w:color w:val="auto"/>
                      <w:highlight w:val="none"/>
                      <w:lang w:val="en-US" w:eastAsia="zh-CN"/>
                    </w:rPr>
                    <w:t>322.88t/a</w:t>
                  </w:r>
                </w:p>
              </w:tc>
              <w:tc>
                <w:tcPr>
                  <w:tcW w:w="1987" w:type="dxa"/>
                  <w:vMerge w:val="continue"/>
                  <w:vAlign w:val="center"/>
                </w:tcPr>
                <w:p w14:paraId="5F76E7B3">
                  <w:pPr>
                    <w:pStyle w:val="49"/>
                    <w:bidi w:val="0"/>
                    <w:jc w:val="center"/>
                    <w:rPr>
                      <w:rFonts w:hint="default"/>
                      <w:color w:val="auto"/>
                      <w:highlight w:val="none"/>
                      <w:lang w:val="en-US" w:eastAsia="zh-CN"/>
                    </w:rPr>
                  </w:pPr>
                </w:p>
              </w:tc>
            </w:tr>
            <w:tr w14:paraId="679B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jc w:val="center"/>
              </w:trPr>
              <w:tc>
                <w:tcPr>
                  <w:tcW w:w="1304" w:type="dxa"/>
                  <w:vMerge w:val="continue"/>
                  <w:vAlign w:val="center"/>
                </w:tcPr>
                <w:p w14:paraId="028C8F59">
                  <w:pPr>
                    <w:pStyle w:val="49"/>
                    <w:bidi w:val="0"/>
                    <w:jc w:val="center"/>
                    <w:rPr>
                      <w:rFonts w:hint="default"/>
                      <w:color w:val="auto"/>
                      <w:highlight w:val="none"/>
                      <w:lang w:val="en-US" w:eastAsia="zh-CN"/>
                    </w:rPr>
                  </w:pPr>
                </w:p>
              </w:tc>
              <w:tc>
                <w:tcPr>
                  <w:tcW w:w="1815" w:type="dxa"/>
                  <w:vAlign w:val="center"/>
                </w:tcPr>
                <w:p w14:paraId="4B9748B3">
                  <w:pPr>
                    <w:pStyle w:val="49"/>
                    <w:bidi w:val="0"/>
                    <w:jc w:val="center"/>
                    <w:rPr>
                      <w:rFonts w:hint="default"/>
                      <w:color w:val="auto"/>
                      <w:highlight w:val="none"/>
                      <w:lang w:val="en-US" w:eastAsia="zh-CN"/>
                    </w:rPr>
                  </w:pPr>
                  <w:r>
                    <w:rPr>
                      <w:rFonts w:hint="eastAsia"/>
                      <w:color w:val="auto"/>
                      <w:highlight w:val="none"/>
                      <w:lang w:val="en-US" w:eastAsia="zh-CN"/>
                    </w:rPr>
                    <w:t>木醋液</w:t>
                  </w:r>
                </w:p>
              </w:tc>
              <w:tc>
                <w:tcPr>
                  <w:tcW w:w="1305" w:type="dxa"/>
                  <w:vAlign w:val="center"/>
                </w:tcPr>
                <w:p w14:paraId="1145D0F6">
                  <w:pPr>
                    <w:pStyle w:val="49"/>
                    <w:bidi w:val="0"/>
                    <w:jc w:val="center"/>
                    <w:rPr>
                      <w:rFonts w:hint="default"/>
                      <w:color w:val="auto"/>
                      <w:highlight w:val="none"/>
                      <w:lang w:val="en-US" w:eastAsia="zh-CN"/>
                    </w:rPr>
                  </w:pPr>
                  <w:r>
                    <w:rPr>
                      <w:rFonts w:hint="eastAsia"/>
                      <w:color w:val="auto"/>
                      <w:highlight w:val="none"/>
                      <w:lang w:val="en-US" w:eastAsia="zh-CN"/>
                    </w:rPr>
                    <w:t>/</w:t>
                  </w:r>
                </w:p>
              </w:tc>
              <w:tc>
                <w:tcPr>
                  <w:tcW w:w="1534" w:type="dxa"/>
                  <w:vAlign w:val="center"/>
                </w:tcPr>
                <w:p w14:paraId="53EE26E3">
                  <w:pPr>
                    <w:pStyle w:val="49"/>
                    <w:bidi w:val="0"/>
                    <w:jc w:val="center"/>
                    <w:rPr>
                      <w:rFonts w:hint="default"/>
                      <w:color w:val="auto"/>
                      <w:highlight w:val="none"/>
                      <w:lang w:val="en-US" w:eastAsia="zh-CN"/>
                    </w:rPr>
                  </w:pPr>
                  <w:r>
                    <w:rPr>
                      <w:rFonts w:hint="eastAsia"/>
                      <w:color w:val="auto"/>
                      <w:highlight w:val="none"/>
                      <w:lang w:val="en-US" w:eastAsia="zh-CN"/>
                    </w:rPr>
                    <w:t>6140.485t/a</w:t>
                  </w:r>
                </w:p>
              </w:tc>
              <w:tc>
                <w:tcPr>
                  <w:tcW w:w="1987" w:type="dxa"/>
                  <w:vMerge w:val="continue"/>
                  <w:vAlign w:val="center"/>
                </w:tcPr>
                <w:p w14:paraId="70AAFAB9">
                  <w:pPr>
                    <w:pStyle w:val="49"/>
                    <w:bidi w:val="0"/>
                    <w:jc w:val="center"/>
                    <w:rPr>
                      <w:rFonts w:hint="default"/>
                      <w:color w:val="auto"/>
                      <w:highlight w:val="none"/>
                      <w:lang w:val="en-US" w:eastAsia="zh-CN"/>
                    </w:rPr>
                  </w:pPr>
                </w:p>
              </w:tc>
            </w:tr>
          </w:tbl>
          <w:p w14:paraId="3B1035C9">
            <w:pPr>
              <w:pStyle w:val="11"/>
              <w:bidi w:val="0"/>
              <w:rPr>
                <w:rFonts w:hint="eastAsia"/>
                <w:color w:val="auto"/>
                <w:highlight w:val="none"/>
                <w:lang w:val="en-US" w:eastAsia="zh-CN"/>
              </w:rPr>
            </w:pPr>
            <w:r>
              <w:rPr>
                <w:rFonts w:hint="eastAsia"/>
                <w:color w:val="auto"/>
                <w:highlight w:val="none"/>
                <w:lang w:val="en-US" w:eastAsia="zh-CN"/>
              </w:rPr>
              <w:t>木焦油和木醋液经静置分离后，分别储存于各自的储罐中，不在厂内进行分装，直接由罐车外运销售。</w:t>
            </w:r>
          </w:p>
          <w:p w14:paraId="6F91FD9C">
            <w:pPr>
              <w:pStyle w:val="11"/>
              <w:numPr>
                <w:ilvl w:val="0"/>
                <w:numId w:val="3"/>
              </w:numPr>
              <w:bidi w:val="0"/>
              <w:rPr>
                <w:rFonts w:hint="eastAsia"/>
                <w:color w:val="auto"/>
                <w:highlight w:val="none"/>
                <w:lang w:val="en-US" w:eastAsia="zh-CN"/>
              </w:rPr>
            </w:pPr>
            <w:r>
              <w:rPr>
                <w:rFonts w:hint="eastAsia"/>
                <w:color w:val="auto"/>
                <w:highlight w:val="none"/>
                <w:lang w:val="en-US" w:eastAsia="zh-CN"/>
              </w:rPr>
              <w:t>净化秸秆气技术指标</w:t>
            </w:r>
          </w:p>
          <w:p w14:paraId="34B6A144">
            <w:pPr>
              <w:pStyle w:val="11"/>
              <w:bidi w:val="0"/>
              <w:rPr>
                <w:rStyle w:val="38"/>
                <w:rFonts w:hint="eastAsia"/>
                <w:color w:val="auto"/>
                <w:highlight w:val="none"/>
                <w:lang w:val="en-US" w:eastAsia="zh-CN"/>
              </w:rPr>
            </w:pPr>
            <w:r>
              <w:rPr>
                <w:rFonts w:hint="eastAsia"/>
                <w:color w:val="auto"/>
                <w:highlight w:val="none"/>
                <w:lang w:val="en-US" w:eastAsia="zh-CN"/>
              </w:rPr>
              <w:t>根据</w:t>
            </w:r>
            <w:r>
              <w:rPr>
                <w:rFonts w:hint="default"/>
                <w:color w:val="auto"/>
                <w:highlight w:val="none"/>
                <w:lang w:val="en-US" w:eastAsia="zh-CN"/>
              </w:rPr>
              <w:t>《生物质热解燃气质量评价》</w:t>
            </w:r>
            <w:r>
              <w:rPr>
                <w:rStyle w:val="38"/>
                <w:rFonts w:hint="eastAsia"/>
                <w:color w:val="auto"/>
                <w:highlight w:val="none"/>
                <w:lang w:val="en-US" w:eastAsia="zh-CN"/>
              </w:rPr>
              <w:t>（</w:t>
            </w:r>
            <w:r>
              <w:rPr>
                <w:rStyle w:val="38"/>
                <w:color w:val="auto"/>
                <w:highlight w:val="none"/>
              </w:rPr>
              <w:t>NY/T 3898-2021</w:t>
            </w:r>
            <w:r>
              <w:rPr>
                <w:rStyle w:val="38"/>
                <w:rFonts w:hint="eastAsia"/>
                <w:color w:val="auto"/>
                <w:highlight w:val="none"/>
                <w:lang w:val="en-US" w:eastAsia="zh-CN"/>
              </w:rPr>
              <w:t>）的标准要求，农林剩余物热解直接产出的燃气技术指标应符合下表标准。</w:t>
            </w:r>
          </w:p>
          <w:p w14:paraId="248BF548">
            <w:pPr>
              <w:pStyle w:val="32"/>
              <w:bidi w:val="0"/>
              <w:rPr>
                <w:rFonts w:hint="eastAsia"/>
                <w:color w:val="auto"/>
                <w:highlight w:val="none"/>
                <w:lang w:val="en-US" w:eastAsia="zh-CN"/>
              </w:rPr>
            </w:pPr>
            <w:r>
              <w:rPr>
                <w:rFonts w:hint="eastAsia"/>
                <w:color w:val="auto"/>
                <w:highlight w:val="none"/>
                <w:lang w:val="en-US" w:eastAsia="zh-CN"/>
              </w:rPr>
              <w:t>表2-3   生物质热解燃气技术指标</w:t>
            </w:r>
          </w:p>
          <w:tbl>
            <w:tblPr>
              <w:tblStyle w:val="27"/>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3"/>
              <w:gridCol w:w="2545"/>
              <w:gridCol w:w="1589"/>
              <w:gridCol w:w="1589"/>
              <w:gridCol w:w="1589"/>
            </w:tblGrid>
            <w:tr w14:paraId="73BFC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vMerge w:val="restart"/>
                </w:tcPr>
                <w:p w14:paraId="08681B60">
                  <w:pPr>
                    <w:pStyle w:val="49"/>
                    <w:bidi w:val="0"/>
                    <w:rPr>
                      <w:rFonts w:hint="default"/>
                      <w:b/>
                      <w:bCs/>
                      <w:color w:val="auto"/>
                      <w:highlight w:val="none"/>
                      <w:lang w:val="en-US" w:eastAsia="zh-CN"/>
                    </w:rPr>
                  </w:pPr>
                  <w:r>
                    <w:rPr>
                      <w:rFonts w:hint="eastAsia"/>
                      <w:b/>
                      <w:bCs/>
                      <w:color w:val="auto"/>
                      <w:highlight w:val="none"/>
                      <w:lang w:val="en-US" w:eastAsia="zh-CN"/>
                    </w:rPr>
                    <w:t>序号</w:t>
                  </w:r>
                </w:p>
              </w:tc>
              <w:tc>
                <w:tcPr>
                  <w:tcW w:w="2545" w:type="dxa"/>
                  <w:vMerge w:val="restart"/>
                </w:tcPr>
                <w:p w14:paraId="76E8B1D6">
                  <w:pPr>
                    <w:pStyle w:val="49"/>
                    <w:bidi w:val="0"/>
                    <w:rPr>
                      <w:rFonts w:hint="default"/>
                      <w:b/>
                      <w:bCs/>
                      <w:color w:val="auto"/>
                      <w:highlight w:val="none"/>
                      <w:lang w:val="en-US" w:eastAsia="zh-CN"/>
                    </w:rPr>
                  </w:pPr>
                  <w:r>
                    <w:rPr>
                      <w:rFonts w:hint="eastAsia"/>
                      <w:b/>
                      <w:bCs/>
                      <w:color w:val="auto"/>
                      <w:highlight w:val="none"/>
                      <w:lang w:val="en-US" w:eastAsia="zh-CN"/>
                    </w:rPr>
                    <w:t>项目</w:t>
                  </w:r>
                </w:p>
              </w:tc>
              <w:tc>
                <w:tcPr>
                  <w:tcW w:w="4767" w:type="dxa"/>
                  <w:gridSpan w:val="3"/>
                </w:tcPr>
                <w:p w14:paraId="1066AE98">
                  <w:pPr>
                    <w:pStyle w:val="49"/>
                    <w:bidi w:val="0"/>
                    <w:rPr>
                      <w:rFonts w:hint="eastAsia"/>
                      <w:b/>
                      <w:bCs/>
                      <w:color w:val="auto"/>
                      <w:highlight w:val="none"/>
                      <w:lang w:val="en-US" w:eastAsia="zh-CN"/>
                    </w:rPr>
                  </w:pPr>
                  <w:r>
                    <w:rPr>
                      <w:rFonts w:hint="eastAsia"/>
                      <w:b/>
                      <w:bCs/>
                      <w:color w:val="auto"/>
                      <w:highlight w:val="none"/>
                      <w:lang w:val="en-US" w:eastAsia="zh-CN"/>
                    </w:rPr>
                    <w:t>技术指标</w:t>
                  </w:r>
                </w:p>
              </w:tc>
            </w:tr>
            <w:tr w14:paraId="3B2B4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vMerge w:val="continue"/>
                </w:tcPr>
                <w:p w14:paraId="189F4531">
                  <w:pPr>
                    <w:pStyle w:val="49"/>
                    <w:bidi w:val="0"/>
                    <w:rPr>
                      <w:rFonts w:hint="eastAsia"/>
                      <w:b/>
                      <w:bCs/>
                      <w:color w:val="auto"/>
                      <w:highlight w:val="none"/>
                      <w:lang w:val="en-US" w:eastAsia="zh-CN"/>
                    </w:rPr>
                  </w:pPr>
                </w:p>
              </w:tc>
              <w:tc>
                <w:tcPr>
                  <w:tcW w:w="2545" w:type="dxa"/>
                  <w:vMerge w:val="continue"/>
                </w:tcPr>
                <w:p w14:paraId="3F2286A6">
                  <w:pPr>
                    <w:pStyle w:val="49"/>
                    <w:bidi w:val="0"/>
                    <w:rPr>
                      <w:rFonts w:hint="eastAsia"/>
                      <w:b/>
                      <w:bCs/>
                      <w:color w:val="auto"/>
                      <w:highlight w:val="none"/>
                      <w:lang w:val="en-US" w:eastAsia="zh-CN"/>
                    </w:rPr>
                  </w:pPr>
                </w:p>
              </w:tc>
              <w:tc>
                <w:tcPr>
                  <w:tcW w:w="1589" w:type="dxa"/>
                </w:tcPr>
                <w:p w14:paraId="6815CB9A">
                  <w:pPr>
                    <w:pStyle w:val="49"/>
                    <w:bidi w:val="0"/>
                    <w:rPr>
                      <w:rFonts w:hint="default"/>
                      <w:b/>
                      <w:bCs/>
                      <w:color w:val="auto"/>
                      <w:highlight w:val="none"/>
                      <w:lang w:val="en-US" w:eastAsia="zh-CN"/>
                    </w:rPr>
                  </w:pPr>
                  <w:r>
                    <w:rPr>
                      <w:rFonts w:hint="eastAsia"/>
                      <w:b/>
                      <w:bCs/>
                      <w:color w:val="auto"/>
                      <w:highlight w:val="none"/>
                      <w:lang w:val="en-US" w:eastAsia="zh-CN"/>
                    </w:rPr>
                    <w:t>一类</w:t>
                  </w:r>
                </w:p>
              </w:tc>
              <w:tc>
                <w:tcPr>
                  <w:tcW w:w="1589" w:type="dxa"/>
                </w:tcPr>
                <w:p w14:paraId="236AD9A2">
                  <w:pPr>
                    <w:pStyle w:val="49"/>
                    <w:bidi w:val="0"/>
                    <w:rPr>
                      <w:rFonts w:hint="default"/>
                      <w:b/>
                      <w:bCs/>
                      <w:color w:val="auto"/>
                      <w:highlight w:val="none"/>
                      <w:lang w:val="en-US" w:eastAsia="zh-CN"/>
                    </w:rPr>
                  </w:pPr>
                  <w:r>
                    <w:rPr>
                      <w:rFonts w:hint="eastAsia"/>
                      <w:b/>
                      <w:bCs/>
                      <w:color w:val="auto"/>
                      <w:highlight w:val="none"/>
                      <w:lang w:val="en-US" w:eastAsia="zh-CN"/>
                    </w:rPr>
                    <w:t>二类</w:t>
                  </w:r>
                </w:p>
              </w:tc>
              <w:tc>
                <w:tcPr>
                  <w:tcW w:w="1589" w:type="dxa"/>
                </w:tcPr>
                <w:p w14:paraId="0FC83805">
                  <w:pPr>
                    <w:pStyle w:val="49"/>
                    <w:bidi w:val="0"/>
                    <w:rPr>
                      <w:rFonts w:hint="default"/>
                      <w:b/>
                      <w:bCs/>
                      <w:color w:val="auto"/>
                      <w:highlight w:val="none"/>
                      <w:lang w:val="en-US" w:eastAsia="zh-CN"/>
                    </w:rPr>
                  </w:pPr>
                  <w:r>
                    <w:rPr>
                      <w:rFonts w:hint="eastAsia"/>
                      <w:b/>
                      <w:bCs/>
                      <w:color w:val="auto"/>
                      <w:highlight w:val="none"/>
                      <w:lang w:val="en-US" w:eastAsia="zh-CN"/>
                    </w:rPr>
                    <w:t>三类</w:t>
                  </w:r>
                </w:p>
              </w:tc>
            </w:tr>
            <w:tr w14:paraId="51F8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520B464E">
                  <w:pPr>
                    <w:pStyle w:val="49"/>
                    <w:bidi w:val="0"/>
                    <w:rPr>
                      <w:rFonts w:hint="default"/>
                      <w:color w:val="auto"/>
                      <w:highlight w:val="none"/>
                      <w:lang w:val="en-US" w:eastAsia="zh-CN"/>
                    </w:rPr>
                  </w:pPr>
                  <w:r>
                    <w:rPr>
                      <w:rFonts w:hint="eastAsia"/>
                      <w:color w:val="auto"/>
                      <w:highlight w:val="none"/>
                      <w:lang w:val="en-US" w:eastAsia="zh-CN"/>
                    </w:rPr>
                    <w:t>1</w:t>
                  </w:r>
                </w:p>
              </w:tc>
              <w:tc>
                <w:tcPr>
                  <w:tcW w:w="2545" w:type="dxa"/>
                  <w:shd w:val="clear" w:color="auto" w:fill="auto"/>
                  <w:vAlign w:val="top"/>
                </w:tcPr>
                <w:p w14:paraId="7F5200F1">
                  <w:pPr>
                    <w:pStyle w:val="49"/>
                    <w:bidi w:val="0"/>
                    <w:rPr>
                      <w:rFonts w:hint="eastAsia"/>
                      <w:color w:val="auto"/>
                      <w:highlight w:val="none"/>
                      <w:lang w:val="en-US" w:eastAsia="zh-CN"/>
                    </w:rPr>
                  </w:pPr>
                  <w:r>
                    <w:rPr>
                      <w:color w:val="auto"/>
                      <w:highlight w:val="none"/>
                    </w:rPr>
                    <w:t>低位发热量（MJ/m³）</w:t>
                  </w:r>
                </w:p>
              </w:tc>
              <w:tc>
                <w:tcPr>
                  <w:tcW w:w="1589" w:type="dxa"/>
                </w:tcPr>
                <w:p w14:paraId="499C6E7F">
                  <w:pPr>
                    <w:pStyle w:val="49"/>
                    <w:bidi w:val="0"/>
                    <w:rPr>
                      <w:rFonts w:hint="default"/>
                      <w:color w:val="auto"/>
                      <w:highlight w:val="none"/>
                      <w:lang w:val="en-US" w:eastAsia="zh-CN"/>
                    </w:rPr>
                  </w:pPr>
                  <w:r>
                    <w:rPr>
                      <w:rFonts w:hint="eastAsia"/>
                      <w:color w:val="auto"/>
                      <w:highlight w:val="none"/>
                      <w:lang w:val="en-US" w:eastAsia="zh-CN"/>
                    </w:rPr>
                    <w:t>＞14</w:t>
                  </w:r>
                </w:p>
              </w:tc>
              <w:tc>
                <w:tcPr>
                  <w:tcW w:w="1589" w:type="dxa"/>
                </w:tcPr>
                <w:p w14:paraId="5E2C1F93">
                  <w:pPr>
                    <w:pStyle w:val="49"/>
                    <w:bidi w:val="0"/>
                    <w:rPr>
                      <w:rFonts w:hint="default"/>
                      <w:color w:val="auto"/>
                      <w:highlight w:val="none"/>
                      <w:lang w:val="en-US" w:eastAsia="zh-CN"/>
                    </w:rPr>
                  </w:pPr>
                  <w:r>
                    <w:rPr>
                      <w:rFonts w:hint="eastAsia"/>
                      <w:color w:val="auto"/>
                      <w:highlight w:val="none"/>
                      <w:lang w:val="en-US" w:eastAsia="zh-CN"/>
                    </w:rPr>
                    <w:t>＞10</w:t>
                  </w:r>
                </w:p>
              </w:tc>
              <w:tc>
                <w:tcPr>
                  <w:tcW w:w="1589" w:type="dxa"/>
                </w:tcPr>
                <w:p w14:paraId="2E168349">
                  <w:pPr>
                    <w:pStyle w:val="49"/>
                    <w:bidi w:val="0"/>
                    <w:rPr>
                      <w:rFonts w:hint="default"/>
                      <w:color w:val="auto"/>
                      <w:highlight w:val="none"/>
                      <w:lang w:val="en-US" w:eastAsia="zh-CN"/>
                    </w:rPr>
                  </w:pPr>
                  <w:r>
                    <w:rPr>
                      <w:rFonts w:hint="eastAsia"/>
                      <w:color w:val="auto"/>
                      <w:highlight w:val="none"/>
                      <w:lang w:val="en-US" w:eastAsia="zh-CN"/>
                    </w:rPr>
                    <w:t>＞4.6</w:t>
                  </w:r>
                </w:p>
              </w:tc>
            </w:tr>
            <w:tr w14:paraId="04EC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74CF54B0">
                  <w:pPr>
                    <w:pStyle w:val="49"/>
                    <w:bidi w:val="0"/>
                    <w:rPr>
                      <w:rFonts w:hint="default"/>
                      <w:color w:val="auto"/>
                      <w:highlight w:val="none"/>
                      <w:lang w:val="en-US" w:eastAsia="zh-CN"/>
                    </w:rPr>
                  </w:pPr>
                  <w:r>
                    <w:rPr>
                      <w:rFonts w:hint="eastAsia"/>
                      <w:color w:val="auto"/>
                      <w:highlight w:val="none"/>
                      <w:lang w:val="en-US" w:eastAsia="zh-CN"/>
                    </w:rPr>
                    <w:t>2</w:t>
                  </w:r>
                </w:p>
              </w:tc>
              <w:tc>
                <w:tcPr>
                  <w:tcW w:w="2545" w:type="dxa"/>
                </w:tcPr>
                <w:p w14:paraId="4E05BEA2">
                  <w:pPr>
                    <w:pStyle w:val="49"/>
                    <w:bidi w:val="0"/>
                    <w:rPr>
                      <w:rFonts w:hint="eastAsia"/>
                      <w:color w:val="auto"/>
                      <w:highlight w:val="none"/>
                      <w:lang w:val="en-US" w:eastAsia="zh-CN"/>
                    </w:rPr>
                  </w:pPr>
                  <w:r>
                    <w:rPr>
                      <w:rFonts w:hint="eastAsia"/>
                      <w:color w:val="auto"/>
                      <w:highlight w:val="none"/>
                      <w:lang w:val="en-US" w:eastAsia="zh-CN"/>
                    </w:rPr>
                    <w:t>焦油和灰尘含量（mg/m³）</w:t>
                  </w:r>
                </w:p>
              </w:tc>
              <w:tc>
                <w:tcPr>
                  <w:tcW w:w="1589" w:type="dxa"/>
                </w:tcPr>
                <w:p w14:paraId="78D0611A">
                  <w:pPr>
                    <w:pStyle w:val="49"/>
                    <w:bidi w:val="0"/>
                    <w:rPr>
                      <w:rFonts w:hint="default"/>
                      <w:color w:val="auto"/>
                      <w:highlight w:val="none"/>
                      <w:lang w:val="en-US" w:eastAsia="zh-CN"/>
                    </w:rPr>
                  </w:pPr>
                  <w:r>
                    <w:rPr>
                      <w:rFonts w:hint="eastAsia"/>
                      <w:color w:val="auto"/>
                      <w:highlight w:val="none"/>
                      <w:lang w:val="en-US" w:eastAsia="zh-CN"/>
                    </w:rPr>
                    <w:t>＜10</w:t>
                  </w:r>
                </w:p>
              </w:tc>
              <w:tc>
                <w:tcPr>
                  <w:tcW w:w="1589" w:type="dxa"/>
                </w:tcPr>
                <w:p w14:paraId="1796E3DD">
                  <w:pPr>
                    <w:pStyle w:val="49"/>
                    <w:bidi w:val="0"/>
                    <w:rPr>
                      <w:rFonts w:hint="eastAsia"/>
                      <w:color w:val="auto"/>
                      <w:highlight w:val="none"/>
                      <w:lang w:val="en-US" w:eastAsia="zh-CN"/>
                    </w:rPr>
                  </w:pPr>
                  <w:r>
                    <w:rPr>
                      <w:rFonts w:hint="eastAsia"/>
                      <w:color w:val="auto"/>
                      <w:highlight w:val="none"/>
                      <w:lang w:val="en-US" w:eastAsia="zh-CN"/>
                    </w:rPr>
                    <w:t>＜10</w:t>
                  </w:r>
                </w:p>
              </w:tc>
              <w:tc>
                <w:tcPr>
                  <w:tcW w:w="1589" w:type="dxa"/>
                </w:tcPr>
                <w:p w14:paraId="69B21F92">
                  <w:pPr>
                    <w:pStyle w:val="49"/>
                    <w:bidi w:val="0"/>
                    <w:rPr>
                      <w:rFonts w:hint="default"/>
                      <w:color w:val="auto"/>
                      <w:highlight w:val="none"/>
                      <w:lang w:val="en-US" w:eastAsia="zh-CN"/>
                    </w:rPr>
                  </w:pPr>
                  <w:r>
                    <w:rPr>
                      <w:rFonts w:hint="eastAsia"/>
                      <w:color w:val="auto"/>
                      <w:highlight w:val="none"/>
                      <w:lang w:val="en-US" w:eastAsia="zh-CN"/>
                    </w:rPr>
                    <w:t>＜15</w:t>
                  </w:r>
                </w:p>
              </w:tc>
            </w:tr>
            <w:tr w14:paraId="27CC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13C23AF9">
                  <w:pPr>
                    <w:pStyle w:val="49"/>
                    <w:bidi w:val="0"/>
                    <w:rPr>
                      <w:rFonts w:hint="default"/>
                      <w:color w:val="auto"/>
                      <w:highlight w:val="none"/>
                      <w:lang w:val="en-US" w:eastAsia="zh-CN"/>
                    </w:rPr>
                  </w:pPr>
                  <w:r>
                    <w:rPr>
                      <w:rFonts w:hint="eastAsia"/>
                      <w:color w:val="auto"/>
                      <w:highlight w:val="none"/>
                      <w:lang w:val="en-US" w:eastAsia="zh-CN"/>
                    </w:rPr>
                    <w:t>3</w:t>
                  </w:r>
                </w:p>
              </w:tc>
              <w:tc>
                <w:tcPr>
                  <w:tcW w:w="2545" w:type="dxa"/>
                </w:tcPr>
                <w:p w14:paraId="0A147093">
                  <w:pPr>
                    <w:pStyle w:val="49"/>
                    <w:bidi w:val="0"/>
                    <w:rPr>
                      <w:rFonts w:hint="eastAsia"/>
                      <w:color w:val="auto"/>
                      <w:highlight w:val="none"/>
                      <w:lang w:val="en-US" w:eastAsia="zh-CN"/>
                    </w:rPr>
                  </w:pPr>
                  <w:r>
                    <w:rPr>
                      <w:color w:val="auto"/>
                      <w:highlight w:val="none"/>
                    </w:rPr>
                    <w:t>一氧化碳（体积分数%）</w:t>
                  </w:r>
                </w:p>
              </w:tc>
              <w:tc>
                <w:tcPr>
                  <w:tcW w:w="4767" w:type="dxa"/>
                  <w:gridSpan w:val="3"/>
                </w:tcPr>
                <w:p w14:paraId="5A3A9A22">
                  <w:pPr>
                    <w:pStyle w:val="49"/>
                    <w:bidi w:val="0"/>
                    <w:rPr>
                      <w:rFonts w:hint="default"/>
                      <w:color w:val="auto"/>
                      <w:highlight w:val="none"/>
                      <w:lang w:val="en-US" w:eastAsia="zh-CN"/>
                    </w:rPr>
                  </w:pPr>
                  <w:r>
                    <w:rPr>
                      <w:rFonts w:hint="eastAsia"/>
                      <w:color w:val="auto"/>
                      <w:highlight w:val="none"/>
                      <w:lang w:val="en-US" w:eastAsia="zh-CN"/>
                    </w:rPr>
                    <w:t>&lt;20</w:t>
                  </w:r>
                </w:p>
              </w:tc>
            </w:tr>
            <w:tr w14:paraId="3908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201E5869">
                  <w:pPr>
                    <w:pStyle w:val="49"/>
                    <w:bidi w:val="0"/>
                    <w:rPr>
                      <w:rFonts w:hint="default"/>
                      <w:color w:val="auto"/>
                      <w:highlight w:val="none"/>
                      <w:lang w:val="en-US" w:eastAsia="zh-CN"/>
                    </w:rPr>
                  </w:pPr>
                  <w:r>
                    <w:rPr>
                      <w:rFonts w:hint="eastAsia"/>
                      <w:color w:val="auto"/>
                      <w:highlight w:val="none"/>
                      <w:lang w:val="en-US" w:eastAsia="zh-CN"/>
                    </w:rPr>
                    <w:t>4</w:t>
                  </w:r>
                </w:p>
              </w:tc>
              <w:tc>
                <w:tcPr>
                  <w:tcW w:w="2545" w:type="dxa"/>
                </w:tcPr>
                <w:p w14:paraId="2803F13B">
                  <w:pPr>
                    <w:pStyle w:val="49"/>
                    <w:bidi w:val="0"/>
                    <w:rPr>
                      <w:rFonts w:hint="eastAsia"/>
                      <w:color w:val="auto"/>
                      <w:highlight w:val="none"/>
                      <w:lang w:val="en-US" w:eastAsia="zh-CN"/>
                    </w:rPr>
                  </w:pPr>
                  <w:r>
                    <w:rPr>
                      <w:color w:val="auto"/>
                      <w:highlight w:val="none"/>
                    </w:rPr>
                    <w:t>硫化氢（mg/m³）</w:t>
                  </w:r>
                </w:p>
              </w:tc>
              <w:tc>
                <w:tcPr>
                  <w:tcW w:w="4767" w:type="dxa"/>
                  <w:gridSpan w:val="3"/>
                </w:tcPr>
                <w:p w14:paraId="72C20C22">
                  <w:pPr>
                    <w:pStyle w:val="49"/>
                    <w:bidi w:val="0"/>
                    <w:rPr>
                      <w:rFonts w:hint="eastAsia"/>
                      <w:color w:val="auto"/>
                      <w:highlight w:val="none"/>
                      <w:lang w:val="en-US" w:eastAsia="zh-CN"/>
                    </w:rPr>
                  </w:pPr>
                  <w:r>
                    <w:rPr>
                      <w:rFonts w:hint="eastAsia"/>
                      <w:color w:val="auto"/>
                      <w:highlight w:val="none"/>
                      <w:lang w:val="en-US" w:eastAsia="zh-CN"/>
                    </w:rPr>
                    <w:t>＜20</w:t>
                  </w:r>
                </w:p>
              </w:tc>
            </w:tr>
            <w:tr w14:paraId="19E42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63236ADB">
                  <w:pPr>
                    <w:pStyle w:val="49"/>
                    <w:bidi w:val="0"/>
                    <w:rPr>
                      <w:rFonts w:hint="default"/>
                      <w:color w:val="auto"/>
                      <w:highlight w:val="none"/>
                      <w:lang w:val="en-US" w:eastAsia="zh-CN"/>
                    </w:rPr>
                  </w:pPr>
                  <w:r>
                    <w:rPr>
                      <w:rFonts w:hint="eastAsia"/>
                      <w:color w:val="auto"/>
                      <w:highlight w:val="none"/>
                      <w:lang w:val="en-US" w:eastAsia="zh-CN"/>
                    </w:rPr>
                    <w:t>5</w:t>
                  </w:r>
                </w:p>
              </w:tc>
              <w:tc>
                <w:tcPr>
                  <w:tcW w:w="2545" w:type="dxa"/>
                </w:tcPr>
                <w:p w14:paraId="2212FFF4">
                  <w:pPr>
                    <w:pStyle w:val="49"/>
                    <w:bidi w:val="0"/>
                    <w:rPr>
                      <w:rFonts w:hint="eastAsia"/>
                      <w:color w:val="auto"/>
                      <w:highlight w:val="none"/>
                      <w:lang w:val="en-US" w:eastAsia="zh-CN"/>
                    </w:rPr>
                  </w:pPr>
                  <w:r>
                    <w:rPr>
                      <w:color w:val="auto"/>
                      <w:highlight w:val="none"/>
                    </w:rPr>
                    <w:t>氧含量（体积分数%）</w:t>
                  </w:r>
                </w:p>
              </w:tc>
              <w:tc>
                <w:tcPr>
                  <w:tcW w:w="4767" w:type="dxa"/>
                  <w:gridSpan w:val="3"/>
                </w:tcPr>
                <w:p w14:paraId="100C2C25">
                  <w:pPr>
                    <w:pStyle w:val="49"/>
                    <w:bidi w:val="0"/>
                    <w:rPr>
                      <w:rFonts w:hint="default"/>
                      <w:color w:val="auto"/>
                      <w:highlight w:val="none"/>
                      <w:lang w:val="en-US" w:eastAsia="zh-CN"/>
                    </w:rPr>
                  </w:pPr>
                  <w:r>
                    <w:rPr>
                      <w:rFonts w:hint="eastAsia"/>
                      <w:color w:val="auto"/>
                      <w:highlight w:val="none"/>
                      <w:lang w:val="en-US" w:eastAsia="zh-CN"/>
                    </w:rPr>
                    <w:t>&lt;1</w:t>
                  </w:r>
                </w:p>
              </w:tc>
            </w:tr>
            <w:tr w14:paraId="74460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dxa"/>
                </w:tcPr>
                <w:p w14:paraId="27023348">
                  <w:pPr>
                    <w:pStyle w:val="49"/>
                    <w:bidi w:val="0"/>
                    <w:rPr>
                      <w:rFonts w:hint="default"/>
                      <w:color w:val="auto"/>
                      <w:highlight w:val="none"/>
                      <w:lang w:val="en-US" w:eastAsia="zh-CN"/>
                    </w:rPr>
                  </w:pPr>
                  <w:r>
                    <w:rPr>
                      <w:rFonts w:hint="eastAsia"/>
                      <w:color w:val="auto"/>
                      <w:highlight w:val="none"/>
                      <w:lang w:val="en-US" w:eastAsia="zh-CN"/>
                    </w:rPr>
                    <w:t>6</w:t>
                  </w:r>
                </w:p>
              </w:tc>
              <w:tc>
                <w:tcPr>
                  <w:tcW w:w="2545" w:type="dxa"/>
                </w:tcPr>
                <w:p w14:paraId="3D67E8C9">
                  <w:pPr>
                    <w:pStyle w:val="49"/>
                    <w:bidi w:val="0"/>
                    <w:rPr>
                      <w:rFonts w:hint="eastAsia"/>
                      <w:color w:val="auto"/>
                      <w:highlight w:val="none"/>
                      <w:lang w:val="en-US" w:eastAsia="zh-CN"/>
                    </w:rPr>
                  </w:pPr>
                  <w:r>
                    <w:rPr>
                      <w:color w:val="auto"/>
                      <w:highlight w:val="none"/>
                    </w:rPr>
                    <w:t>氨</w:t>
                  </w:r>
                  <w:r>
                    <w:rPr>
                      <w:rFonts w:hint="eastAsia"/>
                      <w:color w:val="auto"/>
                      <w:highlight w:val="none"/>
                      <w:lang w:val="en-US" w:eastAsia="zh-CN"/>
                    </w:rPr>
                    <w:t>含量</w:t>
                  </w:r>
                  <w:r>
                    <w:rPr>
                      <w:color w:val="auto"/>
                      <w:highlight w:val="none"/>
                    </w:rPr>
                    <w:t>（mg/m³）</w:t>
                  </w:r>
                </w:p>
              </w:tc>
              <w:tc>
                <w:tcPr>
                  <w:tcW w:w="4767" w:type="dxa"/>
                  <w:gridSpan w:val="3"/>
                </w:tcPr>
                <w:p w14:paraId="5151C887">
                  <w:pPr>
                    <w:pStyle w:val="49"/>
                    <w:bidi w:val="0"/>
                    <w:rPr>
                      <w:rFonts w:hint="default"/>
                      <w:color w:val="auto"/>
                      <w:highlight w:val="none"/>
                      <w:lang w:val="en-US" w:eastAsia="zh-CN"/>
                    </w:rPr>
                  </w:pPr>
                  <w:r>
                    <w:rPr>
                      <w:rFonts w:hint="eastAsia"/>
                      <w:color w:val="auto"/>
                      <w:highlight w:val="none"/>
                      <w:lang w:val="en-US" w:eastAsia="zh-CN"/>
                    </w:rPr>
                    <w:t>＜50</w:t>
                  </w:r>
                </w:p>
              </w:tc>
            </w:tr>
          </w:tbl>
          <w:p w14:paraId="03D82AF8">
            <w:pPr>
              <w:pStyle w:val="11"/>
              <w:numPr>
                <w:ilvl w:val="0"/>
                <w:numId w:val="3"/>
              </w:numPr>
              <w:bidi w:val="0"/>
              <w:rPr>
                <w:rFonts w:hint="eastAsia"/>
                <w:color w:val="auto"/>
                <w:highlight w:val="none"/>
                <w:lang w:val="en-US" w:eastAsia="zh-CN"/>
              </w:rPr>
            </w:pPr>
            <w:r>
              <w:rPr>
                <w:rFonts w:hint="eastAsia"/>
                <w:color w:val="auto"/>
                <w:highlight w:val="none"/>
                <w:lang w:val="en-US" w:eastAsia="zh-CN"/>
              </w:rPr>
              <w:t>木焦油理化性质</w:t>
            </w:r>
          </w:p>
          <w:p w14:paraId="25D6EA49">
            <w:pPr>
              <w:pStyle w:val="11"/>
              <w:bidi w:val="0"/>
              <w:rPr>
                <w:rFonts w:hint="eastAsia"/>
                <w:color w:val="auto"/>
                <w:highlight w:val="none"/>
                <w:lang w:val="en-US" w:eastAsia="zh-CN"/>
              </w:rPr>
            </w:pPr>
            <w:r>
              <w:rPr>
                <w:rFonts w:hint="default"/>
                <w:color w:val="auto"/>
                <w:highlight w:val="none"/>
                <w:lang w:val="en-US" w:eastAsia="zh-CN"/>
              </w:rPr>
              <w:t>别名木馏油、杂酚油，是一种含烃类、酸类、酚类较高的有机化合物，其主要成分为愈创木酚</w:t>
            </w:r>
            <w:r>
              <w:rPr>
                <w:rFonts w:hint="eastAsia"/>
                <w:color w:val="auto"/>
                <w:highlight w:val="none"/>
                <w:lang w:val="en-US" w:eastAsia="zh-CN"/>
              </w:rPr>
              <w:t>（</w:t>
            </w:r>
            <w:r>
              <w:rPr>
                <w:rFonts w:hint="default"/>
                <w:color w:val="auto"/>
                <w:highlight w:val="none"/>
                <w:lang w:val="en-US" w:eastAsia="zh-CN"/>
              </w:rPr>
              <w:t>Guaiacol</w:t>
            </w:r>
            <w:r>
              <w:rPr>
                <w:rFonts w:hint="eastAsia"/>
                <w:color w:val="auto"/>
                <w:highlight w:val="none"/>
                <w:lang w:val="en-US" w:eastAsia="zh-CN"/>
              </w:rPr>
              <w:t>）</w:t>
            </w:r>
            <w:r>
              <w:rPr>
                <w:rFonts w:hint="default"/>
                <w:color w:val="auto"/>
                <w:highlight w:val="none"/>
                <w:lang w:val="en-US" w:eastAsia="zh-CN"/>
              </w:rPr>
              <w:t>、木馏油酚</w:t>
            </w:r>
            <w:r>
              <w:rPr>
                <w:rFonts w:hint="eastAsia"/>
                <w:color w:val="auto"/>
                <w:highlight w:val="none"/>
                <w:lang w:val="en-US" w:eastAsia="zh-CN"/>
              </w:rPr>
              <w:t>（</w:t>
            </w:r>
            <w:r>
              <w:rPr>
                <w:rFonts w:hint="default"/>
                <w:color w:val="auto"/>
                <w:highlight w:val="none"/>
                <w:lang w:val="en-US" w:eastAsia="zh-CN"/>
              </w:rPr>
              <w:t>Crosol</w:t>
            </w:r>
            <w:r>
              <w:rPr>
                <w:rFonts w:hint="eastAsia"/>
                <w:color w:val="auto"/>
                <w:highlight w:val="none"/>
                <w:lang w:val="en-US" w:eastAsia="zh-CN"/>
              </w:rPr>
              <w:t>）</w:t>
            </w:r>
            <w:r>
              <w:rPr>
                <w:rFonts w:hint="default"/>
                <w:color w:val="auto"/>
                <w:highlight w:val="none"/>
                <w:lang w:val="en-US" w:eastAsia="zh-CN"/>
              </w:rPr>
              <w:t>及其他酚类。性状为无色或淡黄色油状液；有穿透性烟臭，味灼烈，有腐蚀性。微溶于水与沸水，能与乙醇、乙醛、氯仿、冰醋酸、脂肪油与挥发油任意混合，易溶于氢氧化钠溶液，难溶于氨溶液。</w:t>
            </w:r>
            <w:r>
              <w:rPr>
                <w:rFonts w:hint="eastAsia"/>
                <w:color w:val="auto"/>
                <w:highlight w:val="none"/>
                <w:lang w:val="en-US" w:eastAsia="zh-CN"/>
              </w:rPr>
              <w:t>其理化性质参照其他企业标准，具体见下表。</w:t>
            </w:r>
          </w:p>
          <w:p w14:paraId="75EC081D">
            <w:pPr>
              <w:pStyle w:val="32"/>
              <w:bidi w:val="0"/>
              <w:rPr>
                <w:rFonts w:hint="eastAsia"/>
                <w:color w:val="auto"/>
                <w:highlight w:val="none"/>
                <w:lang w:val="en-US" w:eastAsia="zh-CN"/>
              </w:rPr>
            </w:pPr>
            <w:r>
              <w:rPr>
                <w:rFonts w:hint="eastAsia"/>
                <w:color w:val="auto"/>
                <w:highlight w:val="none"/>
                <w:lang w:val="en-US" w:eastAsia="zh-CN"/>
              </w:rPr>
              <w:t>表2-4   木焦油理化性质</w:t>
            </w:r>
          </w:p>
          <w:tbl>
            <w:tblPr>
              <w:tblStyle w:val="27"/>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2"/>
              <w:gridCol w:w="3973"/>
            </w:tblGrid>
            <w:tr w14:paraId="2AFE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shd w:val="clear" w:color="auto" w:fill="auto"/>
                  <w:vAlign w:val="top"/>
                </w:tcPr>
                <w:p w14:paraId="6084F7BA">
                  <w:pPr>
                    <w:pStyle w:val="49"/>
                    <w:bidi w:val="0"/>
                    <w:ind w:left="0" w:leftChars="0" w:firstLine="0" w:firstLineChars="0"/>
                    <w:rPr>
                      <w:rFonts w:hint="default" w:ascii="Times New Roman" w:hAnsi="Times New Roman" w:eastAsia="宋体" w:cs="Times New Roman"/>
                      <w:b/>
                      <w:bCs/>
                      <w:color w:val="auto"/>
                      <w:kern w:val="0"/>
                      <w:sz w:val="21"/>
                      <w:szCs w:val="20"/>
                      <w:highlight w:val="none"/>
                      <w:lang w:val="en-US" w:eastAsia="zh-CN" w:bidi="ar-SA"/>
                    </w:rPr>
                  </w:pPr>
                  <w:r>
                    <w:rPr>
                      <w:rFonts w:hint="eastAsia"/>
                      <w:b/>
                      <w:bCs/>
                      <w:color w:val="auto"/>
                      <w:highlight w:val="none"/>
                      <w:lang w:val="en-US" w:eastAsia="zh-CN"/>
                    </w:rPr>
                    <w:t>项目</w:t>
                  </w:r>
                </w:p>
              </w:tc>
              <w:tc>
                <w:tcPr>
                  <w:tcW w:w="3973" w:type="dxa"/>
                  <w:shd w:val="clear" w:color="auto" w:fill="auto"/>
                  <w:vAlign w:val="top"/>
                </w:tcPr>
                <w:p w14:paraId="6260855E">
                  <w:pPr>
                    <w:pStyle w:val="49"/>
                    <w:bidi w:val="0"/>
                    <w:ind w:left="0" w:leftChars="0" w:firstLine="0" w:firstLineChars="0"/>
                    <w:rPr>
                      <w:rFonts w:hint="default" w:ascii="Times New Roman" w:hAnsi="Times New Roman" w:eastAsia="宋体" w:cs="Times New Roman"/>
                      <w:b/>
                      <w:bCs/>
                      <w:color w:val="auto"/>
                      <w:kern w:val="0"/>
                      <w:sz w:val="21"/>
                      <w:szCs w:val="20"/>
                      <w:highlight w:val="none"/>
                      <w:lang w:val="en-US" w:eastAsia="zh-CN" w:bidi="ar-SA"/>
                    </w:rPr>
                  </w:pPr>
                  <w:r>
                    <w:rPr>
                      <w:rFonts w:hint="eastAsia"/>
                      <w:b/>
                      <w:bCs/>
                      <w:color w:val="auto"/>
                      <w:highlight w:val="none"/>
                      <w:lang w:val="en-US" w:eastAsia="zh-CN"/>
                    </w:rPr>
                    <w:t>指标</w:t>
                  </w:r>
                </w:p>
              </w:tc>
            </w:tr>
            <w:tr w14:paraId="551CC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794FFEBD">
                  <w:pPr>
                    <w:pStyle w:val="49"/>
                    <w:bidi w:val="0"/>
                    <w:rPr>
                      <w:rFonts w:hint="default"/>
                      <w:color w:val="auto"/>
                      <w:highlight w:val="none"/>
                      <w:lang w:val="en-US" w:eastAsia="zh-CN"/>
                    </w:rPr>
                  </w:pPr>
                  <w:r>
                    <w:rPr>
                      <w:rFonts w:hint="eastAsia"/>
                      <w:color w:val="auto"/>
                      <w:highlight w:val="none"/>
                      <w:lang w:val="en-US" w:eastAsia="zh-CN"/>
                    </w:rPr>
                    <w:t>密度（g/cm</w:t>
                  </w:r>
                  <w:r>
                    <w:rPr>
                      <w:rFonts w:hint="eastAsia"/>
                      <w:color w:val="auto"/>
                      <w:highlight w:val="none"/>
                      <w:vertAlign w:val="superscript"/>
                      <w:lang w:val="en-US" w:eastAsia="zh-CN"/>
                    </w:rPr>
                    <w:t>3</w:t>
                  </w:r>
                  <w:r>
                    <w:rPr>
                      <w:rFonts w:hint="eastAsia"/>
                      <w:color w:val="auto"/>
                      <w:highlight w:val="none"/>
                      <w:lang w:val="en-US" w:eastAsia="zh-CN"/>
                    </w:rPr>
                    <w:t>）</w:t>
                  </w:r>
                </w:p>
              </w:tc>
              <w:tc>
                <w:tcPr>
                  <w:tcW w:w="3973" w:type="dxa"/>
                </w:tcPr>
                <w:p w14:paraId="496B631A">
                  <w:pPr>
                    <w:pStyle w:val="49"/>
                    <w:bidi w:val="0"/>
                    <w:rPr>
                      <w:rFonts w:hint="default"/>
                      <w:color w:val="auto"/>
                      <w:highlight w:val="none"/>
                      <w:lang w:val="en-US" w:eastAsia="zh-CN"/>
                    </w:rPr>
                  </w:pPr>
                  <w:r>
                    <w:rPr>
                      <w:rFonts w:hint="eastAsia"/>
                      <w:color w:val="auto"/>
                      <w:highlight w:val="none"/>
                      <w:lang w:val="en-US" w:eastAsia="zh-CN"/>
                    </w:rPr>
                    <w:t>1.05~1.30</w:t>
                  </w:r>
                </w:p>
              </w:tc>
            </w:tr>
            <w:tr w14:paraId="40FB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18D591E8">
                  <w:pPr>
                    <w:pStyle w:val="49"/>
                    <w:bidi w:val="0"/>
                    <w:rPr>
                      <w:rFonts w:hint="default"/>
                      <w:color w:val="auto"/>
                      <w:highlight w:val="none"/>
                      <w:lang w:val="en-US" w:eastAsia="zh-CN"/>
                    </w:rPr>
                  </w:pPr>
                  <w:r>
                    <w:rPr>
                      <w:rFonts w:hint="eastAsia"/>
                      <w:color w:val="auto"/>
                      <w:highlight w:val="none"/>
                      <w:lang w:val="en-US" w:eastAsia="zh-CN"/>
                    </w:rPr>
                    <w:t>水分（%）</w:t>
                  </w:r>
                </w:p>
              </w:tc>
              <w:tc>
                <w:tcPr>
                  <w:tcW w:w="3973" w:type="dxa"/>
                </w:tcPr>
                <w:p w14:paraId="10539766">
                  <w:pPr>
                    <w:pStyle w:val="49"/>
                    <w:bidi w:val="0"/>
                    <w:rPr>
                      <w:rFonts w:hint="default"/>
                      <w:color w:val="auto"/>
                      <w:highlight w:val="none"/>
                      <w:lang w:val="en-US" w:eastAsia="zh-CN"/>
                    </w:rPr>
                  </w:pPr>
                  <w:r>
                    <w:rPr>
                      <w:rFonts w:hint="eastAsia"/>
                      <w:color w:val="auto"/>
                      <w:highlight w:val="none"/>
                      <w:lang w:val="en-US" w:eastAsia="zh-CN"/>
                    </w:rPr>
                    <w:t>≤3</w:t>
                  </w:r>
                </w:p>
              </w:tc>
            </w:tr>
            <w:tr w14:paraId="26293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29FE2237">
                  <w:pPr>
                    <w:pStyle w:val="49"/>
                    <w:bidi w:val="0"/>
                    <w:rPr>
                      <w:rFonts w:hint="default"/>
                      <w:color w:val="auto"/>
                      <w:highlight w:val="none"/>
                      <w:lang w:val="en-US" w:eastAsia="zh-CN"/>
                    </w:rPr>
                  </w:pPr>
                  <w:r>
                    <w:rPr>
                      <w:rFonts w:hint="eastAsia"/>
                      <w:color w:val="auto"/>
                      <w:highlight w:val="none"/>
                      <w:lang w:val="en-US" w:eastAsia="zh-CN"/>
                    </w:rPr>
                    <w:t>灰分（%）</w:t>
                  </w:r>
                </w:p>
              </w:tc>
              <w:tc>
                <w:tcPr>
                  <w:tcW w:w="3973" w:type="dxa"/>
                </w:tcPr>
                <w:p w14:paraId="09394BAB">
                  <w:pPr>
                    <w:pStyle w:val="49"/>
                    <w:bidi w:val="0"/>
                    <w:rPr>
                      <w:rFonts w:hint="default"/>
                      <w:color w:val="auto"/>
                      <w:highlight w:val="none"/>
                      <w:lang w:val="en-US" w:eastAsia="zh-CN"/>
                    </w:rPr>
                  </w:pPr>
                  <w:r>
                    <w:rPr>
                      <w:rFonts w:hint="eastAsia"/>
                      <w:color w:val="auto"/>
                      <w:highlight w:val="none"/>
                      <w:lang w:val="en-US" w:eastAsia="zh-CN"/>
                    </w:rPr>
                    <w:t>≤35</w:t>
                  </w:r>
                </w:p>
              </w:tc>
            </w:tr>
            <w:tr w14:paraId="4402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719D4FDC">
                  <w:pPr>
                    <w:pStyle w:val="49"/>
                    <w:bidi w:val="0"/>
                    <w:rPr>
                      <w:rFonts w:hint="default"/>
                      <w:color w:val="auto"/>
                      <w:highlight w:val="none"/>
                      <w:lang w:val="en-US" w:eastAsia="zh-CN"/>
                    </w:rPr>
                  </w:pPr>
                  <w:r>
                    <w:rPr>
                      <w:rFonts w:hint="eastAsia"/>
                      <w:color w:val="auto"/>
                      <w:highlight w:val="none"/>
                      <w:lang w:val="en-US" w:eastAsia="zh-CN"/>
                    </w:rPr>
                    <w:t>甲苯不溶物（%）</w:t>
                  </w:r>
                </w:p>
              </w:tc>
              <w:tc>
                <w:tcPr>
                  <w:tcW w:w="3973" w:type="dxa"/>
                </w:tcPr>
                <w:p w14:paraId="7124162C">
                  <w:pPr>
                    <w:pStyle w:val="49"/>
                    <w:bidi w:val="0"/>
                    <w:rPr>
                      <w:rFonts w:hint="default"/>
                      <w:color w:val="auto"/>
                      <w:highlight w:val="none"/>
                      <w:lang w:val="en-US" w:eastAsia="zh-CN"/>
                    </w:rPr>
                  </w:pPr>
                  <w:r>
                    <w:rPr>
                      <w:rFonts w:hint="eastAsia"/>
                      <w:color w:val="auto"/>
                      <w:highlight w:val="none"/>
                      <w:lang w:val="en-US" w:eastAsia="zh-CN"/>
                    </w:rPr>
                    <w:t>≤40</w:t>
                  </w:r>
                </w:p>
              </w:tc>
            </w:tr>
            <w:tr w14:paraId="13DD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5" w:type="dxa"/>
                  <w:gridSpan w:val="2"/>
                </w:tcPr>
                <w:p w14:paraId="617E391D">
                  <w:pPr>
                    <w:pStyle w:val="49"/>
                    <w:bidi w:val="0"/>
                    <w:jc w:val="left"/>
                    <w:rPr>
                      <w:rFonts w:hint="default"/>
                      <w:color w:val="auto"/>
                      <w:highlight w:val="none"/>
                      <w:lang w:val="en-US" w:eastAsia="zh-CN"/>
                    </w:rPr>
                  </w:pPr>
                  <w:r>
                    <w:rPr>
                      <w:rFonts w:hint="eastAsia"/>
                      <w:color w:val="auto"/>
                      <w:highlight w:val="none"/>
                      <w:lang w:val="en-US" w:eastAsia="zh-CN"/>
                    </w:rPr>
                    <w:t>注：参考《木焦油（Q/XHHJ002-2020）》企业标准</w:t>
                  </w:r>
                </w:p>
              </w:tc>
            </w:tr>
          </w:tbl>
          <w:p w14:paraId="67CB5C08">
            <w:pPr>
              <w:pStyle w:val="11"/>
              <w:numPr>
                <w:ilvl w:val="0"/>
                <w:numId w:val="3"/>
              </w:numPr>
              <w:bidi w:val="0"/>
              <w:rPr>
                <w:rFonts w:hint="default"/>
                <w:color w:val="auto"/>
                <w:highlight w:val="none"/>
                <w:lang w:val="en-US" w:eastAsia="zh-CN"/>
              </w:rPr>
            </w:pPr>
            <w:r>
              <w:rPr>
                <w:rFonts w:hint="eastAsia"/>
                <w:color w:val="auto"/>
                <w:highlight w:val="none"/>
                <w:lang w:val="en-US" w:eastAsia="zh-CN"/>
              </w:rPr>
              <w:t>木醋液理化性质</w:t>
            </w:r>
          </w:p>
          <w:p w14:paraId="1DC0FB34">
            <w:pPr>
              <w:pStyle w:val="11"/>
              <w:bidi w:val="0"/>
              <w:rPr>
                <w:rFonts w:hint="default"/>
                <w:color w:val="auto"/>
                <w:highlight w:val="none"/>
                <w:lang w:val="en-US" w:eastAsia="zh-CN"/>
              </w:rPr>
            </w:pPr>
            <w:r>
              <w:rPr>
                <w:rFonts w:hint="eastAsia"/>
                <w:color w:val="auto"/>
                <w:highlight w:val="none"/>
                <w:lang w:val="en-US" w:eastAsia="zh-CN"/>
              </w:rPr>
              <w:t>木醋液一般由各类废弃秸秆、废果树枝等原料在炭化炉内炭化产生的烟气经冷却凝结得到，为酸性液体，主要成分包括有机酸类、酚类、酮类和水，其中有机质成分醋酸占比在10%以上；此外还含有K、Ca、Mg、Zn、Ge、Mn、Fe等矿物质，以及</w:t>
            </w:r>
            <w:r>
              <w:rPr>
                <w:rFonts w:hint="default" w:ascii="Times New Roman" w:hAnsi="Times New Roman" w:cs="Times New Roman"/>
                <w:color w:val="auto"/>
                <w:highlight w:val="none"/>
                <w:vertAlign w:val="baseline"/>
                <w:lang w:val="en-US" w:eastAsia="zh-CN"/>
              </w:rPr>
              <w:t>维生素B₁</w:t>
            </w:r>
            <w:r>
              <w:rPr>
                <w:rFonts w:hint="default" w:ascii="Times New Roman" w:hAnsi="Times New Roman" w:cs="Times New Roman"/>
                <w:color w:val="auto"/>
                <w:highlight w:val="none"/>
                <w:lang w:val="en-US" w:eastAsia="zh-CN"/>
              </w:rPr>
              <w:t>和</w:t>
            </w:r>
            <w:r>
              <w:rPr>
                <w:rFonts w:hint="default" w:ascii="Times New Roman" w:hAnsi="Times New Roman" w:cs="Times New Roman"/>
                <w:color w:val="auto"/>
                <w:highlight w:val="none"/>
                <w:vertAlign w:val="baseline"/>
                <w:lang w:val="en-US" w:eastAsia="zh-CN"/>
              </w:rPr>
              <w:t>维生素B₂</w:t>
            </w:r>
            <w:r>
              <w:rPr>
                <w:rFonts w:hint="default" w:ascii="Times New Roman" w:hAnsi="Times New Roman" w:cs="Times New Roman"/>
                <w:color w:val="auto"/>
                <w:highlight w:val="none"/>
                <w:lang w:val="en-US" w:eastAsia="zh-CN"/>
              </w:rPr>
              <w:t>。</w:t>
            </w:r>
          </w:p>
          <w:p w14:paraId="7735E697">
            <w:pPr>
              <w:pStyle w:val="32"/>
              <w:bidi w:val="0"/>
              <w:rPr>
                <w:rFonts w:hint="eastAsia"/>
                <w:color w:val="auto"/>
                <w:highlight w:val="none"/>
                <w:lang w:val="en-US" w:eastAsia="zh-CN"/>
              </w:rPr>
            </w:pPr>
            <w:r>
              <w:rPr>
                <w:rFonts w:hint="eastAsia"/>
                <w:color w:val="auto"/>
                <w:highlight w:val="none"/>
                <w:lang w:val="en-US" w:eastAsia="zh-CN"/>
              </w:rPr>
              <w:t>表2-5    木醋液理化性质</w:t>
            </w:r>
          </w:p>
          <w:tbl>
            <w:tblPr>
              <w:tblStyle w:val="27"/>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2"/>
              <w:gridCol w:w="3973"/>
            </w:tblGrid>
            <w:tr w14:paraId="1342D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38A4598B">
                  <w:pPr>
                    <w:pStyle w:val="49"/>
                    <w:bidi w:val="0"/>
                    <w:rPr>
                      <w:rFonts w:hint="default"/>
                      <w:b/>
                      <w:bCs/>
                      <w:color w:val="auto"/>
                      <w:highlight w:val="none"/>
                      <w:lang w:val="en-US" w:eastAsia="zh-CN"/>
                    </w:rPr>
                  </w:pPr>
                  <w:r>
                    <w:rPr>
                      <w:rFonts w:hint="eastAsia"/>
                      <w:b/>
                      <w:bCs/>
                      <w:color w:val="auto"/>
                      <w:highlight w:val="none"/>
                      <w:lang w:val="en-US" w:eastAsia="zh-CN"/>
                    </w:rPr>
                    <w:t>项目</w:t>
                  </w:r>
                </w:p>
              </w:tc>
              <w:tc>
                <w:tcPr>
                  <w:tcW w:w="3973" w:type="dxa"/>
                </w:tcPr>
                <w:p w14:paraId="345219B8">
                  <w:pPr>
                    <w:pStyle w:val="49"/>
                    <w:bidi w:val="0"/>
                    <w:rPr>
                      <w:rFonts w:hint="default"/>
                      <w:b/>
                      <w:bCs/>
                      <w:color w:val="auto"/>
                      <w:highlight w:val="none"/>
                      <w:lang w:val="en-US" w:eastAsia="zh-CN"/>
                    </w:rPr>
                  </w:pPr>
                  <w:r>
                    <w:rPr>
                      <w:rFonts w:hint="eastAsia"/>
                      <w:b/>
                      <w:bCs/>
                      <w:color w:val="auto"/>
                      <w:highlight w:val="none"/>
                      <w:lang w:val="en-US" w:eastAsia="zh-CN"/>
                    </w:rPr>
                    <w:t>木醋液（农业用）</w:t>
                  </w:r>
                </w:p>
              </w:tc>
            </w:tr>
            <w:tr w14:paraId="49859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72" w:type="dxa"/>
                </w:tcPr>
                <w:p w14:paraId="053C882C">
                  <w:pPr>
                    <w:pStyle w:val="49"/>
                    <w:bidi w:val="0"/>
                    <w:rPr>
                      <w:rFonts w:hint="default"/>
                      <w:color w:val="auto"/>
                      <w:highlight w:val="none"/>
                      <w:lang w:val="en-US" w:eastAsia="zh-CN"/>
                    </w:rPr>
                  </w:pPr>
                  <w:r>
                    <w:rPr>
                      <w:rFonts w:hint="eastAsia"/>
                      <w:color w:val="auto"/>
                      <w:highlight w:val="none"/>
                      <w:lang w:val="en-US" w:eastAsia="zh-CN"/>
                    </w:rPr>
                    <w:t>密度（g/ml）</w:t>
                  </w:r>
                </w:p>
              </w:tc>
              <w:tc>
                <w:tcPr>
                  <w:tcW w:w="3973" w:type="dxa"/>
                </w:tcPr>
                <w:p w14:paraId="0816AB0A">
                  <w:pPr>
                    <w:pStyle w:val="49"/>
                    <w:bidi w:val="0"/>
                    <w:rPr>
                      <w:rFonts w:hint="default"/>
                      <w:color w:val="auto"/>
                      <w:highlight w:val="none"/>
                      <w:lang w:val="en-US" w:eastAsia="zh-CN"/>
                    </w:rPr>
                  </w:pPr>
                  <w:r>
                    <w:rPr>
                      <w:rFonts w:hint="eastAsia"/>
                      <w:color w:val="auto"/>
                      <w:highlight w:val="none"/>
                      <w:lang w:val="en-US" w:eastAsia="zh-CN"/>
                    </w:rPr>
                    <w:t>0.99~1.018</w:t>
                  </w:r>
                </w:p>
              </w:tc>
            </w:tr>
            <w:tr w14:paraId="2982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7B47B2BC">
                  <w:pPr>
                    <w:pStyle w:val="49"/>
                    <w:bidi w:val="0"/>
                    <w:rPr>
                      <w:rFonts w:hint="default"/>
                      <w:color w:val="auto"/>
                      <w:highlight w:val="none"/>
                      <w:lang w:val="en-US" w:eastAsia="zh-CN"/>
                    </w:rPr>
                  </w:pPr>
                  <w:r>
                    <w:rPr>
                      <w:rFonts w:hint="eastAsia"/>
                      <w:color w:val="auto"/>
                      <w:highlight w:val="none"/>
                      <w:lang w:val="en-US" w:eastAsia="zh-CN"/>
                    </w:rPr>
                    <w:t>总酚含量（%）</w:t>
                  </w:r>
                </w:p>
              </w:tc>
              <w:tc>
                <w:tcPr>
                  <w:tcW w:w="3973" w:type="dxa"/>
                </w:tcPr>
                <w:p w14:paraId="2F0F6AD4">
                  <w:pPr>
                    <w:pStyle w:val="49"/>
                    <w:bidi w:val="0"/>
                    <w:rPr>
                      <w:rFonts w:hint="default"/>
                      <w:color w:val="auto"/>
                      <w:highlight w:val="none"/>
                      <w:lang w:val="en-US" w:eastAsia="zh-CN"/>
                    </w:rPr>
                  </w:pPr>
                  <w:r>
                    <w:rPr>
                      <w:rFonts w:hint="eastAsia"/>
                      <w:color w:val="auto"/>
                      <w:highlight w:val="none"/>
                      <w:lang w:val="en-US" w:eastAsia="zh-CN"/>
                    </w:rPr>
                    <w:t>0.05~0.5</w:t>
                  </w:r>
                </w:p>
              </w:tc>
            </w:tr>
            <w:tr w14:paraId="3CC16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72AE7A3B">
                  <w:pPr>
                    <w:pStyle w:val="49"/>
                    <w:bidi w:val="0"/>
                    <w:rPr>
                      <w:rFonts w:hint="default"/>
                      <w:color w:val="auto"/>
                      <w:highlight w:val="none"/>
                      <w:lang w:val="en-US" w:eastAsia="zh-CN"/>
                    </w:rPr>
                  </w:pPr>
                  <w:r>
                    <w:rPr>
                      <w:rFonts w:hint="eastAsia"/>
                      <w:color w:val="auto"/>
                      <w:highlight w:val="none"/>
                      <w:lang w:val="en-US" w:eastAsia="zh-CN"/>
                    </w:rPr>
                    <w:t>有机酸（%）</w:t>
                  </w:r>
                </w:p>
              </w:tc>
              <w:tc>
                <w:tcPr>
                  <w:tcW w:w="3973" w:type="dxa"/>
                </w:tcPr>
                <w:p w14:paraId="6199F8C7">
                  <w:pPr>
                    <w:pStyle w:val="49"/>
                    <w:bidi w:val="0"/>
                    <w:rPr>
                      <w:rFonts w:hint="default"/>
                      <w:color w:val="auto"/>
                      <w:highlight w:val="none"/>
                      <w:lang w:val="en-US" w:eastAsia="zh-CN"/>
                    </w:rPr>
                  </w:pPr>
                  <w:r>
                    <w:rPr>
                      <w:rFonts w:hint="eastAsia"/>
                      <w:color w:val="auto"/>
                      <w:highlight w:val="none"/>
                      <w:lang w:val="en-US" w:eastAsia="zh-CN"/>
                    </w:rPr>
                    <w:t>3~7</w:t>
                  </w:r>
                </w:p>
              </w:tc>
            </w:tr>
            <w:tr w14:paraId="531B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7723B826">
                  <w:pPr>
                    <w:pStyle w:val="49"/>
                    <w:bidi w:val="0"/>
                    <w:rPr>
                      <w:rFonts w:hint="default"/>
                      <w:color w:val="auto"/>
                      <w:highlight w:val="none"/>
                      <w:lang w:val="en-US" w:eastAsia="zh-CN"/>
                    </w:rPr>
                  </w:pPr>
                  <w:r>
                    <w:rPr>
                      <w:rFonts w:hint="eastAsia"/>
                      <w:color w:val="auto"/>
                      <w:highlight w:val="none"/>
                      <w:lang w:val="en-US" w:eastAsia="zh-CN"/>
                    </w:rPr>
                    <w:t>pH值</w:t>
                  </w:r>
                </w:p>
              </w:tc>
              <w:tc>
                <w:tcPr>
                  <w:tcW w:w="3973" w:type="dxa"/>
                </w:tcPr>
                <w:p w14:paraId="0C6EAD99">
                  <w:pPr>
                    <w:pStyle w:val="49"/>
                    <w:bidi w:val="0"/>
                    <w:rPr>
                      <w:rFonts w:hint="default"/>
                      <w:color w:val="auto"/>
                      <w:highlight w:val="none"/>
                      <w:lang w:val="en-US" w:eastAsia="zh-CN"/>
                    </w:rPr>
                  </w:pPr>
                  <w:r>
                    <w:rPr>
                      <w:rFonts w:hint="eastAsia"/>
                      <w:color w:val="auto"/>
                      <w:highlight w:val="none"/>
                      <w:lang w:val="en-US" w:eastAsia="zh-CN"/>
                    </w:rPr>
                    <w:t>2.5~3.8</w:t>
                  </w:r>
                </w:p>
              </w:tc>
            </w:tr>
            <w:tr w14:paraId="1297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5031A885">
                  <w:pPr>
                    <w:pStyle w:val="49"/>
                    <w:bidi w:val="0"/>
                    <w:rPr>
                      <w:rFonts w:hint="default"/>
                      <w:color w:val="auto"/>
                      <w:highlight w:val="none"/>
                      <w:lang w:val="en-US" w:eastAsia="zh-CN"/>
                    </w:rPr>
                  </w:pPr>
                  <w:r>
                    <w:rPr>
                      <w:rFonts w:hint="eastAsia"/>
                      <w:color w:val="auto"/>
                      <w:highlight w:val="none"/>
                      <w:lang w:val="en-US" w:eastAsia="zh-CN"/>
                    </w:rPr>
                    <w:t>溶解性焦油（%）</w:t>
                  </w:r>
                </w:p>
              </w:tc>
              <w:tc>
                <w:tcPr>
                  <w:tcW w:w="3973" w:type="dxa"/>
                </w:tcPr>
                <w:p w14:paraId="4F9B0FB0">
                  <w:pPr>
                    <w:pStyle w:val="49"/>
                    <w:bidi w:val="0"/>
                    <w:rPr>
                      <w:rFonts w:hint="default"/>
                      <w:color w:val="auto"/>
                      <w:highlight w:val="none"/>
                      <w:lang w:val="en-US" w:eastAsia="zh-CN"/>
                    </w:rPr>
                  </w:pPr>
                  <w:r>
                    <w:rPr>
                      <w:rFonts w:hint="eastAsia"/>
                      <w:color w:val="auto"/>
                      <w:highlight w:val="none"/>
                      <w:lang w:val="en-US" w:eastAsia="zh-CN"/>
                    </w:rPr>
                    <w:t>0~3.8</w:t>
                  </w:r>
                </w:p>
              </w:tc>
            </w:tr>
            <w:tr w14:paraId="028E3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29462818">
                  <w:pPr>
                    <w:pStyle w:val="49"/>
                    <w:bidi w:val="0"/>
                    <w:rPr>
                      <w:rFonts w:hint="default"/>
                      <w:color w:val="auto"/>
                      <w:highlight w:val="none"/>
                      <w:lang w:val="en-US" w:eastAsia="zh-CN"/>
                    </w:rPr>
                  </w:pPr>
                  <w:r>
                    <w:rPr>
                      <w:rFonts w:hint="eastAsia"/>
                      <w:color w:val="auto"/>
                      <w:highlight w:val="none"/>
                      <w:lang w:val="en-US" w:eastAsia="zh-CN"/>
                    </w:rPr>
                    <w:t>有机质（%）</w:t>
                  </w:r>
                </w:p>
              </w:tc>
              <w:tc>
                <w:tcPr>
                  <w:tcW w:w="3973" w:type="dxa"/>
                </w:tcPr>
                <w:p w14:paraId="3F9DC1C1">
                  <w:pPr>
                    <w:pStyle w:val="49"/>
                    <w:bidi w:val="0"/>
                    <w:rPr>
                      <w:rFonts w:hint="default"/>
                      <w:color w:val="auto"/>
                      <w:highlight w:val="none"/>
                      <w:lang w:val="en-US" w:eastAsia="zh-CN"/>
                    </w:rPr>
                  </w:pPr>
                  <w:r>
                    <w:rPr>
                      <w:rFonts w:hint="eastAsia"/>
                      <w:color w:val="auto"/>
                      <w:highlight w:val="none"/>
                      <w:lang w:val="en-US" w:eastAsia="zh-CN"/>
                    </w:rPr>
                    <w:t>1~7</w:t>
                  </w:r>
                </w:p>
              </w:tc>
            </w:tr>
            <w:tr w14:paraId="642D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0049402D">
                  <w:pPr>
                    <w:pStyle w:val="49"/>
                    <w:bidi w:val="0"/>
                    <w:rPr>
                      <w:rFonts w:hint="default"/>
                      <w:color w:val="auto"/>
                      <w:highlight w:val="none"/>
                      <w:lang w:val="en-US" w:eastAsia="zh-CN"/>
                    </w:rPr>
                  </w:pPr>
                  <w:r>
                    <w:rPr>
                      <w:rFonts w:hint="eastAsia"/>
                      <w:color w:val="auto"/>
                      <w:highlight w:val="none"/>
                      <w:lang w:val="en-US" w:eastAsia="zh-CN"/>
                    </w:rPr>
                    <w:t>电导率（</w:t>
                  </w:r>
                  <w:r>
                    <w:rPr>
                      <w:rFonts w:hint="default" w:ascii="Times New Roman" w:hAnsi="Times New Roman" w:eastAsia="宋体" w:cs="Times New Roman"/>
                      <w:color w:val="auto"/>
                      <w:highlight w:val="none"/>
                      <w:lang w:val="en-US" w:eastAsia="zh-CN"/>
                    </w:rPr>
                    <w:t>μs/cm</w:t>
                  </w:r>
                  <w:r>
                    <w:rPr>
                      <w:rFonts w:hint="eastAsia"/>
                      <w:color w:val="auto"/>
                      <w:highlight w:val="none"/>
                      <w:lang w:val="en-US" w:eastAsia="zh-CN"/>
                    </w:rPr>
                    <w:t>）</w:t>
                  </w:r>
                </w:p>
              </w:tc>
              <w:tc>
                <w:tcPr>
                  <w:tcW w:w="3973" w:type="dxa"/>
                </w:tcPr>
                <w:p w14:paraId="1615DE5F">
                  <w:pPr>
                    <w:pStyle w:val="49"/>
                    <w:bidi w:val="0"/>
                    <w:rPr>
                      <w:rFonts w:hint="default"/>
                      <w:color w:val="auto"/>
                      <w:highlight w:val="none"/>
                      <w:lang w:val="en-US" w:eastAsia="zh-CN"/>
                    </w:rPr>
                  </w:pPr>
                  <w:r>
                    <w:rPr>
                      <w:rFonts w:hint="eastAsia"/>
                      <w:color w:val="auto"/>
                      <w:highlight w:val="none"/>
                      <w:lang w:val="en-US" w:eastAsia="zh-CN"/>
                    </w:rPr>
                    <w:t>9~65</w:t>
                  </w:r>
                </w:p>
              </w:tc>
            </w:tr>
            <w:tr w14:paraId="6EAE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72" w:type="dxa"/>
                </w:tcPr>
                <w:p w14:paraId="0B0FDE04">
                  <w:pPr>
                    <w:pStyle w:val="49"/>
                    <w:bidi w:val="0"/>
                    <w:rPr>
                      <w:rFonts w:hint="default"/>
                      <w:color w:val="auto"/>
                      <w:highlight w:val="none"/>
                      <w:lang w:val="en-US" w:eastAsia="zh-CN"/>
                    </w:rPr>
                  </w:pPr>
                  <w:r>
                    <w:rPr>
                      <w:rFonts w:hint="eastAsia"/>
                      <w:color w:val="auto"/>
                      <w:highlight w:val="none"/>
                      <w:lang w:val="en-US" w:eastAsia="zh-CN"/>
                    </w:rPr>
                    <w:t>折光率（Brix）</w:t>
                  </w:r>
                </w:p>
              </w:tc>
              <w:tc>
                <w:tcPr>
                  <w:tcW w:w="3973" w:type="dxa"/>
                </w:tcPr>
                <w:p w14:paraId="082EC779">
                  <w:pPr>
                    <w:pStyle w:val="49"/>
                    <w:bidi w:val="0"/>
                    <w:rPr>
                      <w:rFonts w:hint="default"/>
                      <w:color w:val="auto"/>
                      <w:highlight w:val="none"/>
                      <w:lang w:val="en-US" w:eastAsia="zh-CN"/>
                    </w:rPr>
                  </w:pPr>
                  <w:r>
                    <w:rPr>
                      <w:rFonts w:hint="eastAsia"/>
                      <w:color w:val="auto"/>
                      <w:highlight w:val="none"/>
                      <w:lang w:val="en-US" w:eastAsia="zh-CN"/>
                    </w:rPr>
                    <w:t>2~12</w:t>
                  </w:r>
                </w:p>
              </w:tc>
            </w:tr>
            <w:tr w14:paraId="07EE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5" w:type="dxa"/>
                  <w:gridSpan w:val="2"/>
                </w:tcPr>
                <w:p w14:paraId="57DAE6D0">
                  <w:pPr>
                    <w:pStyle w:val="49"/>
                    <w:bidi w:val="0"/>
                    <w:jc w:val="left"/>
                    <w:rPr>
                      <w:rFonts w:hint="default"/>
                      <w:color w:val="auto"/>
                      <w:highlight w:val="none"/>
                      <w:lang w:val="en-US" w:eastAsia="zh-CN"/>
                    </w:rPr>
                  </w:pPr>
                  <w:r>
                    <w:rPr>
                      <w:rFonts w:hint="eastAsia"/>
                      <w:color w:val="auto"/>
                      <w:highlight w:val="none"/>
                      <w:lang w:val="en-US" w:eastAsia="zh-CN"/>
                    </w:rPr>
                    <w:t>注：参照《木醋液（T/CNFPIA 3024-2022）》团体标准</w:t>
                  </w:r>
                </w:p>
              </w:tc>
            </w:tr>
          </w:tbl>
          <w:p w14:paraId="4C6735FE">
            <w:pPr>
              <w:pStyle w:val="11"/>
              <w:numPr>
                <w:ilvl w:val="0"/>
                <w:numId w:val="3"/>
              </w:numPr>
              <w:bidi w:val="0"/>
              <w:rPr>
                <w:rFonts w:hint="default"/>
                <w:color w:val="auto"/>
                <w:highlight w:val="none"/>
                <w:lang w:val="en-US" w:eastAsia="zh-CN"/>
              </w:rPr>
            </w:pPr>
            <w:r>
              <w:rPr>
                <w:rFonts w:hint="eastAsia"/>
                <w:color w:val="auto"/>
                <w:highlight w:val="none"/>
                <w:lang w:val="en-US" w:eastAsia="zh-CN"/>
              </w:rPr>
              <w:t>木焦油和木醋液的用途</w:t>
            </w:r>
          </w:p>
          <w:p w14:paraId="3F8318CE">
            <w:pPr>
              <w:pStyle w:val="11"/>
              <w:bidi w:val="0"/>
              <w:rPr>
                <w:rFonts w:hint="default"/>
                <w:color w:val="auto"/>
                <w:highlight w:val="none"/>
                <w:lang w:val="en-US" w:eastAsia="zh-CN"/>
              </w:rPr>
            </w:pPr>
            <w:r>
              <w:rPr>
                <w:rFonts w:hint="default"/>
                <w:color w:val="auto"/>
                <w:highlight w:val="none"/>
                <w:lang w:val="en-US" w:eastAsia="zh-CN"/>
              </w:rPr>
              <w:t>木醋液的用途很多：①土壤改良，将木醋液喷洒在土壤中可以预防种子的立枯病，也可用作土壤的消毒剂。土壤中施用竹醋液能有效抑制有碍植物生长的微生物类的繁殖，并能杀死根瘤线虫等害虫。②除臭：木醋液可用于厕所粪便处理、家畜舍及鱼市场等生鲜物品腐败时所发出的恶臭脱臭。将木醋液喷洒在卫生间等有恶臭的地方，能消除臭味，保持空气清新，喷洒一次能维持3-5天。夏天还可作为香水消除身上汗臭等气味，并使人感到凉爽。③液体熏制品，经澄清的木醋液浸渍的火腿和香肠，再进行烟熏，火腿和香肠不易生虫，味道更鲜美。④植物生长调节剂木醋液能够促进蔬菜、果树、花卉、水稻、草坪等植物的生长。此外，木醋液还可以制造肥料，抑制杂草的生长，减少农药用量，虫害的驱避剂等。⑤食品的保存木醋液常用于食品工业中的抗菌、抗菌、抗氧化性。⑥饮料添加剂，木醋液原液经过精制处理，除去甲醇、甲醛等有害物质，可作为健康饮料添加剂。⑦饲料添加剂，木醋液作为饲料添加剂，可以改善家畜、养殖鱼类的肉质，改善鱼蛋等的品质和提高营养。⑧木醋液可以起到防菌杀菌的作用，可用于皮肤炎、脚气、瘙痒性疾病的治疗。止痒消炎效果显著。</w:t>
            </w:r>
          </w:p>
          <w:p w14:paraId="050C3311">
            <w:pPr>
              <w:pStyle w:val="11"/>
              <w:bidi w:val="0"/>
              <w:rPr>
                <w:rFonts w:hint="default"/>
                <w:color w:val="auto"/>
                <w:highlight w:val="none"/>
                <w:lang w:val="en-US" w:eastAsia="zh-CN"/>
              </w:rPr>
            </w:pPr>
            <w:r>
              <w:rPr>
                <w:rFonts w:hint="default"/>
                <w:color w:val="auto"/>
                <w:highlight w:val="none"/>
                <w:lang w:val="en-US" w:eastAsia="zh-CN"/>
              </w:rPr>
              <w:t>木焦油作用与酚相似，但其毒性与刺激性均较小。有杀菌、防腐、除臭作用。内服小剂量为祛痰剂，用于慢性支气管炎与支气管扩张，亦可蒸汽吸入。外用为局部镇痛剂，搽于蛀牙处可止痛。</w:t>
            </w:r>
          </w:p>
          <w:p w14:paraId="434976DC">
            <w:pPr>
              <w:pStyle w:val="11"/>
              <w:numPr>
                <w:ilvl w:val="0"/>
                <w:numId w:val="2"/>
              </w:numPr>
              <w:bidi w:val="0"/>
              <w:ind w:left="0" w:leftChars="0" w:right="0" w:rightChars="0" w:firstLine="482" w:firstLineChars="200"/>
              <w:rPr>
                <w:rFonts w:hint="eastAsia"/>
                <w:b/>
                <w:bCs/>
                <w:color w:val="auto"/>
                <w:highlight w:val="none"/>
                <w:lang w:val="en-US" w:eastAsia="zh-CN"/>
              </w:rPr>
            </w:pPr>
            <w:r>
              <w:rPr>
                <w:rFonts w:hint="eastAsia"/>
                <w:b/>
                <w:bCs/>
                <w:color w:val="auto"/>
                <w:highlight w:val="none"/>
                <w:lang w:val="en-US" w:eastAsia="zh-CN"/>
              </w:rPr>
              <w:t>主要原辅材料及能源消耗</w:t>
            </w:r>
          </w:p>
          <w:p w14:paraId="7E0878DC">
            <w:pPr>
              <w:pStyle w:val="11"/>
              <w:bidi w:val="0"/>
              <w:rPr>
                <w:rFonts w:hint="eastAsia"/>
                <w:color w:val="auto"/>
                <w:highlight w:val="none"/>
                <w:lang w:val="en-US" w:eastAsia="zh-CN"/>
              </w:rPr>
            </w:pPr>
            <w:r>
              <w:rPr>
                <w:rFonts w:hint="eastAsia"/>
                <w:color w:val="auto"/>
                <w:highlight w:val="none"/>
                <w:lang w:val="en-US" w:eastAsia="zh-CN"/>
              </w:rPr>
              <w:t>项目原辅材料及能源消耗见下表。</w:t>
            </w:r>
          </w:p>
          <w:p w14:paraId="7D8824C4">
            <w:pPr>
              <w:pStyle w:val="32"/>
              <w:bidi w:val="0"/>
              <w:rPr>
                <w:rFonts w:hint="eastAsia"/>
                <w:color w:val="auto"/>
                <w:highlight w:val="none"/>
                <w:lang w:val="en-US" w:eastAsia="zh-CN"/>
              </w:rPr>
            </w:pPr>
            <w:r>
              <w:rPr>
                <w:rFonts w:hint="eastAsia"/>
                <w:color w:val="auto"/>
                <w:highlight w:val="none"/>
                <w:lang w:val="en-US" w:eastAsia="zh-CN"/>
              </w:rPr>
              <w:t>表2-6    项目原辅材料及能源消耗情况一览表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130"/>
              <w:gridCol w:w="1985"/>
              <w:gridCol w:w="1457"/>
              <w:gridCol w:w="2234"/>
            </w:tblGrid>
            <w:tr w14:paraId="35607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Align w:val="center"/>
                </w:tcPr>
                <w:p w14:paraId="7FFEFFFB">
                  <w:pPr>
                    <w:pStyle w:val="49"/>
                    <w:bidi w:val="0"/>
                    <w:jc w:val="center"/>
                    <w:rPr>
                      <w:rFonts w:hint="default"/>
                      <w:b/>
                      <w:bCs/>
                      <w:color w:val="auto"/>
                      <w:highlight w:val="none"/>
                      <w:lang w:val="en-US" w:eastAsia="zh-CN"/>
                    </w:rPr>
                  </w:pPr>
                  <w:r>
                    <w:rPr>
                      <w:rFonts w:hint="eastAsia"/>
                      <w:b/>
                      <w:bCs/>
                      <w:color w:val="auto"/>
                      <w:highlight w:val="none"/>
                      <w:lang w:val="en-US" w:eastAsia="zh-CN"/>
                    </w:rPr>
                    <w:t>产线</w:t>
                  </w:r>
                </w:p>
              </w:tc>
              <w:tc>
                <w:tcPr>
                  <w:tcW w:w="1130" w:type="dxa"/>
                  <w:vAlign w:val="center"/>
                </w:tcPr>
                <w:p w14:paraId="6B5CD00D">
                  <w:pPr>
                    <w:pStyle w:val="49"/>
                    <w:bidi w:val="0"/>
                    <w:jc w:val="center"/>
                    <w:rPr>
                      <w:rFonts w:hint="default"/>
                      <w:b/>
                      <w:bCs/>
                      <w:color w:val="auto"/>
                      <w:highlight w:val="none"/>
                      <w:lang w:val="en-US" w:eastAsia="zh-CN"/>
                    </w:rPr>
                  </w:pPr>
                  <w:r>
                    <w:rPr>
                      <w:rFonts w:hint="eastAsia"/>
                      <w:b/>
                      <w:bCs/>
                      <w:color w:val="auto"/>
                      <w:highlight w:val="none"/>
                      <w:lang w:val="en-US" w:eastAsia="zh-CN"/>
                    </w:rPr>
                    <w:t>类别</w:t>
                  </w:r>
                </w:p>
              </w:tc>
              <w:tc>
                <w:tcPr>
                  <w:tcW w:w="1985" w:type="dxa"/>
                  <w:vAlign w:val="center"/>
                </w:tcPr>
                <w:p w14:paraId="4FF81D3F">
                  <w:pPr>
                    <w:pStyle w:val="49"/>
                    <w:bidi w:val="0"/>
                    <w:jc w:val="center"/>
                    <w:rPr>
                      <w:rFonts w:hint="default"/>
                      <w:b/>
                      <w:bCs/>
                      <w:color w:val="auto"/>
                      <w:highlight w:val="none"/>
                      <w:lang w:val="en-US" w:eastAsia="zh-CN"/>
                    </w:rPr>
                  </w:pPr>
                  <w:r>
                    <w:rPr>
                      <w:rFonts w:hint="eastAsia"/>
                      <w:b/>
                      <w:bCs/>
                      <w:color w:val="auto"/>
                      <w:highlight w:val="none"/>
                      <w:lang w:val="en-US" w:eastAsia="zh-CN"/>
                    </w:rPr>
                    <w:t>名称</w:t>
                  </w:r>
                </w:p>
              </w:tc>
              <w:tc>
                <w:tcPr>
                  <w:tcW w:w="1457" w:type="dxa"/>
                  <w:vAlign w:val="center"/>
                </w:tcPr>
                <w:p w14:paraId="11843902">
                  <w:pPr>
                    <w:pStyle w:val="49"/>
                    <w:bidi w:val="0"/>
                    <w:jc w:val="center"/>
                    <w:rPr>
                      <w:rFonts w:hint="default"/>
                      <w:b/>
                      <w:bCs/>
                      <w:color w:val="auto"/>
                      <w:highlight w:val="none"/>
                      <w:lang w:val="en-US" w:eastAsia="zh-CN"/>
                    </w:rPr>
                  </w:pPr>
                  <w:r>
                    <w:rPr>
                      <w:rFonts w:hint="eastAsia"/>
                      <w:b/>
                      <w:bCs/>
                      <w:color w:val="auto"/>
                      <w:highlight w:val="none"/>
                      <w:lang w:val="en-US" w:eastAsia="zh-CN"/>
                    </w:rPr>
                    <w:t>年消耗量</w:t>
                  </w:r>
                </w:p>
              </w:tc>
              <w:tc>
                <w:tcPr>
                  <w:tcW w:w="2234" w:type="dxa"/>
                  <w:vAlign w:val="center"/>
                </w:tcPr>
                <w:p w14:paraId="0130077C">
                  <w:pPr>
                    <w:pStyle w:val="49"/>
                    <w:bidi w:val="0"/>
                    <w:jc w:val="center"/>
                    <w:rPr>
                      <w:rFonts w:hint="default"/>
                      <w:b/>
                      <w:bCs/>
                      <w:color w:val="auto"/>
                      <w:highlight w:val="none"/>
                      <w:lang w:val="en-US" w:eastAsia="zh-CN"/>
                    </w:rPr>
                  </w:pPr>
                  <w:r>
                    <w:rPr>
                      <w:rFonts w:hint="eastAsia"/>
                      <w:b/>
                      <w:bCs/>
                      <w:color w:val="auto"/>
                      <w:highlight w:val="none"/>
                      <w:lang w:val="en-US" w:eastAsia="zh-CN"/>
                    </w:rPr>
                    <w:t>备注</w:t>
                  </w:r>
                </w:p>
              </w:tc>
            </w:tr>
            <w:tr w14:paraId="7A87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06585951">
                  <w:pPr>
                    <w:pStyle w:val="49"/>
                    <w:bidi w:val="0"/>
                    <w:jc w:val="center"/>
                    <w:rPr>
                      <w:rFonts w:hint="default"/>
                      <w:color w:val="auto"/>
                      <w:highlight w:val="none"/>
                      <w:lang w:val="en-US" w:eastAsia="zh-CN"/>
                    </w:rPr>
                  </w:pPr>
                  <w:r>
                    <w:rPr>
                      <w:rFonts w:hint="eastAsia"/>
                      <w:color w:val="auto"/>
                      <w:highlight w:val="none"/>
                      <w:lang w:val="en-US" w:eastAsia="zh-CN"/>
                    </w:rPr>
                    <w:t>秸秆炭及秸秆气产线</w:t>
                  </w:r>
                </w:p>
              </w:tc>
              <w:tc>
                <w:tcPr>
                  <w:tcW w:w="1130" w:type="dxa"/>
                  <w:vMerge w:val="restart"/>
                  <w:vAlign w:val="center"/>
                </w:tcPr>
                <w:p w14:paraId="33B1F2D7">
                  <w:pPr>
                    <w:pStyle w:val="49"/>
                    <w:bidi w:val="0"/>
                    <w:jc w:val="center"/>
                    <w:rPr>
                      <w:rFonts w:hint="default"/>
                      <w:color w:val="auto"/>
                      <w:highlight w:val="none"/>
                      <w:lang w:val="en-US" w:eastAsia="zh-CN"/>
                    </w:rPr>
                  </w:pPr>
                  <w:r>
                    <w:rPr>
                      <w:rFonts w:hint="eastAsia"/>
                      <w:color w:val="auto"/>
                      <w:highlight w:val="none"/>
                      <w:lang w:val="en-US" w:eastAsia="zh-CN"/>
                    </w:rPr>
                    <w:t>原辅材料</w:t>
                  </w:r>
                </w:p>
              </w:tc>
              <w:tc>
                <w:tcPr>
                  <w:tcW w:w="1985" w:type="dxa"/>
                  <w:vAlign w:val="center"/>
                </w:tcPr>
                <w:p w14:paraId="783C1E66">
                  <w:pPr>
                    <w:pStyle w:val="49"/>
                    <w:bidi w:val="0"/>
                    <w:jc w:val="center"/>
                    <w:rPr>
                      <w:rFonts w:hint="default"/>
                      <w:color w:val="auto"/>
                      <w:highlight w:val="none"/>
                      <w:lang w:val="en-US" w:eastAsia="zh-CN"/>
                    </w:rPr>
                  </w:pPr>
                  <w:r>
                    <w:rPr>
                      <w:rFonts w:hint="eastAsia"/>
                      <w:color w:val="auto"/>
                      <w:highlight w:val="none"/>
                      <w:lang w:val="en-US" w:eastAsia="zh-CN"/>
                    </w:rPr>
                    <w:t>农作物秸秆</w:t>
                  </w:r>
                </w:p>
              </w:tc>
              <w:tc>
                <w:tcPr>
                  <w:tcW w:w="1457" w:type="dxa"/>
                  <w:vAlign w:val="center"/>
                </w:tcPr>
                <w:p w14:paraId="0C17D9D8">
                  <w:pPr>
                    <w:pStyle w:val="49"/>
                    <w:bidi w:val="0"/>
                    <w:jc w:val="center"/>
                    <w:rPr>
                      <w:rFonts w:hint="default"/>
                      <w:color w:val="auto"/>
                      <w:highlight w:val="none"/>
                      <w:lang w:val="en-US" w:eastAsia="zh-CN"/>
                    </w:rPr>
                  </w:pPr>
                  <w:r>
                    <w:rPr>
                      <w:rFonts w:hint="eastAsia"/>
                      <w:color w:val="auto"/>
                      <w:highlight w:val="none"/>
                      <w:lang w:val="en-US" w:eastAsia="zh-CN"/>
                    </w:rPr>
                    <w:t>20000t/a</w:t>
                  </w:r>
                </w:p>
              </w:tc>
              <w:tc>
                <w:tcPr>
                  <w:tcW w:w="2234" w:type="dxa"/>
                  <w:vAlign w:val="center"/>
                </w:tcPr>
                <w:p w14:paraId="657D272C">
                  <w:pPr>
                    <w:pStyle w:val="49"/>
                    <w:bidi w:val="0"/>
                    <w:jc w:val="center"/>
                    <w:rPr>
                      <w:rFonts w:hint="default"/>
                      <w:color w:val="auto"/>
                      <w:highlight w:val="none"/>
                      <w:lang w:val="en-US" w:eastAsia="zh-CN"/>
                    </w:rPr>
                  </w:pPr>
                  <w:r>
                    <w:rPr>
                      <w:rFonts w:hint="eastAsia"/>
                      <w:color w:val="auto"/>
                      <w:highlight w:val="none"/>
                      <w:lang w:val="en-US" w:eastAsia="zh-CN"/>
                    </w:rPr>
                    <w:t>存储在秸秆材料库房</w:t>
                  </w:r>
                </w:p>
              </w:tc>
            </w:tr>
            <w:tr w14:paraId="01BA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14:paraId="56AD85B3">
                  <w:pPr>
                    <w:pStyle w:val="49"/>
                    <w:bidi w:val="0"/>
                    <w:jc w:val="both"/>
                    <w:rPr>
                      <w:rFonts w:hint="default"/>
                      <w:color w:val="auto"/>
                      <w:highlight w:val="none"/>
                      <w:lang w:val="en-US" w:eastAsia="zh-CN"/>
                    </w:rPr>
                  </w:pPr>
                </w:p>
              </w:tc>
              <w:tc>
                <w:tcPr>
                  <w:tcW w:w="1130" w:type="dxa"/>
                  <w:vMerge w:val="continue"/>
                  <w:vAlign w:val="center"/>
                </w:tcPr>
                <w:p w14:paraId="1199EA53">
                  <w:pPr>
                    <w:pStyle w:val="49"/>
                    <w:bidi w:val="0"/>
                    <w:jc w:val="center"/>
                    <w:rPr>
                      <w:rFonts w:hint="eastAsia"/>
                      <w:color w:val="auto"/>
                      <w:highlight w:val="none"/>
                      <w:lang w:val="en-US" w:eastAsia="zh-CN"/>
                    </w:rPr>
                  </w:pPr>
                </w:p>
              </w:tc>
              <w:tc>
                <w:tcPr>
                  <w:tcW w:w="1985" w:type="dxa"/>
                  <w:vAlign w:val="center"/>
                </w:tcPr>
                <w:p w14:paraId="0C5EEC31">
                  <w:pPr>
                    <w:pStyle w:val="49"/>
                    <w:bidi w:val="0"/>
                    <w:jc w:val="center"/>
                    <w:rPr>
                      <w:rFonts w:hint="default"/>
                      <w:color w:val="auto"/>
                      <w:highlight w:val="none"/>
                      <w:lang w:val="en-US" w:eastAsia="zh-CN"/>
                    </w:rPr>
                  </w:pPr>
                  <w:r>
                    <w:rPr>
                      <w:rFonts w:hint="eastAsia"/>
                      <w:color w:val="auto"/>
                      <w:highlight w:val="none"/>
                      <w:lang w:val="en-US" w:eastAsia="zh-CN"/>
                    </w:rPr>
                    <w:t>加臭剂（四氢噻吩）</w:t>
                  </w:r>
                </w:p>
              </w:tc>
              <w:tc>
                <w:tcPr>
                  <w:tcW w:w="1457" w:type="dxa"/>
                  <w:vAlign w:val="center"/>
                </w:tcPr>
                <w:p w14:paraId="7DCD38FC">
                  <w:pPr>
                    <w:pStyle w:val="49"/>
                    <w:bidi w:val="0"/>
                    <w:jc w:val="center"/>
                    <w:rPr>
                      <w:rFonts w:hint="default"/>
                      <w:color w:val="auto"/>
                      <w:highlight w:val="none"/>
                      <w:lang w:val="en-US" w:eastAsia="zh-CN"/>
                    </w:rPr>
                  </w:pPr>
                  <w:r>
                    <w:rPr>
                      <w:rFonts w:hint="eastAsia"/>
                      <w:color w:val="auto"/>
                      <w:highlight w:val="none"/>
                      <w:lang w:val="en-US" w:eastAsia="zh-CN"/>
                    </w:rPr>
                    <w:t>0.1t/a</w:t>
                  </w:r>
                </w:p>
              </w:tc>
              <w:tc>
                <w:tcPr>
                  <w:tcW w:w="2234" w:type="dxa"/>
                  <w:vAlign w:val="center"/>
                </w:tcPr>
                <w:p w14:paraId="5996F17C">
                  <w:pPr>
                    <w:pStyle w:val="49"/>
                    <w:bidi w:val="0"/>
                    <w:rPr>
                      <w:rFonts w:hint="eastAsia"/>
                      <w:color w:val="auto"/>
                      <w:highlight w:val="none"/>
                      <w:lang w:val="en-US" w:eastAsia="zh-CN"/>
                    </w:rPr>
                  </w:pPr>
                  <w:r>
                    <w:rPr>
                      <w:color w:val="auto"/>
                      <w:highlight w:val="none"/>
                    </w:rPr>
                    <w:t>加臭机内</w:t>
                  </w:r>
                </w:p>
              </w:tc>
            </w:tr>
            <w:tr w14:paraId="09022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continue"/>
                  <w:vAlign w:val="center"/>
                </w:tcPr>
                <w:p w14:paraId="3286F88B">
                  <w:pPr>
                    <w:pStyle w:val="49"/>
                    <w:bidi w:val="0"/>
                    <w:jc w:val="both"/>
                    <w:rPr>
                      <w:rFonts w:hint="default"/>
                      <w:color w:val="auto"/>
                      <w:highlight w:val="none"/>
                      <w:lang w:val="en-US" w:eastAsia="zh-CN"/>
                    </w:rPr>
                  </w:pPr>
                </w:p>
              </w:tc>
              <w:tc>
                <w:tcPr>
                  <w:tcW w:w="1130" w:type="dxa"/>
                  <w:vMerge w:val="continue"/>
                  <w:vAlign w:val="center"/>
                </w:tcPr>
                <w:p w14:paraId="6430247C">
                  <w:pPr>
                    <w:pStyle w:val="49"/>
                    <w:bidi w:val="0"/>
                    <w:jc w:val="center"/>
                    <w:rPr>
                      <w:rFonts w:hint="eastAsia"/>
                      <w:color w:val="auto"/>
                      <w:highlight w:val="none"/>
                      <w:lang w:val="en-US" w:eastAsia="zh-CN"/>
                    </w:rPr>
                  </w:pPr>
                </w:p>
              </w:tc>
              <w:tc>
                <w:tcPr>
                  <w:tcW w:w="1985" w:type="dxa"/>
                  <w:shd w:val="clear" w:color="auto" w:fill="auto"/>
                  <w:vAlign w:val="center"/>
                </w:tcPr>
                <w:p w14:paraId="1BF40211">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天然气</w:t>
                  </w:r>
                </w:p>
              </w:tc>
              <w:tc>
                <w:tcPr>
                  <w:tcW w:w="1457" w:type="dxa"/>
                  <w:shd w:val="clear" w:color="auto" w:fill="auto"/>
                  <w:vAlign w:val="center"/>
                </w:tcPr>
                <w:p w14:paraId="4357C91A">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1177.8万m</w:t>
                  </w:r>
                  <w:r>
                    <w:rPr>
                      <w:rFonts w:hint="eastAsia"/>
                      <w:color w:val="auto"/>
                      <w:highlight w:val="none"/>
                      <w:vertAlign w:val="superscript"/>
                      <w:lang w:val="en-US" w:eastAsia="zh-CN"/>
                    </w:rPr>
                    <w:t>3</w:t>
                  </w:r>
                  <w:r>
                    <w:rPr>
                      <w:rFonts w:hint="eastAsia"/>
                      <w:color w:val="auto"/>
                      <w:highlight w:val="none"/>
                      <w:lang w:val="en-US" w:eastAsia="zh-CN"/>
                    </w:rPr>
                    <w:t>/a</w:t>
                  </w:r>
                </w:p>
              </w:tc>
              <w:tc>
                <w:tcPr>
                  <w:tcW w:w="2234" w:type="dxa"/>
                  <w:shd w:val="clear" w:color="auto" w:fill="auto"/>
                  <w:vAlign w:val="center"/>
                </w:tcPr>
                <w:p w14:paraId="55F3DE48">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外购，存于储罐内</w:t>
                  </w:r>
                </w:p>
              </w:tc>
            </w:tr>
            <w:tr w14:paraId="3121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9" w:type="dxa"/>
                  <w:vMerge w:val="restart"/>
                  <w:vAlign w:val="center"/>
                </w:tcPr>
                <w:p w14:paraId="7EFD7571">
                  <w:pPr>
                    <w:pStyle w:val="49"/>
                    <w:bidi w:val="0"/>
                    <w:rPr>
                      <w:rFonts w:hint="default"/>
                      <w:color w:val="auto"/>
                      <w:highlight w:val="none"/>
                      <w:lang w:val="en-US" w:eastAsia="zh-CN"/>
                    </w:rPr>
                  </w:pPr>
                  <w:r>
                    <w:rPr>
                      <w:rFonts w:hint="eastAsia"/>
                      <w:color w:val="auto"/>
                      <w:highlight w:val="none"/>
                      <w:lang w:val="en-US" w:eastAsia="zh-CN"/>
                    </w:rPr>
                    <w:t>有机肥产线</w:t>
                  </w:r>
                </w:p>
              </w:tc>
              <w:tc>
                <w:tcPr>
                  <w:tcW w:w="1130" w:type="dxa"/>
                  <w:vMerge w:val="continue"/>
                  <w:vAlign w:val="center"/>
                </w:tcPr>
                <w:p w14:paraId="6B031D47">
                  <w:pPr>
                    <w:pStyle w:val="49"/>
                    <w:bidi w:val="0"/>
                    <w:jc w:val="center"/>
                    <w:rPr>
                      <w:rFonts w:hint="eastAsia"/>
                      <w:color w:val="auto"/>
                      <w:highlight w:val="none"/>
                      <w:lang w:val="en-US" w:eastAsia="zh-CN"/>
                    </w:rPr>
                  </w:pPr>
                </w:p>
              </w:tc>
              <w:tc>
                <w:tcPr>
                  <w:tcW w:w="1985" w:type="dxa"/>
                  <w:vAlign w:val="center"/>
                </w:tcPr>
                <w:p w14:paraId="4492D2C9">
                  <w:pPr>
                    <w:pStyle w:val="49"/>
                    <w:bidi w:val="0"/>
                    <w:jc w:val="center"/>
                    <w:rPr>
                      <w:rFonts w:hint="default"/>
                      <w:color w:val="auto"/>
                      <w:highlight w:val="none"/>
                      <w:lang w:val="en-US" w:eastAsia="zh-CN"/>
                    </w:rPr>
                  </w:pPr>
                  <w:r>
                    <w:rPr>
                      <w:rFonts w:hint="eastAsia"/>
                      <w:color w:val="auto"/>
                      <w:highlight w:val="none"/>
                      <w:lang w:val="en-US" w:eastAsia="zh-CN"/>
                    </w:rPr>
                    <w:t>秸秆炭粉</w:t>
                  </w:r>
                </w:p>
              </w:tc>
              <w:tc>
                <w:tcPr>
                  <w:tcW w:w="1457" w:type="dxa"/>
                  <w:vAlign w:val="center"/>
                </w:tcPr>
                <w:p w14:paraId="35C114ED">
                  <w:pPr>
                    <w:pStyle w:val="49"/>
                    <w:bidi w:val="0"/>
                    <w:jc w:val="center"/>
                    <w:rPr>
                      <w:rFonts w:hint="default"/>
                      <w:color w:val="auto"/>
                      <w:highlight w:val="none"/>
                      <w:lang w:val="en-US" w:eastAsia="zh-CN"/>
                    </w:rPr>
                  </w:pPr>
                  <w:r>
                    <w:rPr>
                      <w:rFonts w:hint="eastAsia"/>
                      <w:color w:val="auto"/>
                      <w:highlight w:val="none"/>
                      <w:lang w:val="en-US" w:eastAsia="zh-CN"/>
                    </w:rPr>
                    <w:t>1000t/a</w:t>
                  </w:r>
                </w:p>
              </w:tc>
              <w:tc>
                <w:tcPr>
                  <w:tcW w:w="2234" w:type="dxa"/>
                  <w:vAlign w:val="center"/>
                </w:tcPr>
                <w:p w14:paraId="78F6EB82">
                  <w:pPr>
                    <w:pStyle w:val="49"/>
                    <w:bidi w:val="0"/>
                    <w:rPr>
                      <w:rFonts w:hint="default" w:eastAsia="宋体"/>
                      <w:color w:val="auto"/>
                      <w:highlight w:val="none"/>
                      <w:lang w:val="en-US" w:eastAsia="zh-CN"/>
                    </w:rPr>
                  </w:pPr>
                  <w:r>
                    <w:rPr>
                      <w:rFonts w:hint="eastAsia"/>
                      <w:color w:val="auto"/>
                      <w:highlight w:val="none"/>
                      <w:lang w:val="en-US" w:eastAsia="zh-CN"/>
                    </w:rPr>
                    <w:t>来源于秸秆炭产线</w:t>
                  </w:r>
                </w:p>
              </w:tc>
            </w:tr>
            <w:tr w14:paraId="643CD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1129" w:type="dxa"/>
                  <w:vMerge w:val="continue"/>
                  <w:vAlign w:val="center"/>
                </w:tcPr>
                <w:p w14:paraId="2AAF39E5">
                  <w:pPr>
                    <w:pStyle w:val="49"/>
                    <w:bidi w:val="0"/>
                    <w:rPr>
                      <w:rFonts w:hint="eastAsia"/>
                      <w:color w:val="auto"/>
                      <w:highlight w:val="none"/>
                      <w:lang w:val="en-US" w:eastAsia="zh-CN"/>
                    </w:rPr>
                  </w:pPr>
                </w:p>
              </w:tc>
              <w:tc>
                <w:tcPr>
                  <w:tcW w:w="1130" w:type="dxa"/>
                  <w:vMerge w:val="continue"/>
                  <w:vAlign w:val="center"/>
                </w:tcPr>
                <w:p w14:paraId="54BF4D8C">
                  <w:pPr>
                    <w:pStyle w:val="49"/>
                    <w:bidi w:val="0"/>
                    <w:jc w:val="center"/>
                    <w:rPr>
                      <w:rFonts w:hint="eastAsia"/>
                      <w:color w:val="auto"/>
                      <w:highlight w:val="none"/>
                      <w:lang w:val="en-US" w:eastAsia="zh-CN"/>
                    </w:rPr>
                  </w:pPr>
                </w:p>
              </w:tc>
              <w:tc>
                <w:tcPr>
                  <w:tcW w:w="1985" w:type="dxa"/>
                  <w:vAlign w:val="center"/>
                </w:tcPr>
                <w:p w14:paraId="15A2C2FA">
                  <w:pPr>
                    <w:pStyle w:val="49"/>
                    <w:bidi w:val="0"/>
                    <w:jc w:val="center"/>
                    <w:rPr>
                      <w:rFonts w:hint="default"/>
                      <w:color w:val="auto"/>
                      <w:highlight w:val="none"/>
                      <w:lang w:val="en-US" w:eastAsia="zh-CN"/>
                    </w:rPr>
                  </w:pPr>
                  <w:r>
                    <w:rPr>
                      <w:rFonts w:hint="eastAsia"/>
                      <w:color w:val="auto"/>
                      <w:highlight w:val="none"/>
                      <w:lang w:val="en-US" w:eastAsia="zh-CN"/>
                    </w:rPr>
                    <w:t>氮磷钾浓缩乳液</w:t>
                  </w:r>
                </w:p>
              </w:tc>
              <w:tc>
                <w:tcPr>
                  <w:tcW w:w="1457" w:type="dxa"/>
                  <w:vAlign w:val="center"/>
                </w:tcPr>
                <w:p w14:paraId="19680687">
                  <w:pPr>
                    <w:pStyle w:val="49"/>
                    <w:bidi w:val="0"/>
                    <w:jc w:val="center"/>
                    <w:rPr>
                      <w:rFonts w:hint="eastAsia"/>
                      <w:color w:val="auto"/>
                      <w:highlight w:val="none"/>
                      <w:lang w:val="en-US" w:eastAsia="zh-CN"/>
                    </w:rPr>
                  </w:pPr>
                  <w:r>
                    <w:rPr>
                      <w:rFonts w:hint="eastAsia"/>
                      <w:color w:val="auto"/>
                      <w:highlight w:val="none"/>
                      <w:lang w:val="en-US" w:eastAsia="zh-CN"/>
                    </w:rPr>
                    <w:t>1000t/a</w:t>
                  </w:r>
                </w:p>
              </w:tc>
              <w:tc>
                <w:tcPr>
                  <w:tcW w:w="2234" w:type="dxa"/>
                  <w:vAlign w:val="center"/>
                </w:tcPr>
                <w:p w14:paraId="7F031BDF">
                  <w:pPr>
                    <w:pStyle w:val="49"/>
                    <w:bidi w:val="0"/>
                    <w:rPr>
                      <w:rFonts w:hint="default"/>
                      <w:color w:val="auto"/>
                      <w:highlight w:val="none"/>
                      <w:lang w:val="en-US" w:eastAsia="zh-CN"/>
                    </w:rPr>
                  </w:pPr>
                  <w:r>
                    <w:rPr>
                      <w:rFonts w:hint="eastAsia"/>
                      <w:color w:val="auto"/>
                      <w:highlight w:val="none"/>
                      <w:lang w:val="en-US" w:eastAsia="zh-CN"/>
                    </w:rPr>
                    <w:t>外购，密封储存</w:t>
                  </w:r>
                </w:p>
              </w:tc>
            </w:tr>
            <w:tr w14:paraId="207F1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9" w:type="dxa"/>
                  <w:vMerge w:val="continue"/>
                  <w:vAlign w:val="center"/>
                </w:tcPr>
                <w:p w14:paraId="3C536C5C">
                  <w:pPr>
                    <w:pStyle w:val="49"/>
                    <w:bidi w:val="0"/>
                    <w:rPr>
                      <w:rFonts w:hint="eastAsia"/>
                      <w:color w:val="auto"/>
                      <w:highlight w:val="none"/>
                      <w:lang w:val="en-US" w:eastAsia="zh-CN"/>
                    </w:rPr>
                  </w:pPr>
                </w:p>
              </w:tc>
              <w:tc>
                <w:tcPr>
                  <w:tcW w:w="1130" w:type="dxa"/>
                  <w:vMerge w:val="continue"/>
                  <w:vAlign w:val="center"/>
                </w:tcPr>
                <w:p w14:paraId="3A491E74">
                  <w:pPr>
                    <w:pStyle w:val="49"/>
                    <w:bidi w:val="0"/>
                    <w:jc w:val="center"/>
                    <w:rPr>
                      <w:rFonts w:hint="eastAsia"/>
                      <w:color w:val="auto"/>
                      <w:highlight w:val="none"/>
                      <w:lang w:val="en-US" w:eastAsia="zh-CN"/>
                    </w:rPr>
                  </w:pPr>
                </w:p>
              </w:tc>
              <w:tc>
                <w:tcPr>
                  <w:tcW w:w="1985" w:type="dxa"/>
                  <w:vAlign w:val="center"/>
                </w:tcPr>
                <w:p w14:paraId="3A5F1157">
                  <w:pPr>
                    <w:pStyle w:val="49"/>
                    <w:bidi w:val="0"/>
                    <w:jc w:val="center"/>
                    <w:rPr>
                      <w:rFonts w:hint="default"/>
                      <w:color w:val="auto"/>
                      <w:highlight w:val="none"/>
                      <w:lang w:val="en-US" w:eastAsia="zh-CN"/>
                    </w:rPr>
                  </w:pPr>
                  <w:r>
                    <w:rPr>
                      <w:rFonts w:hint="eastAsia"/>
                      <w:color w:val="auto"/>
                      <w:highlight w:val="none"/>
                      <w:lang w:val="en-US" w:eastAsia="zh-CN"/>
                    </w:rPr>
                    <w:t>畜禽粪便</w:t>
                  </w:r>
                </w:p>
              </w:tc>
              <w:tc>
                <w:tcPr>
                  <w:tcW w:w="1457" w:type="dxa"/>
                  <w:vAlign w:val="center"/>
                </w:tcPr>
                <w:p w14:paraId="00D83502">
                  <w:pPr>
                    <w:pStyle w:val="49"/>
                    <w:bidi w:val="0"/>
                    <w:jc w:val="center"/>
                    <w:rPr>
                      <w:rFonts w:hint="default"/>
                      <w:color w:val="auto"/>
                      <w:highlight w:val="none"/>
                      <w:lang w:val="en-US" w:eastAsia="zh-CN"/>
                    </w:rPr>
                  </w:pPr>
                  <w:r>
                    <w:rPr>
                      <w:rFonts w:hint="eastAsia"/>
                      <w:color w:val="auto"/>
                      <w:highlight w:val="none"/>
                      <w:lang w:val="en-US" w:eastAsia="zh-CN"/>
                    </w:rPr>
                    <w:t>3000t/a</w:t>
                  </w:r>
                </w:p>
              </w:tc>
              <w:tc>
                <w:tcPr>
                  <w:tcW w:w="2234" w:type="dxa"/>
                  <w:vAlign w:val="center"/>
                </w:tcPr>
                <w:p w14:paraId="58B8DC3B">
                  <w:pPr>
                    <w:pStyle w:val="49"/>
                    <w:bidi w:val="0"/>
                    <w:rPr>
                      <w:rFonts w:hint="default"/>
                      <w:color w:val="auto"/>
                      <w:highlight w:val="none"/>
                      <w:lang w:val="en-US" w:eastAsia="zh-CN"/>
                    </w:rPr>
                  </w:pPr>
                  <w:r>
                    <w:rPr>
                      <w:rFonts w:hint="eastAsia"/>
                      <w:color w:val="auto"/>
                      <w:highlight w:val="none"/>
                      <w:lang w:val="en-US" w:eastAsia="zh-CN"/>
                    </w:rPr>
                    <w:t>周边收集，存于罐内</w:t>
                  </w:r>
                </w:p>
              </w:tc>
            </w:tr>
            <w:tr w14:paraId="1384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9" w:type="dxa"/>
                  <w:gridSpan w:val="2"/>
                  <w:vMerge w:val="restart"/>
                  <w:vAlign w:val="center"/>
                </w:tcPr>
                <w:p w14:paraId="5CFB304A">
                  <w:pPr>
                    <w:pStyle w:val="49"/>
                    <w:bidi w:val="0"/>
                    <w:jc w:val="center"/>
                    <w:rPr>
                      <w:rFonts w:hint="default"/>
                      <w:color w:val="auto"/>
                      <w:highlight w:val="none"/>
                      <w:lang w:val="en-US" w:eastAsia="zh-CN"/>
                    </w:rPr>
                  </w:pPr>
                  <w:r>
                    <w:rPr>
                      <w:rFonts w:hint="eastAsia"/>
                      <w:color w:val="auto"/>
                      <w:highlight w:val="none"/>
                      <w:lang w:val="en-US" w:eastAsia="zh-CN"/>
                    </w:rPr>
                    <w:t>能源消耗</w:t>
                  </w:r>
                </w:p>
              </w:tc>
              <w:tc>
                <w:tcPr>
                  <w:tcW w:w="1985" w:type="dxa"/>
                  <w:vAlign w:val="center"/>
                </w:tcPr>
                <w:p w14:paraId="6B6A708D">
                  <w:pPr>
                    <w:pStyle w:val="49"/>
                    <w:bidi w:val="0"/>
                    <w:jc w:val="center"/>
                    <w:rPr>
                      <w:rFonts w:hint="default"/>
                      <w:color w:val="auto"/>
                      <w:highlight w:val="none"/>
                      <w:lang w:val="en-US" w:eastAsia="zh-CN"/>
                    </w:rPr>
                  </w:pPr>
                  <w:r>
                    <w:rPr>
                      <w:rFonts w:hint="eastAsia"/>
                      <w:color w:val="auto"/>
                      <w:highlight w:val="none"/>
                      <w:lang w:val="en-US" w:eastAsia="zh-CN"/>
                    </w:rPr>
                    <w:t>电</w:t>
                  </w:r>
                </w:p>
              </w:tc>
              <w:tc>
                <w:tcPr>
                  <w:tcW w:w="1457" w:type="dxa"/>
                  <w:vAlign w:val="center"/>
                </w:tcPr>
                <w:p w14:paraId="3E980491">
                  <w:pPr>
                    <w:pStyle w:val="49"/>
                    <w:bidi w:val="0"/>
                    <w:jc w:val="center"/>
                    <w:rPr>
                      <w:rFonts w:hint="default"/>
                      <w:color w:val="auto"/>
                      <w:highlight w:val="none"/>
                      <w:lang w:val="en-US" w:eastAsia="zh-CN"/>
                    </w:rPr>
                  </w:pPr>
                  <w:r>
                    <w:rPr>
                      <w:rFonts w:hint="eastAsia"/>
                      <w:color w:val="auto"/>
                      <w:highlight w:val="none"/>
                      <w:lang w:val="en-US" w:eastAsia="zh-CN"/>
                    </w:rPr>
                    <w:t>58.6万kWh</w:t>
                  </w:r>
                </w:p>
              </w:tc>
              <w:tc>
                <w:tcPr>
                  <w:tcW w:w="2234" w:type="dxa"/>
                  <w:vAlign w:val="center"/>
                </w:tcPr>
                <w:p w14:paraId="32EE55A8">
                  <w:pPr>
                    <w:pStyle w:val="49"/>
                    <w:bidi w:val="0"/>
                    <w:jc w:val="center"/>
                    <w:rPr>
                      <w:rFonts w:hint="default"/>
                      <w:color w:val="auto"/>
                      <w:highlight w:val="none"/>
                      <w:lang w:val="en-US" w:eastAsia="zh-CN"/>
                    </w:rPr>
                  </w:pPr>
                  <w:r>
                    <w:rPr>
                      <w:rFonts w:hint="eastAsia"/>
                      <w:color w:val="auto"/>
                      <w:highlight w:val="none"/>
                      <w:lang w:val="en-US" w:eastAsia="zh-CN"/>
                    </w:rPr>
                    <w:t>电网供电</w:t>
                  </w:r>
                </w:p>
              </w:tc>
            </w:tr>
            <w:tr w14:paraId="7381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9" w:type="dxa"/>
                  <w:gridSpan w:val="2"/>
                  <w:vMerge w:val="continue"/>
                  <w:vAlign w:val="center"/>
                </w:tcPr>
                <w:p w14:paraId="21C79514">
                  <w:pPr>
                    <w:pStyle w:val="49"/>
                    <w:bidi w:val="0"/>
                    <w:jc w:val="center"/>
                    <w:rPr>
                      <w:rFonts w:hint="default"/>
                      <w:color w:val="auto"/>
                      <w:highlight w:val="none"/>
                      <w:lang w:val="en-US" w:eastAsia="zh-CN"/>
                    </w:rPr>
                  </w:pPr>
                </w:p>
              </w:tc>
              <w:tc>
                <w:tcPr>
                  <w:tcW w:w="1985" w:type="dxa"/>
                  <w:vAlign w:val="center"/>
                </w:tcPr>
                <w:p w14:paraId="51803260">
                  <w:pPr>
                    <w:pStyle w:val="49"/>
                    <w:bidi w:val="0"/>
                    <w:jc w:val="center"/>
                    <w:rPr>
                      <w:rFonts w:hint="default"/>
                      <w:color w:val="auto"/>
                      <w:highlight w:val="none"/>
                      <w:lang w:val="en-US" w:eastAsia="zh-CN"/>
                    </w:rPr>
                  </w:pPr>
                  <w:r>
                    <w:rPr>
                      <w:rFonts w:hint="eastAsia"/>
                      <w:color w:val="auto"/>
                      <w:highlight w:val="none"/>
                      <w:lang w:val="en-US" w:eastAsia="zh-CN"/>
                    </w:rPr>
                    <w:t>水</w:t>
                  </w:r>
                </w:p>
              </w:tc>
              <w:tc>
                <w:tcPr>
                  <w:tcW w:w="1457" w:type="dxa"/>
                  <w:vAlign w:val="center"/>
                </w:tcPr>
                <w:p w14:paraId="7D81C46C">
                  <w:pPr>
                    <w:pStyle w:val="49"/>
                    <w:bidi w:val="0"/>
                    <w:jc w:val="center"/>
                    <w:rPr>
                      <w:rFonts w:hint="default"/>
                      <w:color w:val="auto"/>
                      <w:highlight w:val="none"/>
                      <w:lang w:val="en-US" w:eastAsia="zh-CN"/>
                    </w:rPr>
                  </w:pPr>
                  <w:r>
                    <w:rPr>
                      <w:rFonts w:hint="eastAsia"/>
                      <w:color w:val="auto"/>
                      <w:highlight w:val="none"/>
                      <w:lang w:val="en-US" w:eastAsia="zh-CN"/>
                    </w:rPr>
                    <w:t>3879.9m</w:t>
                  </w:r>
                  <w:r>
                    <w:rPr>
                      <w:rFonts w:hint="eastAsia"/>
                      <w:color w:val="auto"/>
                      <w:highlight w:val="none"/>
                      <w:vertAlign w:val="superscript"/>
                      <w:lang w:val="en-US" w:eastAsia="zh-CN"/>
                    </w:rPr>
                    <w:t>3</w:t>
                  </w:r>
                  <w:r>
                    <w:rPr>
                      <w:rFonts w:hint="eastAsia"/>
                      <w:color w:val="auto"/>
                      <w:highlight w:val="none"/>
                      <w:lang w:val="en-US" w:eastAsia="zh-CN"/>
                    </w:rPr>
                    <w:t>/a</w:t>
                  </w:r>
                </w:p>
              </w:tc>
              <w:tc>
                <w:tcPr>
                  <w:tcW w:w="2234" w:type="dxa"/>
                  <w:vAlign w:val="center"/>
                </w:tcPr>
                <w:p w14:paraId="533F945D">
                  <w:pPr>
                    <w:pStyle w:val="49"/>
                    <w:bidi w:val="0"/>
                    <w:jc w:val="center"/>
                    <w:rPr>
                      <w:rFonts w:hint="default"/>
                      <w:color w:val="auto"/>
                      <w:highlight w:val="none"/>
                      <w:lang w:val="en-US" w:eastAsia="zh-CN"/>
                    </w:rPr>
                  </w:pPr>
                  <w:r>
                    <w:rPr>
                      <w:rFonts w:hint="eastAsia"/>
                      <w:color w:val="auto"/>
                      <w:highlight w:val="none"/>
                      <w:lang w:val="en-US" w:eastAsia="zh-CN"/>
                    </w:rPr>
                    <w:t>市政管网</w:t>
                  </w:r>
                </w:p>
              </w:tc>
            </w:tr>
          </w:tbl>
          <w:p w14:paraId="3AE3468D">
            <w:pPr>
              <w:pStyle w:val="11"/>
              <w:numPr>
                <w:ilvl w:val="0"/>
                <w:numId w:val="4"/>
              </w:numPr>
              <w:bidi w:val="0"/>
              <w:rPr>
                <w:rFonts w:hint="default"/>
                <w:color w:val="auto"/>
                <w:highlight w:val="none"/>
                <w:lang w:val="en-US" w:eastAsia="zh-CN"/>
              </w:rPr>
            </w:pPr>
            <w:r>
              <w:rPr>
                <w:rFonts w:hint="eastAsia"/>
                <w:color w:val="auto"/>
                <w:highlight w:val="none"/>
                <w:lang w:val="en-US" w:eastAsia="zh-CN"/>
              </w:rPr>
              <w:t>四氢噻吩理化性质</w:t>
            </w:r>
          </w:p>
          <w:p w14:paraId="6D50FEA9">
            <w:pPr>
              <w:pStyle w:val="11"/>
              <w:bidi w:val="0"/>
              <w:rPr>
                <w:rFonts w:hint="eastAsia"/>
                <w:color w:val="auto"/>
                <w:highlight w:val="none"/>
                <w:lang w:eastAsia="zh-CN"/>
              </w:rPr>
            </w:pPr>
            <w:r>
              <w:rPr>
                <w:color w:val="auto"/>
                <w:highlight w:val="none"/>
              </w:rPr>
              <w:t>四氢噻吩（Tetrahydrothiophene</w:t>
            </w:r>
            <w:r>
              <w:rPr>
                <w:rFonts w:hint="eastAsia"/>
                <w:color w:val="auto"/>
                <w:highlight w:val="none"/>
                <w:lang w:eastAsia="zh-CN"/>
              </w:rPr>
              <w:t>，</w:t>
            </w:r>
            <w:r>
              <w:rPr>
                <w:color w:val="auto"/>
                <w:highlight w:val="none"/>
              </w:rPr>
              <w:t>简称THT），是一种含硫的饱和杂环化合物</w:t>
            </w:r>
            <w:r>
              <w:rPr>
                <w:rFonts w:hint="eastAsia"/>
                <w:color w:val="auto"/>
                <w:highlight w:val="none"/>
                <w:lang w:eastAsia="zh-CN"/>
              </w:rPr>
              <w:t>，</w:t>
            </w:r>
            <w:r>
              <w:rPr>
                <w:color w:val="auto"/>
                <w:highlight w:val="none"/>
              </w:rPr>
              <w:t>化学式为C₄H₈S。</w:t>
            </w:r>
            <w:r>
              <w:rPr>
                <w:rFonts w:hint="eastAsia"/>
                <w:color w:val="auto"/>
                <w:highlight w:val="none"/>
              </w:rPr>
              <w:t>它在常温常压下是一种无色、透明、可挥发的油状液体，具有极其强烈、令人不快的恶臭气味，其气味阈值极低，即使浓度极低（ppb级）也能被敏锐察觉，这一特性使其最主要的用途是作为燃气添臭剂，用于给原本无味的天然气、液化石油气等添加警告性气味，以保障用气安全。其熔点为</w:t>
            </w:r>
            <w:r>
              <w:rPr>
                <w:rFonts w:hint="default" w:ascii="Times New Roman" w:hAnsi="Times New Roman" w:cs="Times New Roman"/>
                <w:color w:val="auto"/>
                <w:highlight w:val="none"/>
              </w:rPr>
              <w:t>-96.2°C，沸点为119°C，密度为0.9987g/cm³（20°C），</w:t>
            </w:r>
            <w:r>
              <w:rPr>
                <w:rFonts w:hint="eastAsia"/>
                <w:color w:val="auto"/>
                <w:highlight w:val="none"/>
              </w:rPr>
              <w:t>微溶于水，但与乙醇、乙醚、丙酮等大多数有机溶剂混溶</w:t>
            </w:r>
            <w:r>
              <w:rPr>
                <w:rFonts w:hint="eastAsia"/>
                <w:color w:val="auto"/>
                <w:highlight w:val="none"/>
                <w:lang w:eastAsia="zh-CN"/>
              </w:rPr>
              <w:t>。</w:t>
            </w:r>
          </w:p>
          <w:p w14:paraId="763F081E">
            <w:pPr>
              <w:pStyle w:val="11"/>
              <w:numPr>
                <w:ilvl w:val="0"/>
                <w:numId w:val="4"/>
              </w:numPr>
              <w:bidi w:val="0"/>
              <w:ind w:left="0" w:leftChars="0" w:firstLine="480" w:firstLineChars="200"/>
              <w:rPr>
                <w:rFonts w:hint="eastAsia"/>
                <w:color w:val="auto"/>
                <w:highlight w:val="none"/>
                <w:lang w:val="en-US" w:eastAsia="zh-CN"/>
              </w:rPr>
            </w:pPr>
            <w:r>
              <w:rPr>
                <w:rFonts w:hint="eastAsia"/>
                <w:color w:val="auto"/>
                <w:highlight w:val="none"/>
                <w:lang w:val="en-US" w:eastAsia="zh-CN"/>
              </w:rPr>
              <w:t>氮磷钾浓缩乳液</w:t>
            </w:r>
          </w:p>
          <w:p w14:paraId="4A58F471">
            <w:pPr>
              <w:pStyle w:val="11"/>
              <w:bidi w:val="0"/>
              <w:rPr>
                <w:rFonts w:hint="eastAsia"/>
                <w:color w:val="auto"/>
                <w:highlight w:val="none"/>
              </w:rPr>
            </w:pPr>
            <w:r>
              <w:rPr>
                <w:rFonts w:hint="eastAsia"/>
                <w:color w:val="auto"/>
                <w:highlight w:val="none"/>
              </w:rPr>
              <w:t>氮磷钾浓缩乳液为高浓度均质凝胶型液体肥料，呈棕黄色</w:t>
            </w:r>
            <w:r>
              <w:rPr>
                <w:rFonts w:hint="eastAsia"/>
                <w:color w:val="auto"/>
                <w:highlight w:val="none"/>
                <w:lang w:eastAsia="zh-CN"/>
              </w:rPr>
              <w:t>黏稠</w:t>
            </w:r>
            <w:r>
              <w:rPr>
                <w:rFonts w:hint="eastAsia"/>
                <w:color w:val="auto"/>
                <w:highlight w:val="none"/>
              </w:rPr>
              <w:t>乳液状，常温下流动性良好，相对密度1.35~1.50，原液pH6.0~7.0，呈弱中性；总氮磷钾养分总量≥400g/L，水不溶物≤1.0%，与水、畜禽粪便、秸秆炭粉可任意比例均匀混合。产品常温稳定、不可燃，仅敞口条件下微量释放氨气；重金属含量符合肥料安全限值，不属于危险化学品，但液体易渗漏，储存区需配套防渗地面、收集围堰，防止氮磷淋溶污染土壤及地下水。</w:t>
            </w:r>
          </w:p>
          <w:p w14:paraId="356C78BA">
            <w:pPr>
              <w:pStyle w:val="11"/>
              <w:bidi w:val="0"/>
              <w:rPr>
                <w:rFonts w:hint="eastAsia"/>
                <w:color w:val="auto"/>
                <w:highlight w:val="none"/>
              </w:rPr>
            </w:pPr>
            <w:r>
              <w:rPr>
                <w:rFonts w:hint="eastAsia"/>
                <w:color w:val="auto"/>
                <w:highlight w:val="none"/>
              </w:rPr>
              <w:t>本项目生产原料以洋县本地水稻、油菜、玉米等农作物秸秆为主。洋县耕地种植规模稳定，秸秆产出量大，扣除秸秆还田、饲料化利用等刚需消耗后，县域富余可离田秸秆资源充沛；厂区配套秸秆原料库房可储存约 3 个月生产所需原料，能够有效平抑秸秆产出季节性波动，原料供给稳定可靠，可保障装置长期连续稳定运行。</w:t>
            </w:r>
          </w:p>
          <w:p w14:paraId="63B4CBC2">
            <w:pPr>
              <w:pStyle w:val="11"/>
              <w:numPr>
                <w:ilvl w:val="0"/>
                <w:numId w:val="2"/>
              </w:numPr>
              <w:bidi w:val="0"/>
              <w:ind w:left="0" w:leftChars="0" w:right="0" w:rightChars="0" w:firstLine="482" w:firstLineChars="200"/>
              <w:rPr>
                <w:rFonts w:hint="eastAsia"/>
                <w:b/>
                <w:bCs/>
                <w:color w:val="auto"/>
                <w:highlight w:val="none"/>
                <w:lang w:val="en-US" w:eastAsia="zh-CN"/>
              </w:rPr>
            </w:pPr>
            <w:r>
              <w:rPr>
                <w:rFonts w:hint="eastAsia"/>
                <w:b/>
                <w:bCs/>
                <w:color w:val="auto"/>
                <w:highlight w:val="none"/>
                <w:lang w:val="en-US" w:eastAsia="zh-CN"/>
              </w:rPr>
              <w:t>公用工程</w:t>
            </w:r>
          </w:p>
          <w:p w14:paraId="3BF6B658">
            <w:pPr>
              <w:pStyle w:val="11"/>
              <w:numPr>
                <w:ilvl w:val="0"/>
                <w:numId w:val="5"/>
              </w:numPr>
              <w:bidi w:val="0"/>
              <w:rPr>
                <w:rFonts w:hint="eastAsia"/>
                <w:color w:val="auto"/>
                <w:highlight w:val="none"/>
              </w:rPr>
            </w:pPr>
            <w:r>
              <w:rPr>
                <w:rFonts w:hint="eastAsia"/>
                <w:color w:val="auto"/>
                <w:highlight w:val="none"/>
                <w:lang w:val="en-US" w:eastAsia="zh-CN"/>
              </w:rPr>
              <w:t>给排</w:t>
            </w:r>
            <w:r>
              <w:rPr>
                <w:rFonts w:hint="eastAsia"/>
                <w:color w:val="auto"/>
                <w:highlight w:val="none"/>
              </w:rPr>
              <w:t>水</w:t>
            </w:r>
          </w:p>
          <w:p w14:paraId="12A9B812">
            <w:pPr>
              <w:pStyle w:val="11"/>
              <w:bidi w:val="0"/>
              <w:rPr>
                <w:rFonts w:hint="eastAsia"/>
                <w:color w:val="auto"/>
                <w:highlight w:val="none"/>
              </w:rPr>
            </w:pPr>
            <w:r>
              <w:rPr>
                <w:rFonts w:hint="eastAsia"/>
                <w:color w:val="auto"/>
                <w:highlight w:val="none"/>
              </w:rPr>
              <w:t>项目水源来自</w:t>
            </w:r>
            <w:r>
              <w:rPr>
                <w:rFonts w:hint="eastAsia"/>
                <w:color w:val="auto"/>
                <w:highlight w:val="none"/>
                <w:lang w:val="en-US" w:eastAsia="zh-CN"/>
              </w:rPr>
              <w:t>洋县</w:t>
            </w:r>
            <w:r>
              <w:rPr>
                <w:rFonts w:hint="eastAsia"/>
                <w:color w:val="auto"/>
                <w:highlight w:val="none"/>
              </w:rPr>
              <w:t>自来水管网供给项目用水，用水主要为</w:t>
            </w:r>
            <w:r>
              <w:rPr>
                <w:rFonts w:hint="eastAsia"/>
                <w:color w:val="auto"/>
                <w:highlight w:val="none"/>
                <w:lang w:val="en-US" w:eastAsia="zh-CN"/>
              </w:rPr>
              <w:t>生产用</w:t>
            </w:r>
            <w:r>
              <w:rPr>
                <w:rFonts w:hint="eastAsia"/>
                <w:color w:val="auto"/>
                <w:highlight w:val="none"/>
              </w:rPr>
              <w:t>水</w:t>
            </w:r>
            <w:r>
              <w:rPr>
                <w:rFonts w:hint="eastAsia"/>
                <w:color w:val="auto"/>
                <w:highlight w:val="none"/>
                <w:lang w:val="en-US" w:eastAsia="zh-CN"/>
              </w:rPr>
              <w:t>及</w:t>
            </w:r>
            <w:r>
              <w:rPr>
                <w:rFonts w:hint="eastAsia"/>
                <w:color w:val="auto"/>
                <w:highlight w:val="none"/>
              </w:rPr>
              <w:t>职工生活用水。</w:t>
            </w:r>
          </w:p>
          <w:p w14:paraId="78AB9D35">
            <w:pPr>
              <w:pStyle w:val="11"/>
              <w:bidi w:val="0"/>
              <w:rPr>
                <w:color w:val="auto"/>
                <w:highlight w:val="none"/>
              </w:rPr>
            </w:pPr>
            <w:r>
              <w:rPr>
                <w:rFonts w:hint="eastAsia"/>
                <w:color w:val="auto"/>
                <w:highlight w:val="none"/>
              </w:rPr>
              <w:t>1）生产用水</w:t>
            </w:r>
          </w:p>
          <w:p w14:paraId="7D6E656C">
            <w:pPr>
              <w:pStyle w:val="11"/>
              <w:bidi w:val="0"/>
              <w:rPr>
                <w:rFonts w:hint="eastAsia"/>
                <w:color w:val="auto"/>
                <w:highlight w:val="none"/>
                <w:lang w:val="en-US" w:eastAsia="zh-CN"/>
              </w:rPr>
            </w:pPr>
            <w:r>
              <w:rPr>
                <w:rFonts w:hint="eastAsia"/>
                <w:color w:val="auto"/>
                <w:highlight w:val="none"/>
                <w:lang w:val="en-US" w:eastAsia="zh-CN"/>
              </w:rPr>
              <w:t>①冷凝循环用水</w:t>
            </w:r>
          </w:p>
          <w:p w14:paraId="0595BF5F">
            <w:pPr>
              <w:pStyle w:val="11"/>
              <w:bidi w:val="0"/>
              <w:rPr>
                <w:rFonts w:hint="eastAsia"/>
                <w:color w:val="auto"/>
                <w:highlight w:val="none"/>
              </w:rPr>
            </w:pPr>
            <w:r>
              <w:rPr>
                <w:rFonts w:hint="eastAsia"/>
                <w:color w:val="auto"/>
                <w:highlight w:val="none"/>
              </w:rPr>
              <w:t>本项目通过冷</w:t>
            </w:r>
            <w:r>
              <w:rPr>
                <w:rFonts w:hint="eastAsia"/>
                <w:color w:val="auto"/>
                <w:highlight w:val="none"/>
                <w:lang w:val="en-US" w:eastAsia="zh-CN"/>
              </w:rPr>
              <w:t>凝</w:t>
            </w:r>
            <w:r>
              <w:rPr>
                <w:rFonts w:hint="eastAsia"/>
                <w:color w:val="auto"/>
                <w:highlight w:val="none"/>
              </w:rPr>
              <w:t>器对烟气</w:t>
            </w:r>
            <w:r>
              <w:rPr>
                <w:rFonts w:hint="eastAsia"/>
                <w:color w:val="auto"/>
                <w:highlight w:val="none"/>
                <w:lang w:val="en-US" w:eastAsia="zh-CN"/>
              </w:rPr>
              <w:t>进行间接冷凝降温</w:t>
            </w:r>
            <w:r>
              <w:rPr>
                <w:rFonts w:hint="eastAsia"/>
                <w:color w:val="auto"/>
                <w:highlight w:val="none"/>
              </w:rPr>
              <w:t>，使高温烟气在降温的过程中</w:t>
            </w:r>
            <w:r>
              <w:rPr>
                <w:rFonts w:hint="eastAsia"/>
                <w:color w:val="auto"/>
                <w:highlight w:val="none"/>
                <w:lang w:val="en-US" w:eastAsia="zh-CN"/>
              </w:rPr>
              <w:t>实现气液两相的分离</w:t>
            </w:r>
            <w:r>
              <w:rPr>
                <w:rFonts w:hint="eastAsia"/>
                <w:color w:val="auto"/>
                <w:highlight w:val="none"/>
              </w:rPr>
              <w:t>，根据建设方提供的资料，该系统设有1个容积约为6</w:t>
            </w:r>
            <w:r>
              <w:rPr>
                <w:rFonts w:hint="eastAsia"/>
                <w:color w:val="auto"/>
                <w:highlight w:val="none"/>
                <w:lang w:val="en-US" w:eastAsia="zh-CN"/>
              </w:rPr>
              <w:t>0</w:t>
            </w:r>
            <w:r>
              <w:rPr>
                <w:color w:val="auto"/>
                <w:highlight w:val="none"/>
              </w:rPr>
              <w:t>m</w:t>
            </w:r>
            <w:r>
              <w:rPr>
                <w:color w:val="auto"/>
                <w:highlight w:val="none"/>
                <w:vertAlign w:val="superscript"/>
              </w:rPr>
              <w:t>3</w:t>
            </w:r>
            <w:r>
              <w:rPr>
                <w:rFonts w:hint="eastAsia"/>
                <w:color w:val="auto"/>
                <w:highlight w:val="none"/>
              </w:rPr>
              <w:t>的循环水池，循环水量约为3m</w:t>
            </w:r>
            <w:r>
              <w:rPr>
                <w:rFonts w:hint="eastAsia"/>
                <w:color w:val="auto"/>
                <w:highlight w:val="none"/>
                <w:vertAlign w:val="superscript"/>
              </w:rPr>
              <w:t>3</w:t>
            </w:r>
            <w:r>
              <w:rPr>
                <w:rFonts w:hint="eastAsia"/>
                <w:color w:val="auto"/>
                <w:highlight w:val="none"/>
              </w:rPr>
              <w:t>/h，平均补充水量约为</w:t>
            </w:r>
            <w:r>
              <w:rPr>
                <w:rFonts w:hint="eastAsia"/>
                <w:color w:val="auto"/>
                <w:highlight w:val="none"/>
                <w:lang w:val="en-US" w:eastAsia="zh-CN"/>
              </w:rPr>
              <w:t>6</w:t>
            </w:r>
            <w:r>
              <w:rPr>
                <w:rFonts w:hint="eastAsia"/>
                <w:color w:val="auto"/>
                <w:highlight w:val="none"/>
              </w:rPr>
              <w:t>m</w:t>
            </w:r>
            <w:r>
              <w:rPr>
                <w:rFonts w:hint="eastAsia"/>
                <w:color w:val="auto"/>
                <w:highlight w:val="none"/>
                <w:vertAlign w:val="superscript"/>
              </w:rPr>
              <w:t>3</w:t>
            </w:r>
            <w:r>
              <w:rPr>
                <w:rFonts w:hint="eastAsia"/>
                <w:color w:val="auto"/>
                <w:highlight w:val="none"/>
              </w:rPr>
              <w:t>/d，1</w:t>
            </w:r>
            <w:r>
              <w:rPr>
                <w:rFonts w:hint="eastAsia"/>
                <w:color w:val="auto"/>
                <w:highlight w:val="none"/>
                <w:lang w:val="en-US" w:eastAsia="zh-CN"/>
              </w:rPr>
              <w:t>8</w:t>
            </w:r>
            <w:r>
              <w:rPr>
                <w:rFonts w:hint="eastAsia"/>
                <w:color w:val="auto"/>
                <w:highlight w:val="none"/>
              </w:rPr>
              <w:t>00m</w:t>
            </w:r>
            <w:r>
              <w:rPr>
                <w:rFonts w:hint="eastAsia"/>
                <w:color w:val="auto"/>
                <w:highlight w:val="none"/>
                <w:vertAlign w:val="superscript"/>
              </w:rPr>
              <w:t>3</w:t>
            </w:r>
            <w:r>
              <w:rPr>
                <w:rFonts w:hint="eastAsia"/>
                <w:color w:val="auto"/>
                <w:highlight w:val="none"/>
              </w:rPr>
              <w:t>/a，该部分水定期添加，循环利用不外排。</w:t>
            </w:r>
          </w:p>
          <w:p w14:paraId="0C23DDF7">
            <w:pPr>
              <w:pStyle w:val="11"/>
              <w:bidi w:val="0"/>
              <w:rPr>
                <w:rFonts w:hint="eastAsia"/>
                <w:color w:val="auto"/>
                <w:highlight w:val="none"/>
                <w:lang w:val="en-US" w:eastAsia="zh-CN"/>
              </w:rPr>
            </w:pPr>
            <w:r>
              <w:rPr>
                <w:rFonts w:hint="eastAsia"/>
                <w:color w:val="auto"/>
                <w:highlight w:val="none"/>
                <w:lang w:val="en-US" w:eastAsia="zh-CN"/>
              </w:rPr>
              <w:t>②绿化洒水用水</w:t>
            </w:r>
          </w:p>
          <w:p w14:paraId="36F606FD">
            <w:pPr>
              <w:pStyle w:val="11"/>
              <w:bidi w:val="0"/>
              <w:rPr>
                <w:rFonts w:hint="default" w:eastAsia="宋体"/>
                <w:color w:val="auto"/>
                <w:highlight w:val="none"/>
                <w:vertAlign w:val="baseline"/>
                <w:lang w:val="en-US" w:eastAsia="zh-CN"/>
              </w:rPr>
            </w:pPr>
            <w:r>
              <w:rPr>
                <w:rFonts w:hint="eastAsia"/>
                <w:color w:val="auto"/>
                <w:highlight w:val="none"/>
                <w:lang w:val="en-US" w:eastAsia="zh-CN"/>
              </w:rPr>
              <w:t>本项目厂区绿化面积为4950m</w:t>
            </w:r>
            <w:r>
              <w:rPr>
                <w:rFonts w:hint="eastAsia"/>
                <w:color w:val="auto"/>
                <w:highlight w:val="none"/>
                <w:vertAlign w:val="superscript"/>
                <w:lang w:val="en-US" w:eastAsia="zh-CN"/>
              </w:rPr>
              <w:t>2</w:t>
            </w:r>
            <w:r>
              <w:rPr>
                <w:rFonts w:hint="eastAsia"/>
                <w:color w:val="auto"/>
                <w:highlight w:val="none"/>
                <w:vertAlign w:val="baseline"/>
                <w:lang w:val="en-US" w:eastAsia="zh-CN"/>
              </w:rPr>
              <w:t>，根据</w:t>
            </w:r>
            <w:r>
              <w:rPr>
                <w:color w:val="auto"/>
                <w:highlight w:val="none"/>
              </w:rPr>
              <w:t>《行业用水定额》</w:t>
            </w:r>
            <w:r>
              <w:rPr>
                <w:rFonts w:hint="eastAsia"/>
                <w:color w:val="auto"/>
                <w:highlight w:val="none"/>
              </w:rPr>
              <w:t>（DB61/T943-2020），</w:t>
            </w:r>
            <w:r>
              <w:rPr>
                <w:color w:val="auto"/>
                <w:highlight w:val="none"/>
              </w:rPr>
              <w:t>用水</w:t>
            </w:r>
            <w:r>
              <w:rPr>
                <w:rFonts w:hint="eastAsia"/>
                <w:color w:val="auto"/>
                <w:highlight w:val="none"/>
              </w:rPr>
              <w:t>定额取</w:t>
            </w:r>
            <w:r>
              <w:rPr>
                <w:rFonts w:hint="eastAsia"/>
                <w:color w:val="auto"/>
                <w:highlight w:val="none"/>
                <w:lang w:val="en-US" w:eastAsia="zh-CN"/>
              </w:rPr>
              <w:t>1.2</w:t>
            </w:r>
            <w:r>
              <w:rPr>
                <w:color w:val="auto"/>
                <w:highlight w:val="none"/>
              </w:rPr>
              <w:t>L/</w:t>
            </w:r>
            <w:r>
              <w:rPr>
                <w:rFonts w:hint="eastAsia"/>
                <w:color w:val="auto"/>
                <w:highlight w:val="none"/>
                <w:lang w:eastAsia="zh-CN"/>
              </w:rPr>
              <w:t>（</w:t>
            </w:r>
            <w:r>
              <w:rPr>
                <w:rFonts w:hint="eastAsia"/>
                <w:color w:val="auto"/>
                <w:highlight w:val="none"/>
                <w:lang w:val="en-US" w:eastAsia="zh-CN"/>
              </w:rPr>
              <w:t>m</w:t>
            </w:r>
            <w:r>
              <w:rPr>
                <w:rFonts w:hint="eastAsia"/>
                <w:color w:val="auto"/>
                <w:highlight w:val="none"/>
                <w:vertAlign w:val="superscript"/>
                <w:lang w:val="en-US" w:eastAsia="zh-CN"/>
              </w:rPr>
              <w:t>2</w:t>
            </w:r>
            <w:r>
              <w:rPr>
                <w:color w:val="auto"/>
                <w:highlight w:val="none"/>
              </w:rPr>
              <w:t>·d</w:t>
            </w:r>
            <w:r>
              <w:rPr>
                <w:rFonts w:hint="eastAsia"/>
                <w:color w:val="auto"/>
                <w:highlight w:val="none"/>
                <w:lang w:eastAsia="zh-CN"/>
              </w:rPr>
              <w:t>），</w:t>
            </w:r>
            <w:r>
              <w:rPr>
                <w:rFonts w:hint="eastAsia"/>
                <w:color w:val="auto"/>
                <w:highlight w:val="none"/>
                <w:lang w:val="en-US" w:eastAsia="zh-CN"/>
              </w:rPr>
              <w:t>则绿化洒水用水量为5.94m</w:t>
            </w:r>
            <w:r>
              <w:rPr>
                <w:rFonts w:hint="eastAsia"/>
                <w:color w:val="auto"/>
                <w:highlight w:val="none"/>
                <w:vertAlign w:val="superscript"/>
                <w:lang w:val="en-US" w:eastAsia="zh-CN"/>
              </w:rPr>
              <w:t>3</w:t>
            </w:r>
            <w:r>
              <w:rPr>
                <w:rFonts w:hint="eastAsia"/>
                <w:color w:val="auto"/>
                <w:highlight w:val="none"/>
                <w:vertAlign w:val="baseline"/>
                <w:lang w:val="en-US" w:eastAsia="zh-CN"/>
              </w:rPr>
              <w:t>/d，年用水量为1782m</w:t>
            </w:r>
            <w:r>
              <w:rPr>
                <w:rFonts w:hint="eastAsia"/>
                <w:color w:val="auto"/>
                <w:highlight w:val="none"/>
                <w:vertAlign w:val="superscript"/>
                <w:lang w:val="en-US" w:eastAsia="zh-CN"/>
              </w:rPr>
              <w:t>3</w:t>
            </w:r>
            <w:r>
              <w:rPr>
                <w:rFonts w:hint="eastAsia"/>
                <w:color w:val="auto"/>
                <w:highlight w:val="none"/>
                <w:vertAlign w:val="baseline"/>
                <w:lang w:val="en-US" w:eastAsia="zh-CN"/>
              </w:rPr>
              <w:t>/a，全部蒸发损耗，不外排。</w:t>
            </w:r>
          </w:p>
          <w:p w14:paraId="674C4210">
            <w:pPr>
              <w:pStyle w:val="11"/>
              <w:bidi w:val="0"/>
              <w:rPr>
                <w:rFonts w:hint="eastAsia"/>
                <w:color w:val="auto"/>
                <w:highlight w:val="none"/>
                <w:lang w:val="en-US" w:eastAsia="zh-CN"/>
              </w:rPr>
            </w:pPr>
            <w:r>
              <w:rPr>
                <w:rFonts w:hint="eastAsia"/>
                <w:color w:val="auto"/>
                <w:highlight w:val="none"/>
                <w:lang w:val="en-US" w:eastAsia="zh-CN"/>
              </w:rPr>
              <w:t>④肥料产线用水</w:t>
            </w:r>
          </w:p>
          <w:p w14:paraId="082608BE">
            <w:pPr>
              <w:pStyle w:val="11"/>
              <w:bidi w:val="0"/>
              <w:rPr>
                <w:rFonts w:hint="default"/>
                <w:color w:val="auto"/>
                <w:highlight w:val="none"/>
                <w:lang w:val="en-US" w:eastAsia="zh-CN"/>
              </w:rPr>
            </w:pPr>
            <w:r>
              <w:rPr>
                <w:rFonts w:hint="eastAsia"/>
                <w:color w:val="auto"/>
                <w:highlight w:val="none"/>
                <w:lang w:val="en-US" w:eastAsia="zh-CN"/>
              </w:rPr>
              <w:t>生产有机肥需要加水搅拌，根据企业提供的相关资料，肥料产线用水定期补水，总补水量为10m</w:t>
            </w:r>
            <w:r>
              <w:rPr>
                <w:rFonts w:hint="eastAsia"/>
                <w:color w:val="auto"/>
                <w:highlight w:val="none"/>
                <w:vertAlign w:val="superscript"/>
                <w:lang w:val="en-US" w:eastAsia="zh-CN"/>
              </w:rPr>
              <w:t>3</w:t>
            </w:r>
            <w:r>
              <w:rPr>
                <w:rFonts w:hint="eastAsia"/>
                <w:color w:val="auto"/>
                <w:highlight w:val="none"/>
                <w:lang w:val="en-US" w:eastAsia="zh-CN"/>
              </w:rPr>
              <w:t>/a，平约为0.033m</w:t>
            </w:r>
            <w:r>
              <w:rPr>
                <w:rFonts w:hint="eastAsia"/>
                <w:color w:val="auto"/>
                <w:highlight w:val="none"/>
                <w:vertAlign w:val="superscript"/>
                <w:lang w:val="en-US" w:eastAsia="zh-CN"/>
              </w:rPr>
              <w:t>3</w:t>
            </w:r>
            <w:r>
              <w:rPr>
                <w:rFonts w:hint="eastAsia"/>
                <w:color w:val="auto"/>
                <w:highlight w:val="none"/>
                <w:lang w:val="en-US" w:eastAsia="zh-CN"/>
              </w:rPr>
              <w:t>/d，全部随产品带走，不外排。</w:t>
            </w:r>
          </w:p>
          <w:p w14:paraId="24957C08">
            <w:pPr>
              <w:pStyle w:val="11"/>
              <w:bidi w:val="0"/>
              <w:rPr>
                <w:rFonts w:hint="eastAsia"/>
                <w:color w:val="auto"/>
                <w:highlight w:val="none"/>
                <w:lang w:eastAsia="zh-CN"/>
              </w:rPr>
            </w:pPr>
            <w:r>
              <w:rPr>
                <w:rFonts w:hint="eastAsia"/>
                <w:color w:val="auto"/>
                <w:highlight w:val="none"/>
              </w:rPr>
              <w:t>2）</w:t>
            </w:r>
            <w:r>
              <w:rPr>
                <w:rFonts w:hint="eastAsia"/>
                <w:color w:val="auto"/>
                <w:highlight w:val="none"/>
                <w:lang w:val="en-US" w:eastAsia="zh-CN"/>
              </w:rPr>
              <w:t>生活污水</w:t>
            </w:r>
          </w:p>
          <w:p w14:paraId="69910E0B">
            <w:pPr>
              <w:pStyle w:val="11"/>
              <w:bidi w:val="0"/>
              <w:rPr>
                <w:rFonts w:hint="default"/>
                <w:color w:val="auto"/>
                <w:highlight w:val="none"/>
                <w:lang w:val="en-US" w:eastAsia="zh-CN"/>
              </w:rPr>
            </w:pPr>
            <w:r>
              <w:rPr>
                <w:rFonts w:hint="eastAsia"/>
                <w:color w:val="auto"/>
                <w:highlight w:val="none"/>
              </w:rPr>
              <w:t>本项目劳动定员共</w:t>
            </w:r>
            <w:r>
              <w:rPr>
                <w:rFonts w:hint="eastAsia"/>
                <w:color w:val="auto"/>
                <w:highlight w:val="none"/>
                <w:lang w:val="en-US" w:eastAsia="zh-CN"/>
              </w:rPr>
              <w:t>12</w:t>
            </w:r>
            <w:r>
              <w:rPr>
                <w:rFonts w:hint="eastAsia"/>
                <w:color w:val="auto"/>
                <w:highlight w:val="none"/>
              </w:rPr>
              <w:t>人，厂区内</w:t>
            </w:r>
            <w:r>
              <w:rPr>
                <w:rFonts w:hint="eastAsia"/>
                <w:color w:val="auto"/>
                <w:highlight w:val="none"/>
                <w:lang w:val="en-US" w:eastAsia="zh-CN"/>
              </w:rPr>
              <w:t>设有食堂</w:t>
            </w:r>
            <w:r>
              <w:rPr>
                <w:rFonts w:hint="eastAsia"/>
                <w:color w:val="auto"/>
                <w:highlight w:val="none"/>
              </w:rPr>
              <w:t>，</w:t>
            </w:r>
            <w:r>
              <w:rPr>
                <w:color w:val="auto"/>
                <w:highlight w:val="none"/>
              </w:rPr>
              <w:t>参照《行业用水定额》</w:t>
            </w:r>
            <w:r>
              <w:rPr>
                <w:rFonts w:hint="eastAsia"/>
                <w:color w:val="auto"/>
                <w:highlight w:val="none"/>
              </w:rPr>
              <w:t>（DB61/T943-2020），</w:t>
            </w:r>
            <w:r>
              <w:rPr>
                <w:color w:val="auto"/>
                <w:highlight w:val="none"/>
              </w:rPr>
              <w:t>用水</w:t>
            </w:r>
            <w:r>
              <w:rPr>
                <w:rFonts w:hint="eastAsia"/>
                <w:color w:val="auto"/>
                <w:highlight w:val="none"/>
              </w:rPr>
              <w:t>定额取</w:t>
            </w:r>
            <w:r>
              <w:rPr>
                <w:rFonts w:hint="eastAsia"/>
                <w:color w:val="auto"/>
                <w:highlight w:val="none"/>
                <w:lang w:val="en-US" w:eastAsia="zh-CN"/>
              </w:rPr>
              <w:t>80</w:t>
            </w:r>
            <w:r>
              <w:rPr>
                <w:color w:val="auto"/>
                <w:highlight w:val="none"/>
              </w:rPr>
              <w:t>L/d·人，则员工生活用水量</w:t>
            </w:r>
            <w:r>
              <w:rPr>
                <w:rFonts w:hint="eastAsia"/>
                <w:color w:val="auto"/>
                <w:highlight w:val="none"/>
              </w:rPr>
              <w:t>共</w:t>
            </w:r>
            <w:r>
              <w:rPr>
                <w:color w:val="auto"/>
                <w:highlight w:val="none"/>
              </w:rPr>
              <w:t>为</w:t>
            </w:r>
            <w:r>
              <w:rPr>
                <w:rFonts w:hint="eastAsia"/>
                <w:color w:val="auto"/>
                <w:highlight w:val="none"/>
                <w:lang w:val="en-US" w:eastAsia="zh-CN"/>
              </w:rPr>
              <w:t>0.96</w:t>
            </w:r>
            <w:r>
              <w:rPr>
                <w:rFonts w:hint="eastAsia"/>
                <w:color w:val="auto"/>
                <w:highlight w:val="none"/>
              </w:rPr>
              <w:t>m</w:t>
            </w:r>
            <w:r>
              <w:rPr>
                <w:rFonts w:hint="eastAsia"/>
                <w:color w:val="auto"/>
                <w:highlight w:val="none"/>
                <w:vertAlign w:val="superscript"/>
              </w:rPr>
              <w:t>3</w:t>
            </w:r>
            <w:r>
              <w:rPr>
                <w:color w:val="auto"/>
                <w:highlight w:val="none"/>
              </w:rPr>
              <w:t>/d，</w:t>
            </w:r>
            <w:r>
              <w:rPr>
                <w:rFonts w:hint="eastAsia"/>
                <w:color w:val="auto"/>
                <w:highlight w:val="none"/>
                <w:lang w:val="en-US" w:eastAsia="zh-CN"/>
              </w:rPr>
              <w:t>350.4</w:t>
            </w:r>
            <w:r>
              <w:rPr>
                <w:rFonts w:hint="eastAsia"/>
                <w:color w:val="auto"/>
                <w:highlight w:val="none"/>
              </w:rPr>
              <w:t>m</w:t>
            </w:r>
            <w:r>
              <w:rPr>
                <w:rFonts w:hint="eastAsia"/>
                <w:color w:val="auto"/>
                <w:highlight w:val="none"/>
                <w:vertAlign w:val="superscript"/>
              </w:rPr>
              <w:t>3</w:t>
            </w:r>
            <w:r>
              <w:rPr>
                <w:color w:val="auto"/>
                <w:highlight w:val="none"/>
              </w:rPr>
              <w:t>/a，产污系数以0.8计，生活污水产生量</w:t>
            </w:r>
            <w:r>
              <w:rPr>
                <w:rFonts w:hint="eastAsia"/>
                <w:color w:val="auto"/>
                <w:highlight w:val="none"/>
                <w:lang w:val="en-US" w:eastAsia="zh-CN"/>
              </w:rPr>
              <w:t>0.77</w:t>
            </w:r>
            <w:r>
              <w:rPr>
                <w:rFonts w:hint="eastAsia"/>
                <w:color w:val="auto"/>
                <w:highlight w:val="none"/>
              </w:rPr>
              <w:t>m</w:t>
            </w:r>
            <w:r>
              <w:rPr>
                <w:rFonts w:hint="eastAsia"/>
                <w:color w:val="auto"/>
                <w:highlight w:val="none"/>
                <w:vertAlign w:val="superscript"/>
              </w:rPr>
              <w:t>3</w:t>
            </w:r>
            <w:r>
              <w:rPr>
                <w:color w:val="auto"/>
                <w:highlight w:val="none"/>
              </w:rPr>
              <w:t>/d，</w:t>
            </w:r>
            <w:r>
              <w:rPr>
                <w:rFonts w:hint="eastAsia"/>
                <w:color w:val="auto"/>
                <w:highlight w:val="none"/>
                <w:lang w:val="en-US" w:eastAsia="zh-CN"/>
              </w:rPr>
              <w:t>280.32</w:t>
            </w:r>
            <w:r>
              <w:rPr>
                <w:rFonts w:hint="eastAsia"/>
                <w:color w:val="auto"/>
                <w:highlight w:val="none"/>
              </w:rPr>
              <w:t>m</w:t>
            </w:r>
            <w:r>
              <w:rPr>
                <w:rFonts w:hint="eastAsia"/>
                <w:color w:val="auto"/>
                <w:highlight w:val="none"/>
                <w:vertAlign w:val="superscript"/>
              </w:rPr>
              <w:t>3</w:t>
            </w:r>
            <w:r>
              <w:rPr>
                <w:color w:val="auto"/>
                <w:highlight w:val="none"/>
              </w:rPr>
              <w:t>/a</w:t>
            </w:r>
            <w:r>
              <w:rPr>
                <w:rFonts w:hint="eastAsia"/>
                <w:color w:val="auto"/>
                <w:highlight w:val="none"/>
                <w:lang w:eastAsia="zh-CN"/>
              </w:rPr>
              <w:t>。</w:t>
            </w:r>
            <w:r>
              <w:rPr>
                <w:rFonts w:hint="eastAsia"/>
                <w:color w:val="auto"/>
                <w:highlight w:val="none"/>
              </w:rPr>
              <w:t>生活污水经</w:t>
            </w:r>
            <w:r>
              <w:rPr>
                <w:rFonts w:hint="eastAsia"/>
                <w:color w:val="auto"/>
                <w:highlight w:val="none"/>
                <w:lang w:val="en-US" w:eastAsia="zh-CN"/>
              </w:rPr>
              <w:t>化粪池</w:t>
            </w:r>
            <w:r>
              <w:rPr>
                <w:rFonts w:hint="eastAsia"/>
                <w:color w:val="auto"/>
                <w:highlight w:val="none"/>
              </w:rPr>
              <w:t>（化粪池容积为</w:t>
            </w:r>
            <w:r>
              <w:rPr>
                <w:rFonts w:hint="eastAsia"/>
                <w:color w:val="auto"/>
                <w:highlight w:val="none"/>
                <w:lang w:val="en-US" w:eastAsia="zh-CN"/>
              </w:rPr>
              <w:t>8</w:t>
            </w:r>
            <w:r>
              <w:rPr>
                <w:rFonts w:hint="eastAsia"/>
                <w:color w:val="auto"/>
                <w:highlight w:val="none"/>
              </w:rPr>
              <w:t>m</w:t>
            </w:r>
            <w:r>
              <w:rPr>
                <w:rFonts w:hint="eastAsia"/>
                <w:color w:val="auto"/>
                <w:highlight w:val="none"/>
                <w:vertAlign w:val="superscript"/>
                <w:lang w:val="en-US" w:eastAsia="zh-CN"/>
              </w:rPr>
              <w:t>3</w:t>
            </w:r>
            <w:r>
              <w:rPr>
                <w:rFonts w:hint="eastAsia"/>
                <w:color w:val="auto"/>
                <w:highlight w:val="none"/>
                <w:lang w:eastAsia="zh-CN"/>
              </w:rPr>
              <w:t>）</w:t>
            </w:r>
            <w:r>
              <w:rPr>
                <w:rFonts w:hint="eastAsia"/>
                <w:color w:val="auto"/>
                <w:highlight w:val="none"/>
                <w:lang w:val="en-US" w:eastAsia="zh-CN"/>
              </w:rPr>
              <w:t>处理，定期清掏用作</w:t>
            </w:r>
            <w:r>
              <w:rPr>
                <w:color w:val="auto"/>
                <w:highlight w:val="none"/>
              </w:rPr>
              <w:t>周边农田施肥</w:t>
            </w:r>
            <w:r>
              <w:rPr>
                <w:rFonts w:hint="eastAsia"/>
                <w:color w:val="auto"/>
                <w:highlight w:val="none"/>
                <w:lang w:eastAsia="zh-CN"/>
              </w:rPr>
              <w:t>，</w:t>
            </w:r>
            <w:r>
              <w:rPr>
                <w:rFonts w:hint="eastAsia"/>
                <w:color w:val="auto"/>
                <w:highlight w:val="none"/>
                <w:lang w:val="en-US" w:eastAsia="zh-CN"/>
              </w:rPr>
              <w:t>不外排。</w:t>
            </w:r>
          </w:p>
          <w:p w14:paraId="7E874732">
            <w:pPr>
              <w:pStyle w:val="11"/>
              <w:bidi w:val="0"/>
              <w:rPr>
                <w:rFonts w:hint="eastAsia"/>
                <w:color w:val="auto"/>
                <w:highlight w:val="none"/>
              </w:rPr>
            </w:pPr>
            <w:r>
              <w:rPr>
                <w:rFonts w:hint="eastAsia"/>
                <w:color w:val="auto"/>
                <w:highlight w:val="none"/>
              </w:rPr>
              <w:t>本项目用排水情况见表2-</w:t>
            </w:r>
            <w:r>
              <w:rPr>
                <w:rFonts w:hint="eastAsia"/>
                <w:color w:val="auto"/>
                <w:highlight w:val="none"/>
                <w:lang w:val="en-US" w:eastAsia="zh-CN"/>
              </w:rPr>
              <w:t>7</w:t>
            </w:r>
            <w:r>
              <w:rPr>
                <w:rFonts w:hint="eastAsia"/>
                <w:color w:val="auto"/>
                <w:highlight w:val="none"/>
              </w:rPr>
              <w:t>。</w:t>
            </w:r>
            <w:r>
              <w:rPr>
                <w:color w:val="auto"/>
                <w:highlight w:val="none"/>
              </w:rPr>
              <w:t>水平衡图见图</w:t>
            </w:r>
            <w:r>
              <w:rPr>
                <w:rFonts w:hint="eastAsia"/>
                <w:color w:val="auto"/>
                <w:highlight w:val="none"/>
              </w:rPr>
              <w:t>2-1</w:t>
            </w:r>
            <w:r>
              <w:rPr>
                <w:color w:val="auto"/>
                <w:highlight w:val="none"/>
              </w:rPr>
              <w:t>。</w:t>
            </w:r>
          </w:p>
          <w:p w14:paraId="3A469F8D">
            <w:pPr>
              <w:pStyle w:val="32"/>
              <w:bidi w:val="0"/>
              <w:rPr>
                <w:color w:val="auto"/>
                <w:highlight w:val="none"/>
              </w:rPr>
            </w:pPr>
            <w:r>
              <w:rPr>
                <w:rFonts w:hint="eastAsia"/>
                <w:color w:val="auto"/>
                <w:highlight w:val="none"/>
              </w:rPr>
              <w:t>表2</w:t>
            </w:r>
            <w:r>
              <w:rPr>
                <w:rFonts w:hint="eastAsia"/>
                <w:color w:val="auto"/>
                <w:highlight w:val="none"/>
                <w:lang w:val="en-US" w:eastAsia="zh-CN"/>
              </w:rPr>
              <w:t xml:space="preserve">-7     </w:t>
            </w:r>
            <w:r>
              <w:rPr>
                <w:color w:val="auto"/>
                <w:highlight w:val="none"/>
              </w:rPr>
              <w:t>用排水量一览表</w:t>
            </w:r>
          </w:p>
          <w:tbl>
            <w:tblPr>
              <w:tblStyle w:val="26"/>
              <w:tblW w:w="4993"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0" w:type="dxa"/>
                <w:bottom w:w="0" w:type="dxa"/>
                <w:right w:w="0" w:type="dxa"/>
              </w:tblCellMar>
            </w:tblPr>
            <w:tblGrid>
              <w:gridCol w:w="1373"/>
              <w:gridCol w:w="924"/>
              <w:gridCol w:w="924"/>
              <w:gridCol w:w="924"/>
              <w:gridCol w:w="924"/>
              <w:gridCol w:w="929"/>
              <w:gridCol w:w="1926"/>
            </w:tblGrid>
            <w:tr w14:paraId="70FEEB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4229A893">
                  <w:pPr>
                    <w:pStyle w:val="49"/>
                    <w:bidi w:val="0"/>
                    <w:rPr>
                      <w:b/>
                      <w:bCs/>
                      <w:color w:val="auto"/>
                      <w:highlight w:val="none"/>
                    </w:rPr>
                  </w:pPr>
                  <w:r>
                    <w:rPr>
                      <w:b/>
                      <w:bCs/>
                      <w:color w:val="auto"/>
                      <w:highlight w:val="none"/>
                    </w:rPr>
                    <w:t>类型</w:t>
                  </w:r>
                </w:p>
              </w:tc>
              <w:tc>
                <w:tcPr>
                  <w:tcW w:w="583" w:type="pct"/>
                  <w:noWrap w:val="0"/>
                  <w:vAlign w:val="center"/>
                </w:tcPr>
                <w:p w14:paraId="44D2D71A">
                  <w:pPr>
                    <w:pStyle w:val="49"/>
                    <w:bidi w:val="0"/>
                    <w:rPr>
                      <w:b/>
                      <w:bCs/>
                      <w:color w:val="auto"/>
                      <w:highlight w:val="none"/>
                    </w:rPr>
                  </w:pPr>
                  <w:r>
                    <w:rPr>
                      <w:b/>
                      <w:bCs/>
                      <w:color w:val="auto"/>
                      <w:highlight w:val="none"/>
                    </w:rPr>
                    <w:t>新鲜水</w:t>
                  </w:r>
                </w:p>
                <w:p w14:paraId="361E3F1E">
                  <w:pPr>
                    <w:pStyle w:val="49"/>
                    <w:bidi w:val="0"/>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583" w:type="pct"/>
                  <w:noWrap w:val="0"/>
                  <w:vAlign w:val="center"/>
                </w:tcPr>
                <w:p w14:paraId="1B969F07">
                  <w:pPr>
                    <w:pStyle w:val="49"/>
                    <w:bidi w:val="0"/>
                    <w:rPr>
                      <w:b/>
                      <w:bCs/>
                      <w:color w:val="auto"/>
                      <w:highlight w:val="none"/>
                    </w:rPr>
                  </w:pPr>
                  <w:r>
                    <w:rPr>
                      <w:b/>
                      <w:bCs/>
                      <w:color w:val="auto"/>
                      <w:highlight w:val="none"/>
                    </w:rPr>
                    <w:t>回用水</w:t>
                  </w:r>
                </w:p>
                <w:p w14:paraId="4360F8D0">
                  <w:pPr>
                    <w:pStyle w:val="49"/>
                    <w:bidi w:val="0"/>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583" w:type="pct"/>
                  <w:noWrap w:val="0"/>
                  <w:vAlign w:val="center"/>
                </w:tcPr>
                <w:p w14:paraId="64A8FCF7">
                  <w:pPr>
                    <w:pStyle w:val="49"/>
                    <w:bidi w:val="0"/>
                    <w:rPr>
                      <w:b/>
                      <w:bCs/>
                      <w:color w:val="auto"/>
                      <w:highlight w:val="none"/>
                    </w:rPr>
                  </w:pPr>
                  <w:r>
                    <w:rPr>
                      <w:b/>
                      <w:bCs/>
                      <w:color w:val="auto"/>
                      <w:highlight w:val="none"/>
                    </w:rPr>
                    <w:t>循环水</w:t>
                  </w:r>
                </w:p>
                <w:p w14:paraId="51534863">
                  <w:pPr>
                    <w:pStyle w:val="49"/>
                    <w:bidi w:val="0"/>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583" w:type="pct"/>
                  <w:noWrap w:val="0"/>
                  <w:vAlign w:val="center"/>
                </w:tcPr>
                <w:p w14:paraId="5BE94208">
                  <w:pPr>
                    <w:pStyle w:val="49"/>
                    <w:bidi w:val="0"/>
                    <w:rPr>
                      <w:b/>
                      <w:bCs/>
                      <w:color w:val="auto"/>
                      <w:highlight w:val="none"/>
                    </w:rPr>
                  </w:pPr>
                  <w:r>
                    <w:rPr>
                      <w:b/>
                      <w:bCs/>
                      <w:color w:val="auto"/>
                      <w:highlight w:val="none"/>
                    </w:rPr>
                    <w:t>损耗量</w:t>
                  </w:r>
                </w:p>
                <w:p w14:paraId="470B1461">
                  <w:pPr>
                    <w:pStyle w:val="49"/>
                    <w:bidi w:val="0"/>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586" w:type="pct"/>
                  <w:noWrap w:val="0"/>
                  <w:vAlign w:val="center"/>
                </w:tcPr>
                <w:p w14:paraId="111DF0DC">
                  <w:pPr>
                    <w:pStyle w:val="49"/>
                    <w:bidi w:val="0"/>
                    <w:rPr>
                      <w:b/>
                      <w:bCs/>
                      <w:color w:val="auto"/>
                      <w:highlight w:val="none"/>
                    </w:rPr>
                  </w:pPr>
                  <w:r>
                    <w:rPr>
                      <w:b/>
                      <w:bCs/>
                      <w:color w:val="auto"/>
                      <w:highlight w:val="none"/>
                    </w:rPr>
                    <w:t>废水量</w:t>
                  </w:r>
                </w:p>
                <w:p w14:paraId="503118BD">
                  <w:pPr>
                    <w:pStyle w:val="49"/>
                    <w:bidi w:val="0"/>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1215" w:type="pct"/>
                  <w:noWrap w:val="0"/>
                  <w:vAlign w:val="center"/>
                </w:tcPr>
                <w:p w14:paraId="2BB00B5E">
                  <w:pPr>
                    <w:pStyle w:val="49"/>
                    <w:bidi w:val="0"/>
                    <w:rPr>
                      <w:b/>
                      <w:bCs/>
                      <w:color w:val="auto"/>
                      <w:highlight w:val="none"/>
                    </w:rPr>
                  </w:pPr>
                  <w:r>
                    <w:rPr>
                      <w:b/>
                      <w:bCs/>
                      <w:color w:val="auto"/>
                      <w:highlight w:val="none"/>
                    </w:rPr>
                    <w:t>去向</w:t>
                  </w:r>
                </w:p>
              </w:tc>
            </w:tr>
            <w:tr w14:paraId="503CA4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2CF0AE38">
                  <w:pPr>
                    <w:pStyle w:val="49"/>
                    <w:bidi w:val="0"/>
                    <w:rPr>
                      <w:color w:val="auto"/>
                      <w:highlight w:val="none"/>
                    </w:rPr>
                  </w:pPr>
                  <w:r>
                    <w:rPr>
                      <w:color w:val="auto"/>
                      <w:highlight w:val="none"/>
                    </w:rPr>
                    <w:t>冷却循环</w:t>
                  </w:r>
                  <w:r>
                    <w:rPr>
                      <w:rFonts w:hint="eastAsia"/>
                      <w:color w:val="auto"/>
                      <w:highlight w:val="none"/>
                    </w:rPr>
                    <w:t>用水</w:t>
                  </w:r>
                </w:p>
              </w:tc>
              <w:tc>
                <w:tcPr>
                  <w:tcW w:w="583" w:type="pct"/>
                  <w:noWrap w:val="0"/>
                  <w:vAlign w:val="center"/>
                </w:tcPr>
                <w:p w14:paraId="15581B6D">
                  <w:pPr>
                    <w:pStyle w:val="49"/>
                    <w:bidi w:val="0"/>
                    <w:rPr>
                      <w:rFonts w:hint="eastAsia"/>
                      <w:color w:val="auto"/>
                      <w:highlight w:val="none"/>
                      <w:lang w:eastAsia="zh-CN"/>
                    </w:rPr>
                  </w:pPr>
                  <w:r>
                    <w:rPr>
                      <w:rFonts w:hint="eastAsia"/>
                      <w:color w:val="auto"/>
                      <w:highlight w:val="none"/>
                      <w:lang w:val="en-US" w:eastAsia="zh-CN"/>
                    </w:rPr>
                    <w:t>6</w:t>
                  </w:r>
                </w:p>
              </w:tc>
              <w:tc>
                <w:tcPr>
                  <w:tcW w:w="583" w:type="pct"/>
                  <w:noWrap w:val="0"/>
                  <w:vAlign w:val="center"/>
                </w:tcPr>
                <w:p w14:paraId="0E6DC18F">
                  <w:pPr>
                    <w:pStyle w:val="49"/>
                    <w:bidi w:val="0"/>
                    <w:rPr>
                      <w:rFonts w:hint="default"/>
                      <w:color w:val="auto"/>
                      <w:highlight w:val="none"/>
                      <w:lang w:val="en-US" w:eastAsia="zh-CN"/>
                    </w:rPr>
                  </w:pPr>
                  <w:r>
                    <w:rPr>
                      <w:rFonts w:hint="eastAsia"/>
                      <w:color w:val="auto"/>
                      <w:highlight w:val="none"/>
                      <w:lang w:val="en-US" w:eastAsia="zh-CN"/>
                    </w:rPr>
                    <w:t>18</w:t>
                  </w:r>
                </w:p>
              </w:tc>
              <w:tc>
                <w:tcPr>
                  <w:tcW w:w="583" w:type="pct"/>
                  <w:noWrap w:val="0"/>
                  <w:vAlign w:val="center"/>
                </w:tcPr>
                <w:p w14:paraId="316D5829">
                  <w:pPr>
                    <w:pStyle w:val="49"/>
                    <w:bidi w:val="0"/>
                    <w:rPr>
                      <w:rFonts w:hint="default"/>
                      <w:color w:val="auto"/>
                      <w:highlight w:val="none"/>
                      <w:lang w:val="en-US" w:eastAsia="zh-CN"/>
                    </w:rPr>
                  </w:pPr>
                  <w:r>
                    <w:rPr>
                      <w:rFonts w:hint="eastAsia"/>
                      <w:color w:val="auto"/>
                      <w:highlight w:val="none"/>
                      <w:lang w:val="en-US" w:eastAsia="zh-CN"/>
                    </w:rPr>
                    <w:t>24</w:t>
                  </w:r>
                </w:p>
              </w:tc>
              <w:tc>
                <w:tcPr>
                  <w:tcW w:w="583" w:type="pct"/>
                  <w:noWrap w:val="0"/>
                  <w:vAlign w:val="center"/>
                </w:tcPr>
                <w:p w14:paraId="12FD4908">
                  <w:pPr>
                    <w:pStyle w:val="49"/>
                    <w:bidi w:val="0"/>
                    <w:rPr>
                      <w:rFonts w:hint="default"/>
                      <w:color w:val="auto"/>
                      <w:highlight w:val="none"/>
                      <w:lang w:val="en-US" w:eastAsia="zh-CN"/>
                    </w:rPr>
                  </w:pPr>
                  <w:r>
                    <w:rPr>
                      <w:rFonts w:hint="eastAsia"/>
                      <w:color w:val="auto"/>
                      <w:highlight w:val="none"/>
                      <w:lang w:val="en-US" w:eastAsia="zh-CN"/>
                    </w:rPr>
                    <w:t>6</w:t>
                  </w:r>
                </w:p>
              </w:tc>
              <w:tc>
                <w:tcPr>
                  <w:tcW w:w="586" w:type="pct"/>
                  <w:noWrap w:val="0"/>
                  <w:vAlign w:val="center"/>
                </w:tcPr>
                <w:p w14:paraId="79963FDE">
                  <w:pPr>
                    <w:pStyle w:val="49"/>
                    <w:bidi w:val="0"/>
                    <w:rPr>
                      <w:color w:val="auto"/>
                      <w:highlight w:val="none"/>
                    </w:rPr>
                  </w:pPr>
                  <w:r>
                    <w:rPr>
                      <w:color w:val="auto"/>
                      <w:highlight w:val="none"/>
                    </w:rPr>
                    <w:t>0</w:t>
                  </w:r>
                </w:p>
              </w:tc>
              <w:tc>
                <w:tcPr>
                  <w:tcW w:w="1215" w:type="pct"/>
                  <w:noWrap w:val="0"/>
                  <w:vAlign w:val="center"/>
                </w:tcPr>
                <w:p w14:paraId="372F8D8F">
                  <w:pPr>
                    <w:pStyle w:val="49"/>
                    <w:bidi w:val="0"/>
                    <w:rPr>
                      <w:color w:val="auto"/>
                      <w:highlight w:val="none"/>
                    </w:rPr>
                  </w:pPr>
                  <w:r>
                    <w:rPr>
                      <w:color w:val="auto"/>
                      <w:highlight w:val="none"/>
                    </w:rPr>
                    <w:t>蒸发损耗</w:t>
                  </w:r>
                </w:p>
              </w:tc>
            </w:tr>
            <w:tr w14:paraId="1B2134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07A2A7FB">
                  <w:pPr>
                    <w:pStyle w:val="49"/>
                    <w:bidi w:val="0"/>
                    <w:rPr>
                      <w:rFonts w:hint="default"/>
                      <w:color w:val="auto"/>
                      <w:highlight w:val="none"/>
                      <w:lang w:val="en-US" w:eastAsia="zh-CN"/>
                    </w:rPr>
                  </w:pPr>
                  <w:r>
                    <w:rPr>
                      <w:rFonts w:hint="eastAsia"/>
                      <w:color w:val="auto"/>
                      <w:highlight w:val="none"/>
                      <w:lang w:val="en-US" w:eastAsia="zh-CN"/>
                    </w:rPr>
                    <w:t>绿化洒水用水</w:t>
                  </w:r>
                </w:p>
              </w:tc>
              <w:tc>
                <w:tcPr>
                  <w:tcW w:w="583" w:type="pct"/>
                  <w:noWrap w:val="0"/>
                  <w:vAlign w:val="center"/>
                </w:tcPr>
                <w:p w14:paraId="2AE0579F">
                  <w:pPr>
                    <w:pStyle w:val="49"/>
                    <w:bidi w:val="0"/>
                    <w:rPr>
                      <w:rFonts w:hint="default"/>
                      <w:color w:val="auto"/>
                      <w:highlight w:val="none"/>
                      <w:lang w:val="en-US" w:eastAsia="zh-CN"/>
                    </w:rPr>
                  </w:pPr>
                  <w:r>
                    <w:rPr>
                      <w:rFonts w:hint="eastAsia"/>
                      <w:color w:val="auto"/>
                      <w:highlight w:val="none"/>
                      <w:lang w:val="en-US" w:eastAsia="zh-CN"/>
                    </w:rPr>
                    <w:t>5.94</w:t>
                  </w:r>
                </w:p>
              </w:tc>
              <w:tc>
                <w:tcPr>
                  <w:tcW w:w="583" w:type="pct"/>
                  <w:noWrap w:val="0"/>
                  <w:vAlign w:val="center"/>
                </w:tcPr>
                <w:p w14:paraId="65EA28B0">
                  <w:pPr>
                    <w:pStyle w:val="49"/>
                    <w:bidi w:val="0"/>
                    <w:rPr>
                      <w:rFonts w:hint="default"/>
                      <w:color w:val="auto"/>
                      <w:highlight w:val="none"/>
                      <w:lang w:val="en-US" w:eastAsia="zh-CN"/>
                    </w:rPr>
                  </w:pPr>
                  <w:r>
                    <w:rPr>
                      <w:rFonts w:hint="eastAsia"/>
                      <w:color w:val="auto"/>
                      <w:highlight w:val="none"/>
                      <w:lang w:val="en-US" w:eastAsia="zh-CN"/>
                    </w:rPr>
                    <w:t>0</w:t>
                  </w:r>
                </w:p>
              </w:tc>
              <w:tc>
                <w:tcPr>
                  <w:tcW w:w="583" w:type="pct"/>
                  <w:noWrap w:val="0"/>
                  <w:vAlign w:val="center"/>
                </w:tcPr>
                <w:p w14:paraId="62FDEF73">
                  <w:pPr>
                    <w:pStyle w:val="49"/>
                    <w:bidi w:val="0"/>
                    <w:rPr>
                      <w:rFonts w:hint="default"/>
                      <w:color w:val="auto"/>
                      <w:highlight w:val="none"/>
                      <w:lang w:val="en-US" w:eastAsia="zh-CN"/>
                    </w:rPr>
                  </w:pPr>
                  <w:r>
                    <w:rPr>
                      <w:rFonts w:hint="eastAsia"/>
                      <w:color w:val="auto"/>
                      <w:highlight w:val="none"/>
                      <w:lang w:val="en-US" w:eastAsia="zh-CN"/>
                    </w:rPr>
                    <w:t>0</w:t>
                  </w:r>
                </w:p>
              </w:tc>
              <w:tc>
                <w:tcPr>
                  <w:tcW w:w="583" w:type="pct"/>
                  <w:noWrap w:val="0"/>
                  <w:vAlign w:val="center"/>
                </w:tcPr>
                <w:p w14:paraId="45C3B5B9">
                  <w:pPr>
                    <w:pStyle w:val="49"/>
                    <w:bidi w:val="0"/>
                    <w:rPr>
                      <w:rFonts w:hint="default"/>
                      <w:color w:val="auto"/>
                      <w:highlight w:val="none"/>
                      <w:lang w:val="en-US" w:eastAsia="zh-CN"/>
                    </w:rPr>
                  </w:pPr>
                  <w:r>
                    <w:rPr>
                      <w:rFonts w:hint="eastAsia"/>
                      <w:color w:val="auto"/>
                      <w:highlight w:val="none"/>
                      <w:lang w:val="en-US" w:eastAsia="zh-CN"/>
                    </w:rPr>
                    <w:t>5.94</w:t>
                  </w:r>
                </w:p>
              </w:tc>
              <w:tc>
                <w:tcPr>
                  <w:tcW w:w="586" w:type="pct"/>
                  <w:noWrap w:val="0"/>
                  <w:vAlign w:val="center"/>
                </w:tcPr>
                <w:p w14:paraId="77868BB2">
                  <w:pPr>
                    <w:pStyle w:val="49"/>
                    <w:bidi w:val="0"/>
                    <w:rPr>
                      <w:rFonts w:hint="eastAsia"/>
                      <w:color w:val="auto"/>
                      <w:highlight w:val="none"/>
                      <w:lang w:val="en-US" w:eastAsia="zh-CN"/>
                    </w:rPr>
                  </w:pPr>
                  <w:r>
                    <w:rPr>
                      <w:rFonts w:hint="eastAsia"/>
                      <w:color w:val="auto"/>
                      <w:highlight w:val="none"/>
                      <w:lang w:val="en-US" w:eastAsia="zh-CN"/>
                    </w:rPr>
                    <w:t>0</w:t>
                  </w:r>
                </w:p>
              </w:tc>
              <w:tc>
                <w:tcPr>
                  <w:tcW w:w="1215" w:type="pct"/>
                  <w:noWrap w:val="0"/>
                  <w:vAlign w:val="center"/>
                </w:tcPr>
                <w:p w14:paraId="1A7702B1">
                  <w:pPr>
                    <w:pStyle w:val="49"/>
                    <w:bidi w:val="0"/>
                    <w:rPr>
                      <w:color w:val="auto"/>
                      <w:highlight w:val="none"/>
                    </w:rPr>
                  </w:pPr>
                  <w:r>
                    <w:rPr>
                      <w:color w:val="auto"/>
                      <w:highlight w:val="none"/>
                    </w:rPr>
                    <w:t>蒸发损耗</w:t>
                  </w:r>
                </w:p>
              </w:tc>
            </w:tr>
            <w:tr w14:paraId="45570C3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7992FDF4">
                  <w:pPr>
                    <w:pStyle w:val="49"/>
                    <w:bidi w:val="0"/>
                    <w:rPr>
                      <w:rFonts w:hint="eastAsia"/>
                      <w:color w:val="auto"/>
                      <w:highlight w:val="none"/>
                    </w:rPr>
                  </w:pPr>
                  <w:r>
                    <w:rPr>
                      <w:rFonts w:hint="eastAsia"/>
                      <w:color w:val="auto"/>
                      <w:highlight w:val="none"/>
                      <w:lang w:val="en-US" w:eastAsia="zh-CN"/>
                    </w:rPr>
                    <w:t>肥料产线用水</w:t>
                  </w:r>
                </w:p>
              </w:tc>
              <w:tc>
                <w:tcPr>
                  <w:tcW w:w="583" w:type="pct"/>
                  <w:noWrap w:val="0"/>
                  <w:vAlign w:val="center"/>
                </w:tcPr>
                <w:p w14:paraId="78F5A7B9">
                  <w:pPr>
                    <w:pStyle w:val="49"/>
                    <w:bidi w:val="0"/>
                    <w:rPr>
                      <w:rFonts w:hint="default"/>
                      <w:color w:val="auto"/>
                      <w:highlight w:val="none"/>
                      <w:lang w:val="en-US" w:eastAsia="zh-CN"/>
                    </w:rPr>
                  </w:pPr>
                  <w:r>
                    <w:rPr>
                      <w:rFonts w:hint="eastAsia"/>
                      <w:color w:val="auto"/>
                      <w:highlight w:val="none"/>
                      <w:lang w:val="en-US" w:eastAsia="zh-CN"/>
                    </w:rPr>
                    <w:t>0.033</w:t>
                  </w:r>
                </w:p>
              </w:tc>
              <w:tc>
                <w:tcPr>
                  <w:tcW w:w="583" w:type="pct"/>
                  <w:noWrap w:val="0"/>
                  <w:vAlign w:val="center"/>
                </w:tcPr>
                <w:p w14:paraId="63CD47E6">
                  <w:pPr>
                    <w:pStyle w:val="49"/>
                    <w:bidi w:val="0"/>
                    <w:rPr>
                      <w:rFonts w:hint="default"/>
                      <w:color w:val="auto"/>
                      <w:highlight w:val="none"/>
                      <w:lang w:val="en-US" w:eastAsia="zh-CN"/>
                    </w:rPr>
                  </w:pPr>
                  <w:r>
                    <w:rPr>
                      <w:rFonts w:hint="eastAsia"/>
                      <w:color w:val="auto"/>
                      <w:highlight w:val="none"/>
                      <w:lang w:val="en-US" w:eastAsia="zh-CN"/>
                    </w:rPr>
                    <w:t>0</w:t>
                  </w:r>
                </w:p>
              </w:tc>
              <w:tc>
                <w:tcPr>
                  <w:tcW w:w="583" w:type="pct"/>
                  <w:noWrap w:val="0"/>
                  <w:vAlign w:val="center"/>
                </w:tcPr>
                <w:p w14:paraId="179208AE">
                  <w:pPr>
                    <w:pStyle w:val="49"/>
                    <w:bidi w:val="0"/>
                    <w:rPr>
                      <w:rFonts w:hint="default"/>
                      <w:color w:val="auto"/>
                      <w:highlight w:val="none"/>
                      <w:lang w:val="en-US" w:eastAsia="zh-CN"/>
                    </w:rPr>
                  </w:pPr>
                  <w:r>
                    <w:rPr>
                      <w:rFonts w:hint="eastAsia"/>
                      <w:color w:val="auto"/>
                      <w:highlight w:val="none"/>
                      <w:lang w:val="en-US" w:eastAsia="zh-CN"/>
                    </w:rPr>
                    <w:t>0</w:t>
                  </w:r>
                </w:p>
              </w:tc>
              <w:tc>
                <w:tcPr>
                  <w:tcW w:w="583" w:type="pct"/>
                  <w:noWrap w:val="0"/>
                  <w:vAlign w:val="center"/>
                </w:tcPr>
                <w:p w14:paraId="166D8E3B">
                  <w:pPr>
                    <w:pStyle w:val="49"/>
                    <w:bidi w:val="0"/>
                    <w:rPr>
                      <w:rFonts w:hint="default"/>
                      <w:color w:val="auto"/>
                      <w:highlight w:val="none"/>
                      <w:lang w:val="en-US" w:eastAsia="zh-CN"/>
                    </w:rPr>
                  </w:pPr>
                  <w:r>
                    <w:rPr>
                      <w:rFonts w:hint="eastAsia"/>
                      <w:color w:val="auto"/>
                      <w:highlight w:val="none"/>
                      <w:lang w:val="en-US" w:eastAsia="zh-CN"/>
                    </w:rPr>
                    <w:t>0.033</w:t>
                  </w:r>
                </w:p>
              </w:tc>
              <w:tc>
                <w:tcPr>
                  <w:tcW w:w="586" w:type="pct"/>
                  <w:noWrap w:val="0"/>
                  <w:vAlign w:val="center"/>
                </w:tcPr>
                <w:p w14:paraId="538008AA">
                  <w:pPr>
                    <w:pStyle w:val="49"/>
                    <w:bidi w:val="0"/>
                    <w:rPr>
                      <w:rFonts w:hint="default"/>
                      <w:color w:val="auto"/>
                      <w:highlight w:val="none"/>
                      <w:lang w:val="en-US" w:eastAsia="zh-CN"/>
                    </w:rPr>
                  </w:pPr>
                  <w:r>
                    <w:rPr>
                      <w:rFonts w:hint="eastAsia"/>
                      <w:color w:val="auto"/>
                      <w:highlight w:val="none"/>
                      <w:lang w:val="en-US" w:eastAsia="zh-CN"/>
                    </w:rPr>
                    <w:t>0</w:t>
                  </w:r>
                </w:p>
              </w:tc>
              <w:tc>
                <w:tcPr>
                  <w:tcW w:w="1215" w:type="pct"/>
                  <w:noWrap w:val="0"/>
                  <w:vAlign w:val="center"/>
                </w:tcPr>
                <w:p w14:paraId="7C7F6778">
                  <w:pPr>
                    <w:pStyle w:val="49"/>
                    <w:bidi w:val="0"/>
                    <w:rPr>
                      <w:rFonts w:hint="default"/>
                      <w:color w:val="auto"/>
                      <w:highlight w:val="none"/>
                      <w:lang w:val="en-US" w:eastAsia="zh-CN"/>
                    </w:rPr>
                  </w:pPr>
                  <w:r>
                    <w:rPr>
                      <w:rFonts w:hint="eastAsia"/>
                      <w:color w:val="auto"/>
                      <w:highlight w:val="none"/>
                      <w:lang w:val="en-US" w:eastAsia="zh-CN"/>
                    </w:rPr>
                    <w:t>随产品带走</w:t>
                  </w:r>
                </w:p>
              </w:tc>
            </w:tr>
            <w:tr w14:paraId="51D8AB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1B3B7A42">
                  <w:pPr>
                    <w:pStyle w:val="49"/>
                    <w:bidi w:val="0"/>
                    <w:rPr>
                      <w:color w:val="auto"/>
                      <w:highlight w:val="none"/>
                    </w:rPr>
                  </w:pPr>
                  <w:r>
                    <w:rPr>
                      <w:rFonts w:hint="eastAsia"/>
                      <w:color w:val="auto"/>
                      <w:highlight w:val="none"/>
                    </w:rPr>
                    <w:t>生活污水</w:t>
                  </w:r>
                </w:p>
              </w:tc>
              <w:tc>
                <w:tcPr>
                  <w:tcW w:w="583" w:type="pct"/>
                  <w:noWrap w:val="0"/>
                  <w:vAlign w:val="center"/>
                </w:tcPr>
                <w:p w14:paraId="5042AA68">
                  <w:pPr>
                    <w:pStyle w:val="49"/>
                    <w:bidi w:val="0"/>
                    <w:rPr>
                      <w:rFonts w:hint="default"/>
                      <w:color w:val="auto"/>
                      <w:highlight w:val="none"/>
                      <w:lang w:val="en-US" w:eastAsia="zh-CN"/>
                    </w:rPr>
                  </w:pPr>
                  <w:r>
                    <w:rPr>
                      <w:rFonts w:hint="eastAsia"/>
                      <w:color w:val="auto"/>
                      <w:highlight w:val="none"/>
                      <w:lang w:val="en-US" w:eastAsia="zh-CN"/>
                    </w:rPr>
                    <w:t>0.96</w:t>
                  </w:r>
                </w:p>
              </w:tc>
              <w:tc>
                <w:tcPr>
                  <w:tcW w:w="583" w:type="pct"/>
                  <w:noWrap w:val="0"/>
                  <w:vAlign w:val="center"/>
                </w:tcPr>
                <w:p w14:paraId="73F79791">
                  <w:pPr>
                    <w:pStyle w:val="49"/>
                    <w:bidi w:val="0"/>
                    <w:rPr>
                      <w:rFonts w:hint="eastAsia"/>
                      <w:color w:val="auto"/>
                      <w:highlight w:val="none"/>
                      <w:lang w:val="en-US" w:eastAsia="zh-CN"/>
                    </w:rPr>
                  </w:pPr>
                  <w:r>
                    <w:rPr>
                      <w:rFonts w:hint="eastAsia"/>
                      <w:color w:val="auto"/>
                      <w:highlight w:val="none"/>
                      <w:lang w:val="en-US" w:eastAsia="zh-CN"/>
                    </w:rPr>
                    <w:t>0</w:t>
                  </w:r>
                </w:p>
              </w:tc>
              <w:tc>
                <w:tcPr>
                  <w:tcW w:w="583" w:type="pct"/>
                  <w:noWrap w:val="0"/>
                  <w:vAlign w:val="center"/>
                </w:tcPr>
                <w:p w14:paraId="6FEDA46A">
                  <w:pPr>
                    <w:pStyle w:val="49"/>
                    <w:bidi w:val="0"/>
                    <w:rPr>
                      <w:rFonts w:hint="eastAsia"/>
                      <w:color w:val="auto"/>
                      <w:highlight w:val="none"/>
                      <w:lang w:val="en-US" w:eastAsia="zh-CN"/>
                    </w:rPr>
                  </w:pPr>
                  <w:r>
                    <w:rPr>
                      <w:rFonts w:hint="eastAsia"/>
                      <w:color w:val="auto"/>
                      <w:highlight w:val="none"/>
                      <w:lang w:val="en-US" w:eastAsia="zh-CN"/>
                    </w:rPr>
                    <w:t>0</w:t>
                  </w:r>
                </w:p>
              </w:tc>
              <w:tc>
                <w:tcPr>
                  <w:tcW w:w="583" w:type="pct"/>
                  <w:noWrap w:val="0"/>
                  <w:vAlign w:val="center"/>
                </w:tcPr>
                <w:p w14:paraId="429EF483">
                  <w:pPr>
                    <w:pStyle w:val="49"/>
                    <w:bidi w:val="0"/>
                    <w:rPr>
                      <w:rFonts w:hint="default"/>
                      <w:color w:val="auto"/>
                      <w:highlight w:val="none"/>
                      <w:lang w:val="en-US" w:eastAsia="zh-CN"/>
                    </w:rPr>
                  </w:pPr>
                  <w:r>
                    <w:rPr>
                      <w:rFonts w:hint="eastAsia"/>
                      <w:color w:val="auto"/>
                      <w:highlight w:val="none"/>
                      <w:lang w:val="en-US" w:eastAsia="zh-CN"/>
                    </w:rPr>
                    <w:t>0.19</w:t>
                  </w:r>
                </w:p>
              </w:tc>
              <w:tc>
                <w:tcPr>
                  <w:tcW w:w="586" w:type="pct"/>
                  <w:noWrap w:val="0"/>
                  <w:vAlign w:val="center"/>
                </w:tcPr>
                <w:p w14:paraId="329EB5BE">
                  <w:pPr>
                    <w:pStyle w:val="49"/>
                    <w:bidi w:val="0"/>
                    <w:rPr>
                      <w:rFonts w:hint="default"/>
                      <w:color w:val="auto"/>
                      <w:highlight w:val="none"/>
                      <w:lang w:val="en-US" w:eastAsia="zh-CN"/>
                    </w:rPr>
                  </w:pPr>
                  <w:r>
                    <w:rPr>
                      <w:rFonts w:hint="eastAsia"/>
                      <w:color w:val="auto"/>
                      <w:highlight w:val="none"/>
                      <w:lang w:val="en-US" w:eastAsia="zh-CN"/>
                    </w:rPr>
                    <w:t>0.77</w:t>
                  </w:r>
                </w:p>
              </w:tc>
              <w:tc>
                <w:tcPr>
                  <w:tcW w:w="1215" w:type="pct"/>
                  <w:noWrap w:val="0"/>
                  <w:vAlign w:val="center"/>
                </w:tcPr>
                <w:p w14:paraId="5C796B6A">
                  <w:pPr>
                    <w:pStyle w:val="49"/>
                    <w:bidi w:val="0"/>
                    <w:rPr>
                      <w:rFonts w:hint="default"/>
                      <w:color w:val="auto"/>
                      <w:highlight w:val="none"/>
                      <w:lang w:val="en-US" w:eastAsia="zh-CN"/>
                    </w:rPr>
                  </w:pPr>
                  <w:r>
                    <w:rPr>
                      <w:rFonts w:hint="eastAsia"/>
                      <w:color w:val="auto"/>
                      <w:highlight w:val="none"/>
                      <w:lang w:val="en-US" w:eastAsia="zh-CN"/>
                    </w:rPr>
                    <w:t>化粪池处理，定期清掏用作周边农田施肥</w:t>
                  </w:r>
                </w:p>
              </w:tc>
            </w:tr>
            <w:tr w14:paraId="03133A0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866" w:type="pct"/>
                  <w:noWrap w:val="0"/>
                  <w:vAlign w:val="center"/>
                </w:tcPr>
                <w:p w14:paraId="15762F3C">
                  <w:pPr>
                    <w:pStyle w:val="49"/>
                    <w:bidi w:val="0"/>
                    <w:rPr>
                      <w:color w:val="auto"/>
                      <w:highlight w:val="none"/>
                    </w:rPr>
                  </w:pPr>
                  <w:r>
                    <w:rPr>
                      <w:color w:val="auto"/>
                      <w:highlight w:val="none"/>
                    </w:rPr>
                    <w:t>总计</w:t>
                  </w:r>
                </w:p>
              </w:tc>
              <w:tc>
                <w:tcPr>
                  <w:tcW w:w="583" w:type="pct"/>
                  <w:noWrap w:val="0"/>
                  <w:vAlign w:val="center"/>
                </w:tcPr>
                <w:p w14:paraId="4B766DB0">
                  <w:pPr>
                    <w:pStyle w:val="49"/>
                    <w:bidi w:val="0"/>
                    <w:rPr>
                      <w:rFonts w:hint="default"/>
                      <w:color w:val="auto"/>
                      <w:highlight w:val="none"/>
                      <w:lang w:val="en-US" w:eastAsia="zh-CN"/>
                    </w:rPr>
                  </w:pPr>
                  <w:r>
                    <w:rPr>
                      <w:rFonts w:hint="eastAsia"/>
                      <w:color w:val="auto"/>
                      <w:highlight w:val="none"/>
                      <w:lang w:val="en-US" w:eastAsia="zh-CN"/>
                    </w:rPr>
                    <w:t>12.933</w:t>
                  </w:r>
                </w:p>
              </w:tc>
              <w:tc>
                <w:tcPr>
                  <w:tcW w:w="583" w:type="pct"/>
                  <w:noWrap w:val="0"/>
                  <w:vAlign w:val="center"/>
                </w:tcPr>
                <w:p w14:paraId="6F978F7A">
                  <w:pPr>
                    <w:pStyle w:val="49"/>
                    <w:bidi w:val="0"/>
                    <w:rPr>
                      <w:rFonts w:hint="default"/>
                      <w:color w:val="auto"/>
                      <w:highlight w:val="none"/>
                      <w:lang w:val="en-US" w:eastAsia="zh-CN"/>
                    </w:rPr>
                  </w:pPr>
                  <w:r>
                    <w:rPr>
                      <w:rFonts w:hint="eastAsia"/>
                      <w:color w:val="auto"/>
                      <w:highlight w:val="none"/>
                      <w:lang w:val="en-US" w:eastAsia="zh-CN"/>
                    </w:rPr>
                    <w:t>18</w:t>
                  </w:r>
                </w:p>
              </w:tc>
              <w:tc>
                <w:tcPr>
                  <w:tcW w:w="583" w:type="pct"/>
                  <w:noWrap w:val="0"/>
                  <w:vAlign w:val="center"/>
                </w:tcPr>
                <w:p w14:paraId="0B8B77F3">
                  <w:pPr>
                    <w:pStyle w:val="49"/>
                    <w:bidi w:val="0"/>
                    <w:rPr>
                      <w:rFonts w:hint="default"/>
                      <w:color w:val="auto"/>
                      <w:highlight w:val="none"/>
                      <w:lang w:val="en-US" w:eastAsia="zh-CN"/>
                    </w:rPr>
                  </w:pPr>
                  <w:r>
                    <w:rPr>
                      <w:rFonts w:hint="eastAsia"/>
                      <w:color w:val="auto"/>
                      <w:highlight w:val="none"/>
                      <w:lang w:val="en-US" w:eastAsia="zh-CN"/>
                    </w:rPr>
                    <w:t>24</w:t>
                  </w:r>
                </w:p>
              </w:tc>
              <w:tc>
                <w:tcPr>
                  <w:tcW w:w="583" w:type="pct"/>
                  <w:noWrap w:val="0"/>
                  <w:vAlign w:val="center"/>
                </w:tcPr>
                <w:p w14:paraId="2FCD775B">
                  <w:pPr>
                    <w:pStyle w:val="49"/>
                    <w:bidi w:val="0"/>
                    <w:rPr>
                      <w:rFonts w:hint="default"/>
                      <w:color w:val="auto"/>
                      <w:highlight w:val="none"/>
                      <w:lang w:val="en-US" w:eastAsia="zh-CN"/>
                    </w:rPr>
                  </w:pPr>
                  <w:r>
                    <w:rPr>
                      <w:rFonts w:hint="eastAsia"/>
                      <w:color w:val="auto"/>
                      <w:highlight w:val="none"/>
                      <w:lang w:val="en-US" w:eastAsia="zh-CN"/>
                    </w:rPr>
                    <w:t>12.163</w:t>
                  </w:r>
                </w:p>
              </w:tc>
              <w:tc>
                <w:tcPr>
                  <w:tcW w:w="586" w:type="pct"/>
                  <w:noWrap w:val="0"/>
                  <w:vAlign w:val="center"/>
                </w:tcPr>
                <w:p w14:paraId="5B613EEC">
                  <w:pPr>
                    <w:pStyle w:val="49"/>
                    <w:bidi w:val="0"/>
                    <w:rPr>
                      <w:rFonts w:hint="default"/>
                      <w:color w:val="auto"/>
                      <w:highlight w:val="none"/>
                      <w:lang w:val="en-US" w:eastAsia="zh-CN"/>
                    </w:rPr>
                  </w:pPr>
                  <w:r>
                    <w:rPr>
                      <w:rFonts w:hint="eastAsia"/>
                      <w:color w:val="auto"/>
                      <w:highlight w:val="none"/>
                      <w:lang w:val="en-US" w:eastAsia="zh-CN"/>
                    </w:rPr>
                    <w:t>0.77</w:t>
                  </w:r>
                </w:p>
              </w:tc>
              <w:tc>
                <w:tcPr>
                  <w:tcW w:w="1215" w:type="pct"/>
                  <w:noWrap w:val="0"/>
                  <w:vAlign w:val="center"/>
                </w:tcPr>
                <w:p w14:paraId="4D633DF0">
                  <w:pPr>
                    <w:pStyle w:val="49"/>
                    <w:bidi w:val="0"/>
                    <w:rPr>
                      <w:color w:val="auto"/>
                      <w:highlight w:val="none"/>
                    </w:rPr>
                  </w:pPr>
                  <w:r>
                    <w:rPr>
                      <w:rFonts w:hint="eastAsia"/>
                      <w:color w:val="auto"/>
                      <w:highlight w:val="none"/>
                    </w:rPr>
                    <w:t>/</w:t>
                  </w:r>
                </w:p>
              </w:tc>
            </w:tr>
          </w:tbl>
          <w:p w14:paraId="02B4BB2D">
            <w:pPr>
              <w:pStyle w:val="11"/>
              <w:bidi w:val="0"/>
              <w:rPr>
                <w:rFonts w:hint="eastAsia"/>
                <w:color w:val="auto"/>
                <w:highlight w:val="none"/>
              </w:rPr>
            </w:pPr>
            <w:r>
              <w:rPr>
                <w:rFonts w:hint="eastAsia"/>
                <w:color w:val="auto"/>
                <w:highlight w:val="none"/>
              </w:rPr>
              <w:t>项目水平衡图见下图：</w:t>
            </w:r>
          </w:p>
          <w:p w14:paraId="70B4A8A1">
            <w:pPr>
              <w:pStyle w:val="11"/>
              <w:bidi w:val="0"/>
              <w:jc w:val="center"/>
              <w:rPr>
                <w:color w:val="auto"/>
                <w:highlight w:val="none"/>
              </w:rPr>
            </w:pPr>
            <w:r>
              <w:rPr>
                <w:color w:val="auto"/>
                <w:highlight w:val="none"/>
              </w:rPr>
              <w:object>
                <v:shape id="_x0000_i1025" o:spt="75" type="#_x0000_t75" style="height:200.65pt;width:367.65pt;" o:ole="t" filled="f" o:preferrelative="t" stroked="f" coordsize="21600,21600">
                  <v:path/>
                  <v:fill on="f" focussize="0,0"/>
                  <v:stroke on="f"/>
                  <v:imagedata r:id="rId14" cropbottom="-1901f" o:title=""/>
                  <o:lock v:ext="edit" aspectratio="t"/>
                  <w10:wrap type="none"/>
                  <w10:anchorlock/>
                </v:shape>
                <o:OLEObject Type="Embed" ProgID="Visio.Drawing.11" ShapeID="_x0000_i1025" DrawAspect="Content" ObjectID="_1468075725" r:id="rId13">
                  <o:LockedField>false</o:LockedField>
                </o:OLEObject>
              </w:object>
            </w:r>
          </w:p>
          <w:p w14:paraId="1D87B844">
            <w:pPr>
              <w:pStyle w:val="32"/>
              <w:bidi w:val="0"/>
              <w:rPr>
                <w:rFonts w:hint="eastAsia"/>
                <w:color w:val="auto"/>
                <w:highlight w:val="none"/>
                <w:lang w:val="en-US" w:eastAsia="zh-CN"/>
              </w:rPr>
            </w:pPr>
            <w:r>
              <w:rPr>
                <w:color w:val="auto"/>
                <w:highlight w:val="none"/>
                <w:lang w:val="en-US" w:eastAsia="zh-CN"/>
              </w:rPr>
              <w:t>图</w:t>
            </w:r>
            <w:r>
              <w:rPr>
                <w:rFonts w:hint="eastAsia"/>
                <w:color w:val="auto"/>
                <w:highlight w:val="none"/>
                <w:lang w:val="en-US" w:eastAsia="zh-CN"/>
              </w:rPr>
              <w:t>2-1     项目水平衡</w:t>
            </w:r>
            <w:r>
              <w:rPr>
                <w:color w:val="auto"/>
                <w:highlight w:val="none"/>
                <w:lang w:val="en-US" w:eastAsia="zh-CN"/>
              </w:rPr>
              <w:t>图</w:t>
            </w:r>
            <w:r>
              <w:rPr>
                <w:rFonts w:hint="eastAsia"/>
                <w:color w:val="auto"/>
                <w:highlight w:val="none"/>
                <w:lang w:val="en-US" w:eastAsia="zh-CN"/>
              </w:rPr>
              <w:t>m</w:t>
            </w:r>
            <w:r>
              <w:rPr>
                <w:rFonts w:hint="eastAsia"/>
                <w:color w:val="auto"/>
                <w:highlight w:val="none"/>
                <w:vertAlign w:val="superscript"/>
                <w:lang w:val="en-US" w:eastAsia="zh-CN"/>
              </w:rPr>
              <w:t>3</w:t>
            </w:r>
            <w:r>
              <w:rPr>
                <w:rFonts w:hint="eastAsia"/>
                <w:color w:val="auto"/>
                <w:highlight w:val="none"/>
                <w:lang w:val="en-US" w:eastAsia="zh-CN"/>
              </w:rPr>
              <w:t>/d</w:t>
            </w:r>
          </w:p>
          <w:p w14:paraId="23939240">
            <w:pPr>
              <w:pStyle w:val="11"/>
              <w:numPr>
                <w:ilvl w:val="0"/>
                <w:numId w:val="5"/>
              </w:numPr>
              <w:bidi w:val="0"/>
              <w:rPr>
                <w:color w:val="auto"/>
                <w:highlight w:val="none"/>
              </w:rPr>
            </w:pPr>
            <w:r>
              <w:rPr>
                <w:color w:val="auto"/>
                <w:highlight w:val="none"/>
              </w:rPr>
              <w:t>供电</w:t>
            </w:r>
          </w:p>
          <w:p w14:paraId="74EEDBB5">
            <w:pPr>
              <w:pStyle w:val="11"/>
              <w:bidi w:val="0"/>
              <w:rPr>
                <w:color w:val="auto"/>
                <w:highlight w:val="none"/>
              </w:rPr>
            </w:pPr>
            <w:r>
              <w:rPr>
                <w:color w:val="auto"/>
                <w:highlight w:val="none"/>
              </w:rPr>
              <w:t>本项目电源由</w:t>
            </w:r>
            <w:r>
              <w:rPr>
                <w:rFonts w:hint="eastAsia"/>
                <w:color w:val="auto"/>
                <w:highlight w:val="none"/>
                <w:lang w:val="en-US" w:eastAsia="zh-CN"/>
              </w:rPr>
              <w:t>洋县</w:t>
            </w:r>
            <w:r>
              <w:rPr>
                <w:color w:val="auto"/>
                <w:highlight w:val="none"/>
              </w:rPr>
              <w:t>市政供电系统供给，引至厂内配电室。</w:t>
            </w:r>
          </w:p>
          <w:p w14:paraId="6355FD8A">
            <w:pPr>
              <w:pStyle w:val="11"/>
              <w:numPr>
                <w:ilvl w:val="0"/>
                <w:numId w:val="5"/>
              </w:numPr>
              <w:bidi w:val="0"/>
              <w:rPr>
                <w:rFonts w:hint="eastAsia"/>
                <w:color w:val="auto"/>
                <w:highlight w:val="none"/>
                <w:lang w:val="en-US" w:eastAsia="zh-CN"/>
              </w:rPr>
            </w:pPr>
            <w:r>
              <w:rPr>
                <w:rFonts w:hint="eastAsia"/>
                <w:color w:val="auto"/>
                <w:highlight w:val="none"/>
                <w:lang w:val="en-US" w:eastAsia="zh-CN"/>
              </w:rPr>
              <w:t>供暖</w:t>
            </w:r>
          </w:p>
          <w:p w14:paraId="04C1F40E">
            <w:pPr>
              <w:pStyle w:val="11"/>
              <w:bidi w:val="0"/>
              <w:rPr>
                <w:rFonts w:hint="eastAsia"/>
                <w:color w:val="auto"/>
                <w:highlight w:val="none"/>
                <w:lang w:val="en-US" w:eastAsia="zh-CN"/>
              </w:rPr>
            </w:pPr>
            <w:r>
              <w:rPr>
                <w:color w:val="auto"/>
                <w:highlight w:val="none"/>
              </w:rPr>
              <w:t>本项目办公楼由分体式空调提供供暖，车间不设锅炉。</w:t>
            </w:r>
          </w:p>
          <w:p w14:paraId="7658CB54">
            <w:pPr>
              <w:pStyle w:val="11"/>
              <w:numPr>
                <w:ilvl w:val="0"/>
                <w:numId w:val="2"/>
              </w:numPr>
              <w:bidi w:val="0"/>
              <w:ind w:left="0" w:leftChars="0" w:right="0" w:rightChars="0" w:firstLine="482" w:firstLineChars="200"/>
              <w:rPr>
                <w:rFonts w:hint="eastAsia"/>
                <w:b/>
                <w:bCs/>
                <w:color w:val="auto"/>
                <w:highlight w:val="none"/>
                <w:lang w:val="en-US" w:eastAsia="zh-CN"/>
              </w:rPr>
            </w:pPr>
            <w:r>
              <w:rPr>
                <w:rFonts w:hint="eastAsia"/>
                <w:b/>
                <w:bCs/>
                <w:color w:val="auto"/>
                <w:highlight w:val="none"/>
                <w:lang w:val="en-US" w:eastAsia="zh-CN"/>
              </w:rPr>
              <w:t>物料平衡</w:t>
            </w:r>
          </w:p>
          <w:p w14:paraId="24A5A9E8">
            <w:pPr>
              <w:pStyle w:val="11"/>
              <w:bidi w:val="0"/>
              <w:rPr>
                <w:rFonts w:hint="eastAsia"/>
                <w:color w:val="auto"/>
                <w:highlight w:val="none"/>
                <w:lang w:val="en-US" w:eastAsia="zh-CN"/>
              </w:rPr>
            </w:pPr>
            <w:r>
              <w:rPr>
                <w:rFonts w:hint="eastAsia"/>
                <w:color w:val="auto"/>
                <w:highlight w:val="none"/>
                <w:lang w:val="en-US" w:eastAsia="zh-CN"/>
              </w:rPr>
              <w:t>本项目生产物料平衡见下表。</w:t>
            </w:r>
          </w:p>
          <w:p w14:paraId="4B32D8DD">
            <w:pPr>
              <w:pStyle w:val="32"/>
              <w:bidi w:val="0"/>
              <w:rPr>
                <w:rFonts w:hint="eastAsia"/>
                <w:color w:val="auto"/>
                <w:highlight w:val="none"/>
                <w:lang w:val="en-US" w:eastAsia="zh-CN"/>
              </w:rPr>
            </w:pPr>
            <w:r>
              <w:rPr>
                <w:rFonts w:hint="eastAsia"/>
                <w:color w:val="auto"/>
                <w:highlight w:val="none"/>
                <w:lang w:val="en-US" w:eastAsia="zh-CN"/>
              </w:rPr>
              <w:t>表2-8   本项目生产物料平衡  单位：t/a</w:t>
            </w:r>
          </w:p>
          <w:tbl>
            <w:tblPr>
              <w:tblStyle w:val="27"/>
              <w:tblW w:w="7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6"/>
              <w:gridCol w:w="1986"/>
              <w:gridCol w:w="993"/>
              <w:gridCol w:w="993"/>
              <w:gridCol w:w="1987"/>
            </w:tblGrid>
            <w:tr w14:paraId="2EE0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 w:hRule="atLeast"/>
              </w:trPr>
              <w:tc>
                <w:tcPr>
                  <w:tcW w:w="3972" w:type="dxa"/>
                  <w:gridSpan w:val="2"/>
                </w:tcPr>
                <w:p w14:paraId="19DC45CB">
                  <w:pPr>
                    <w:pStyle w:val="49"/>
                    <w:bidi w:val="0"/>
                    <w:rPr>
                      <w:rFonts w:hint="default"/>
                      <w:b/>
                      <w:bCs/>
                      <w:color w:val="auto"/>
                      <w:highlight w:val="none"/>
                      <w:lang w:val="en-US" w:eastAsia="zh-CN"/>
                    </w:rPr>
                  </w:pPr>
                  <w:r>
                    <w:rPr>
                      <w:rFonts w:hint="eastAsia"/>
                      <w:b/>
                      <w:bCs/>
                      <w:color w:val="auto"/>
                      <w:highlight w:val="none"/>
                      <w:lang w:val="en-US" w:eastAsia="zh-CN"/>
                    </w:rPr>
                    <w:t>输入过程</w:t>
                  </w:r>
                </w:p>
              </w:tc>
              <w:tc>
                <w:tcPr>
                  <w:tcW w:w="3973" w:type="dxa"/>
                  <w:gridSpan w:val="3"/>
                </w:tcPr>
                <w:p w14:paraId="7732DB26">
                  <w:pPr>
                    <w:pStyle w:val="49"/>
                    <w:bidi w:val="0"/>
                    <w:rPr>
                      <w:rFonts w:hint="default"/>
                      <w:b/>
                      <w:bCs/>
                      <w:color w:val="auto"/>
                      <w:highlight w:val="none"/>
                      <w:lang w:val="en-US" w:eastAsia="zh-CN"/>
                    </w:rPr>
                  </w:pPr>
                  <w:r>
                    <w:rPr>
                      <w:rFonts w:hint="eastAsia"/>
                      <w:b/>
                      <w:bCs/>
                      <w:color w:val="auto"/>
                      <w:highlight w:val="none"/>
                      <w:lang w:val="en-US" w:eastAsia="zh-CN"/>
                    </w:rPr>
                    <w:t>输出过程</w:t>
                  </w:r>
                </w:p>
              </w:tc>
            </w:tr>
            <w:tr w14:paraId="1E26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tcPr>
                <w:p w14:paraId="1E92C9CE">
                  <w:pPr>
                    <w:pStyle w:val="49"/>
                    <w:bidi w:val="0"/>
                    <w:rPr>
                      <w:rFonts w:hint="default"/>
                      <w:b/>
                      <w:bCs/>
                      <w:color w:val="auto"/>
                      <w:highlight w:val="none"/>
                      <w:lang w:val="en-US" w:eastAsia="zh-CN"/>
                    </w:rPr>
                  </w:pPr>
                  <w:r>
                    <w:rPr>
                      <w:rFonts w:hint="eastAsia"/>
                      <w:b/>
                      <w:bCs/>
                      <w:color w:val="auto"/>
                      <w:highlight w:val="none"/>
                      <w:lang w:val="en-US" w:eastAsia="zh-CN"/>
                    </w:rPr>
                    <w:t>物料名称</w:t>
                  </w:r>
                </w:p>
              </w:tc>
              <w:tc>
                <w:tcPr>
                  <w:tcW w:w="1986" w:type="dxa"/>
                </w:tcPr>
                <w:p w14:paraId="26248E8E">
                  <w:pPr>
                    <w:pStyle w:val="49"/>
                    <w:bidi w:val="0"/>
                    <w:rPr>
                      <w:rFonts w:hint="default"/>
                      <w:b/>
                      <w:bCs/>
                      <w:color w:val="auto"/>
                      <w:highlight w:val="none"/>
                      <w:lang w:val="en-US" w:eastAsia="zh-CN"/>
                    </w:rPr>
                  </w:pPr>
                  <w:r>
                    <w:rPr>
                      <w:rFonts w:hint="eastAsia"/>
                      <w:b/>
                      <w:bCs/>
                      <w:color w:val="auto"/>
                      <w:highlight w:val="none"/>
                      <w:lang w:val="en-US" w:eastAsia="zh-CN"/>
                    </w:rPr>
                    <w:t>数量</w:t>
                  </w:r>
                </w:p>
              </w:tc>
              <w:tc>
                <w:tcPr>
                  <w:tcW w:w="1986" w:type="dxa"/>
                  <w:gridSpan w:val="2"/>
                  <w:shd w:val="clear" w:color="auto" w:fill="auto"/>
                  <w:vAlign w:val="top"/>
                </w:tcPr>
                <w:p w14:paraId="6716C7FA">
                  <w:pPr>
                    <w:pStyle w:val="49"/>
                    <w:bidi w:val="0"/>
                    <w:ind w:left="0" w:leftChars="0" w:firstLine="0" w:firstLineChars="0"/>
                    <w:rPr>
                      <w:rFonts w:hint="default" w:ascii="Times New Roman" w:hAnsi="Times New Roman" w:eastAsia="宋体" w:cs="Times New Roman"/>
                      <w:b/>
                      <w:bCs/>
                      <w:color w:val="auto"/>
                      <w:kern w:val="0"/>
                      <w:sz w:val="21"/>
                      <w:szCs w:val="20"/>
                      <w:highlight w:val="none"/>
                      <w:lang w:val="en-US" w:eastAsia="zh-CN" w:bidi="ar-SA"/>
                    </w:rPr>
                  </w:pPr>
                  <w:r>
                    <w:rPr>
                      <w:rFonts w:hint="eastAsia"/>
                      <w:b/>
                      <w:bCs/>
                      <w:color w:val="auto"/>
                      <w:highlight w:val="none"/>
                      <w:lang w:val="en-US" w:eastAsia="zh-CN"/>
                    </w:rPr>
                    <w:t>物料名称</w:t>
                  </w:r>
                </w:p>
              </w:tc>
              <w:tc>
                <w:tcPr>
                  <w:tcW w:w="1987" w:type="dxa"/>
                  <w:shd w:val="clear" w:color="auto" w:fill="auto"/>
                  <w:vAlign w:val="top"/>
                </w:tcPr>
                <w:p w14:paraId="423B6FE1">
                  <w:pPr>
                    <w:pStyle w:val="49"/>
                    <w:bidi w:val="0"/>
                    <w:ind w:left="0" w:leftChars="0" w:firstLine="0" w:firstLineChars="0"/>
                    <w:rPr>
                      <w:rFonts w:hint="default" w:ascii="Times New Roman" w:hAnsi="Times New Roman" w:eastAsia="宋体" w:cs="Times New Roman"/>
                      <w:b/>
                      <w:bCs/>
                      <w:color w:val="auto"/>
                      <w:kern w:val="0"/>
                      <w:sz w:val="21"/>
                      <w:szCs w:val="20"/>
                      <w:highlight w:val="none"/>
                      <w:lang w:val="en-US" w:eastAsia="zh-CN" w:bidi="ar-SA"/>
                    </w:rPr>
                  </w:pPr>
                  <w:r>
                    <w:rPr>
                      <w:rFonts w:hint="eastAsia"/>
                      <w:b/>
                      <w:bCs/>
                      <w:color w:val="auto"/>
                      <w:highlight w:val="none"/>
                      <w:lang w:val="en-US" w:eastAsia="zh-CN"/>
                    </w:rPr>
                    <w:t>数量</w:t>
                  </w:r>
                </w:p>
              </w:tc>
            </w:tr>
            <w:tr w14:paraId="17EA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shd w:val="clear" w:color="auto" w:fill="auto"/>
                  <w:vAlign w:val="center"/>
                </w:tcPr>
                <w:p w14:paraId="469D04FC">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农作物秸秆</w:t>
                  </w:r>
                </w:p>
              </w:tc>
              <w:tc>
                <w:tcPr>
                  <w:tcW w:w="1986" w:type="dxa"/>
                </w:tcPr>
                <w:p w14:paraId="3A2EE144">
                  <w:pPr>
                    <w:pStyle w:val="49"/>
                    <w:bidi w:val="0"/>
                    <w:rPr>
                      <w:rFonts w:hint="default"/>
                      <w:color w:val="auto"/>
                      <w:highlight w:val="none"/>
                      <w:lang w:val="en-US" w:eastAsia="zh-CN"/>
                    </w:rPr>
                  </w:pPr>
                  <w:r>
                    <w:rPr>
                      <w:rFonts w:hint="eastAsia"/>
                      <w:color w:val="auto"/>
                      <w:highlight w:val="none"/>
                      <w:lang w:val="en-US" w:eastAsia="zh-CN"/>
                    </w:rPr>
                    <w:t>20000</w:t>
                  </w:r>
                </w:p>
              </w:tc>
              <w:tc>
                <w:tcPr>
                  <w:tcW w:w="1986" w:type="dxa"/>
                  <w:gridSpan w:val="2"/>
                  <w:shd w:val="clear" w:color="auto" w:fill="auto"/>
                  <w:vAlign w:val="center"/>
                </w:tcPr>
                <w:p w14:paraId="00B474FC">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秸秆炭（块状）</w:t>
                  </w:r>
                </w:p>
              </w:tc>
              <w:tc>
                <w:tcPr>
                  <w:tcW w:w="1987" w:type="dxa"/>
                  <w:shd w:val="clear" w:color="auto" w:fill="auto"/>
                  <w:vAlign w:val="center"/>
                </w:tcPr>
                <w:p w14:paraId="76E4358C">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4941.6</w:t>
                  </w:r>
                </w:p>
              </w:tc>
            </w:tr>
            <w:tr w14:paraId="59FF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shd w:val="clear" w:color="auto" w:fill="auto"/>
                  <w:vAlign w:val="center"/>
                </w:tcPr>
                <w:p w14:paraId="3B6F45E3">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氮磷钾浓缩乳液</w:t>
                  </w:r>
                </w:p>
              </w:tc>
              <w:tc>
                <w:tcPr>
                  <w:tcW w:w="1986" w:type="dxa"/>
                  <w:shd w:val="clear" w:color="auto" w:fill="auto"/>
                  <w:vAlign w:val="top"/>
                </w:tcPr>
                <w:p w14:paraId="4E0B6887">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1000</w:t>
                  </w:r>
                </w:p>
              </w:tc>
              <w:tc>
                <w:tcPr>
                  <w:tcW w:w="1986" w:type="dxa"/>
                  <w:gridSpan w:val="2"/>
                  <w:shd w:val="clear" w:color="auto" w:fill="auto"/>
                  <w:vAlign w:val="center"/>
                </w:tcPr>
                <w:p w14:paraId="738EEA53">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净化秸秆气</w:t>
                  </w:r>
                </w:p>
              </w:tc>
              <w:tc>
                <w:tcPr>
                  <w:tcW w:w="1987" w:type="dxa"/>
                  <w:shd w:val="clear" w:color="auto" w:fill="auto"/>
                  <w:vAlign w:val="center"/>
                </w:tcPr>
                <w:p w14:paraId="55305371">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4744.5</w:t>
                  </w:r>
                </w:p>
              </w:tc>
            </w:tr>
            <w:tr w14:paraId="04A2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shd w:val="clear" w:color="auto" w:fill="auto"/>
                  <w:vAlign w:val="center"/>
                </w:tcPr>
                <w:p w14:paraId="202F41E8">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畜禽粪便</w:t>
                  </w:r>
                </w:p>
              </w:tc>
              <w:tc>
                <w:tcPr>
                  <w:tcW w:w="1986" w:type="dxa"/>
                  <w:shd w:val="clear" w:color="auto" w:fill="auto"/>
                  <w:vAlign w:val="top"/>
                </w:tcPr>
                <w:p w14:paraId="200507E1">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3000</w:t>
                  </w:r>
                </w:p>
              </w:tc>
              <w:tc>
                <w:tcPr>
                  <w:tcW w:w="1986" w:type="dxa"/>
                  <w:gridSpan w:val="2"/>
                  <w:shd w:val="clear" w:color="auto" w:fill="auto"/>
                  <w:vAlign w:val="center"/>
                </w:tcPr>
                <w:p w14:paraId="6E783DFF">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有机肥</w:t>
                  </w:r>
                </w:p>
              </w:tc>
              <w:tc>
                <w:tcPr>
                  <w:tcW w:w="1987" w:type="dxa"/>
                  <w:shd w:val="clear" w:color="auto" w:fill="auto"/>
                  <w:vAlign w:val="center"/>
                </w:tcPr>
                <w:p w14:paraId="131B2AA0">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5000</w:t>
                  </w:r>
                </w:p>
              </w:tc>
            </w:tr>
            <w:tr w14:paraId="04A1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6" w:type="dxa"/>
                  <w:shd w:val="clear" w:color="auto" w:fill="auto"/>
                  <w:vAlign w:val="center"/>
                </w:tcPr>
                <w:p w14:paraId="3AE04211">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肥料产线用水</w:t>
                  </w:r>
                </w:p>
              </w:tc>
              <w:tc>
                <w:tcPr>
                  <w:tcW w:w="1986" w:type="dxa"/>
                  <w:shd w:val="clear" w:color="auto" w:fill="auto"/>
                  <w:vAlign w:val="top"/>
                </w:tcPr>
                <w:p w14:paraId="278F63AB">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10</w:t>
                  </w:r>
                </w:p>
              </w:tc>
              <w:tc>
                <w:tcPr>
                  <w:tcW w:w="1986" w:type="dxa"/>
                  <w:gridSpan w:val="2"/>
                  <w:shd w:val="clear" w:color="auto" w:fill="auto"/>
                  <w:vAlign w:val="center"/>
                </w:tcPr>
                <w:p w14:paraId="21E66049">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秸秆炭粉</w:t>
                  </w:r>
                </w:p>
              </w:tc>
              <w:tc>
                <w:tcPr>
                  <w:tcW w:w="1987" w:type="dxa"/>
                  <w:shd w:val="clear" w:color="auto" w:fill="auto"/>
                  <w:vAlign w:val="center"/>
                </w:tcPr>
                <w:p w14:paraId="4A8B691F">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1000</w:t>
                  </w:r>
                </w:p>
              </w:tc>
            </w:tr>
            <w:tr w14:paraId="2F195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7739185">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p>
              </w:tc>
              <w:tc>
                <w:tcPr>
                  <w:tcW w:w="1986" w:type="dxa"/>
                  <w:shd w:val="clear" w:color="auto" w:fill="auto"/>
                  <w:vAlign w:val="top"/>
                </w:tcPr>
                <w:p w14:paraId="6DE13BCC">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p>
              </w:tc>
              <w:tc>
                <w:tcPr>
                  <w:tcW w:w="1986" w:type="dxa"/>
                  <w:gridSpan w:val="2"/>
                  <w:shd w:val="clear" w:color="auto" w:fill="auto"/>
                  <w:vAlign w:val="center"/>
                </w:tcPr>
                <w:p w14:paraId="66D714A5">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木焦油</w:t>
                  </w:r>
                </w:p>
              </w:tc>
              <w:tc>
                <w:tcPr>
                  <w:tcW w:w="0" w:type="auto"/>
                  <w:shd w:val="clear" w:color="auto" w:fill="auto"/>
                  <w:vAlign w:val="center"/>
                </w:tcPr>
                <w:p w14:paraId="50DBC8B2">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322.88</w:t>
                  </w:r>
                </w:p>
              </w:tc>
            </w:tr>
            <w:tr w14:paraId="3E1F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ACE934C">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p>
              </w:tc>
              <w:tc>
                <w:tcPr>
                  <w:tcW w:w="1986" w:type="dxa"/>
                </w:tcPr>
                <w:p w14:paraId="2484FDB6">
                  <w:pPr>
                    <w:pStyle w:val="49"/>
                    <w:bidi w:val="0"/>
                    <w:rPr>
                      <w:rFonts w:hint="default"/>
                      <w:color w:val="auto"/>
                      <w:highlight w:val="none"/>
                      <w:lang w:val="en-US" w:eastAsia="zh-CN"/>
                    </w:rPr>
                  </w:pPr>
                </w:p>
              </w:tc>
              <w:tc>
                <w:tcPr>
                  <w:tcW w:w="1986" w:type="dxa"/>
                  <w:gridSpan w:val="2"/>
                  <w:shd w:val="clear" w:color="auto" w:fill="auto"/>
                  <w:vAlign w:val="center"/>
                </w:tcPr>
                <w:p w14:paraId="4967CC61">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木醋液</w:t>
                  </w:r>
                </w:p>
              </w:tc>
              <w:tc>
                <w:tcPr>
                  <w:tcW w:w="0" w:type="auto"/>
                  <w:shd w:val="clear" w:color="auto" w:fill="auto"/>
                  <w:vAlign w:val="center"/>
                </w:tcPr>
                <w:p w14:paraId="38C5E912">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6140.485</w:t>
                  </w:r>
                </w:p>
              </w:tc>
            </w:tr>
            <w:tr w14:paraId="689E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B349859">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69416B8A">
                  <w:pPr>
                    <w:pStyle w:val="49"/>
                    <w:bidi w:val="0"/>
                    <w:rPr>
                      <w:rFonts w:hint="eastAsia"/>
                      <w:color w:val="auto"/>
                      <w:highlight w:val="none"/>
                      <w:lang w:val="en-US" w:eastAsia="zh-CN"/>
                    </w:rPr>
                  </w:pPr>
                </w:p>
              </w:tc>
              <w:tc>
                <w:tcPr>
                  <w:tcW w:w="993" w:type="dxa"/>
                  <w:vMerge w:val="restart"/>
                  <w:shd w:val="clear" w:color="auto" w:fill="auto"/>
                  <w:vAlign w:val="center"/>
                </w:tcPr>
                <w:p w14:paraId="7F4D709A">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废气</w:t>
                  </w:r>
                </w:p>
              </w:tc>
              <w:tc>
                <w:tcPr>
                  <w:tcW w:w="993" w:type="dxa"/>
                  <w:shd w:val="clear" w:color="auto" w:fill="auto"/>
                  <w:vAlign w:val="center"/>
                </w:tcPr>
                <w:p w14:paraId="58243EAD">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颗粒物</w:t>
                  </w:r>
                </w:p>
              </w:tc>
              <w:tc>
                <w:tcPr>
                  <w:tcW w:w="0" w:type="auto"/>
                  <w:shd w:val="clear" w:color="auto" w:fill="auto"/>
                  <w:vAlign w:val="center"/>
                </w:tcPr>
                <w:p w14:paraId="18356FB1">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35.01</w:t>
                  </w:r>
                </w:p>
              </w:tc>
            </w:tr>
            <w:tr w14:paraId="29054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F2CE457">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457BD810">
                  <w:pPr>
                    <w:pStyle w:val="49"/>
                    <w:bidi w:val="0"/>
                    <w:rPr>
                      <w:rFonts w:hint="eastAsia"/>
                      <w:color w:val="auto"/>
                      <w:highlight w:val="none"/>
                      <w:lang w:val="en-US" w:eastAsia="zh-CN"/>
                    </w:rPr>
                  </w:pPr>
                </w:p>
              </w:tc>
              <w:tc>
                <w:tcPr>
                  <w:tcW w:w="993" w:type="dxa"/>
                  <w:vMerge w:val="continue"/>
                  <w:shd w:val="clear" w:color="auto" w:fill="auto"/>
                  <w:vAlign w:val="center"/>
                </w:tcPr>
                <w:p w14:paraId="629EC9F9">
                  <w:pPr>
                    <w:pStyle w:val="49"/>
                    <w:bidi w:val="0"/>
                    <w:ind w:left="0" w:leftChars="0" w:firstLine="0" w:firstLineChars="0"/>
                    <w:jc w:val="center"/>
                    <w:rPr>
                      <w:rFonts w:hint="eastAsia"/>
                      <w:color w:val="auto"/>
                      <w:highlight w:val="none"/>
                      <w:lang w:val="en-US" w:eastAsia="zh-CN"/>
                    </w:rPr>
                  </w:pPr>
                </w:p>
              </w:tc>
              <w:tc>
                <w:tcPr>
                  <w:tcW w:w="993" w:type="dxa"/>
                  <w:shd w:val="clear" w:color="auto" w:fill="auto"/>
                  <w:vAlign w:val="center"/>
                </w:tcPr>
                <w:p w14:paraId="3DE6ACDD">
                  <w:pPr>
                    <w:pStyle w:val="49"/>
                    <w:bidi w:val="0"/>
                    <w:ind w:left="0" w:leftChars="0" w:firstLine="0" w:firstLineChars="0"/>
                    <w:jc w:val="center"/>
                    <w:rPr>
                      <w:rFonts w:hint="default"/>
                      <w:color w:val="auto"/>
                      <w:highlight w:val="none"/>
                      <w:vertAlign w:val="subscript"/>
                      <w:lang w:val="en-US" w:eastAsia="zh-CN"/>
                    </w:rPr>
                  </w:pPr>
                  <w:r>
                    <w:rPr>
                      <w:rFonts w:hint="eastAsia"/>
                      <w:color w:val="auto"/>
                      <w:highlight w:val="none"/>
                      <w:lang w:val="en-US" w:eastAsia="zh-CN"/>
                    </w:rPr>
                    <w:t>NO</w:t>
                  </w:r>
                  <w:r>
                    <w:rPr>
                      <w:rFonts w:hint="eastAsia"/>
                      <w:color w:val="auto"/>
                      <w:highlight w:val="none"/>
                      <w:vertAlign w:val="subscript"/>
                      <w:lang w:val="en-US" w:eastAsia="zh-CN"/>
                    </w:rPr>
                    <w:t>x</w:t>
                  </w:r>
                </w:p>
              </w:tc>
              <w:tc>
                <w:tcPr>
                  <w:tcW w:w="0" w:type="auto"/>
                  <w:shd w:val="clear" w:color="auto" w:fill="auto"/>
                  <w:vAlign w:val="center"/>
                </w:tcPr>
                <w:p w14:paraId="364B3BDE">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3.404</w:t>
                  </w:r>
                </w:p>
              </w:tc>
            </w:tr>
            <w:tr w14:paraId="5557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4AB4289">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199A00BD">
                  <w:pPr>
                    <w:pStyle w:val="49"/>
                    <w:bidi w:val="0"/>
                    <w:rPr>
                      <w:rFonts w:hint="eastAsia"/>
                      <w:color w:val="auto"/>
                      <w:highlight w:val="none"/>
                      <w:lang w:val="en-US" w:eastAsia="zh-CN"/>
                    </w:rPr>
                  </w:pPr>
                </w:p>
              </w:tc>
              <w:tc>
                <w:tcPr>
                  <w:tcW w:w="993" w:type="dxa"/>
                  <w:vMerge w:val="continue"/>
                  <w:shd w:val="clear" w:color="auto" w:fill="auto"/>
                  <w:vAlign w:val="center"/>
                </w:tcPr>
                <w:p w14:paraId="7534B4FB">
                  <w:pPr>
                    <w:pStyle w:val="49"/>
                    <w:bidi w:val="0"/>
                    <w:ind w:left="0" w:leftChars="0" w:firstLine="0" w:firstLineChars="0"/>
                    <w:jc w:val="center"/>
                    <w:rPr>
                      <w:rFonts w:hint="eastAsia"/>
                      <w:color w:val="auto"/>
                      <w:highlight w:val="none"/>
                      <w:lang w:val="en-US" w:eastAsia="zh-CN"/>
                    </w:rPr>
                  </w:pPr>
                </w:p>
              </w:tc>
              <w:tc>
                <w:tcPr>
                  <w:tcW w:w="993" w:type="dxa"/>
                  <w:shd w:val="clear" w:color="auto" w:fill="auto"/>
                  <w:vAlign w:val="center"/>
                </w:tcPr>
                <w:p w14:paraId="4BA27652">
                  <w:pPr>
                    <w:pStyle w:val="49"/>
                    <w:bidi w:val="0"/>
                    <w:ind w:left="0" w:leftChars="0" w:firstLine="0" w:firstLineChars="0"/>
                    <w:jc w:val="center"/>
                    <w:rPr>
                      <w:rFonts w:hint="default"/>
                      <w:color w:val="auto"/>
                      <w:highlight w:val="none"/>
                      <w:vertAlign w:val="subscript"/>
                      <w:lang w:val="en-US" w:eastAsia="zh-CN"/>
                    </w:rPr>
                  </w:pPr>
                  <w:r>
                    <w:rPr>
                      <w:rFonts w:hint="eastAsia"/>
                      <w:color w:val="auto"/>
                      <w:highlight w:val="none"/>
                      <w:lang w:val="en-US" w:eastAsia="zh-CN"/>
                    </w:rPr>
                    <w:t>SO</w:t>
                  </w:r>
                  <w:r>
                    <w:rPr>
                      <w:rFonts w:hint="eastAsia"/>
                      <w:color w:val="auto"/>
                      <w:highlight w:val="none"/>
                      <w:vertAlign w:val="subscript"/>
                      <w:lang w:val="en-US" w:eastAsia="zh-CN"/>
                    </w:rPr>
                    <w:t>2</w:t>
                  </w:r>
                </w:p>
              </w:tc>
              <w:tc>
                <w:tcPr>
                  <w:tcW w:w="0" w:type="auto"/>
                  <w:shd w:val="clear" w:color="auto" w:fill="auto"/>
                  <w:vAlign w:val="center"/>
                </w:tcPr>
                <w:p w14:paraId="1349861D">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2.372</w:t>
                  </w:r>
                </w:p>
              </w:tc>
            </w:tr>
            <w:tr w14:paraId="3E09B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01C20A6F">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0FE1EA54">
                  <w:pPr>
                    <w:pStyle w:val="49"/>
                    <w:bidi w:val="0"/>
                    <w:rPr>
                      <w:rFonts w:hint="eastAsia"/>
                      <w:color w:val="auto"/>
                      <w:highlight w:val="none"/>
                      <w:lang w:val="en-US" w:eastAsia="zh-CN"/>
                    </w:rPr>
                  </w:pPr>
                </w:p>
              </w:tc>
              <w:tc>
                <w:tcPr>
                  <w:tcW w:w="993" w:type="dxa"/>
                  <w:vMerge w:val="continue"/>
                  <w:shd w:val="clear" w:color="auto" w:fill="auto"/>
                  <w:vAlign w:val="center"/>
                </w:tcPr>
                <w:p w14:paraId="000516B3">
                  <w:pPr>
                    <w:pStyle w:val="49"/>
                    <w:bidi w:val="0"/>
                    <w:ind w:left="0" w:leftChars="0" w:firstLine="0" w:firstLineChars="0"/>
                    <w:jc w:val="center"/>
                    <w:rPr>
                      <w:rFonts w:hint="eastAsia"/>
                      <w:color w:val="auto"/>
                      <w:highlight w:val="none"/>
                      <w:lang w:val="en-US" w:eastAsia="zh-CN"/>
                    </w:rPr>
                  </w:pPr>
                </w:p>
              </w:tc>
              <w:tc>
                <w:tcPr>
                  <w:tcW w:w="993" w:type="dxa"/>
                  <w:shd w:val="clear" w:color="auto" w:fill="auto"/>
                  <w:vAlign w:val="center"/>
                </w:tcPr>
                <w:p w14:paraId="38EEF069">
                  <w:pPr>
                    <w:pStyle w:val="49"/>
                    <w:bidi w:val="0"/>
                    <w:ind w:left="0" w:leftChars="0" w:firstLine="0" w:firstLineChars="0"/>
                    <w:jc w:val="center"/>
                    <w:rPr>
                      <w:rFonts w:hint="default"/>
                      <w:color w:val="auto"/>
                      <w:highlight w:val="none"/>
                      <w:vertAlign w:val="subscript"/>
                      <w:lang w:val="en-US" w:eastAsia="zh-CN"/>
                    </w:rPr>
                  </w:pPr>
                  <w:r>
                    <w:rPr>
                      <w:rFonts w:hint="eastAsia"/>
                      <w:color w:val="auto"/>
                      <w:highlight w:val="none"/>
                      <w:lang w:val="en-US" w:eastAsia="zh-CN"/>
                    </w:rPr>
                    <w:t>NH</w:t>
                  </w:r>
                  <w:r>
                    <w:rPr>
                      <w:rFonts w:hint="eastAsia"/>
                      <w:color w:val="auto"/>
                      <w:highlight w:val="none"/>
                      <w:vertAlign w:val="subscript"/>
                      <w:lang w:val="en-US" w:eastAsia="zh-CN"/>
                    </w:rPr>
                    <w:t>3</w:t>
                  </w:r>
                </w:p>
              </w:tc>
              <w:tc>
                <w:tcPr>
                  <w:tcW w:w="0" w:type="auto"/>
                  <w:shd w:val="clear" w:color="auto" w:fill="auto"/>
                  <w:vAlign w:val="center"/>
                </w:tcPr>
                <w:p w14:paraId="710C6428">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0.05</w:t>
                  </w:r>
                </w:p>
              </w:tc>
            </w:tr>
            <w:tr w14:paraId="7A116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CF31176">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7620834C">
                  <w:pPr>
                    <w:pStyle w:val="49"/>
                    <w:bidi w:val="0"/>
                    <w:rPr>
                      <w:rFonts w:hint="eastAsia"/>
                      <w:color w:val="auto"/>
                      <w:highlight w:val="none"/>
                      <w:lang w:val="en-US" w:eastAsia="zh-CN"/>
                    </w:rPr>
                  </w:pPr>
                </w:p>
              </w:tc>
              <w:tc>
                <w:tcPr>
                  <w:tcW w:w="993" w:type="dxa"/>
                  <w:vMerge w:val="continue"/>
                  <w:shd w:val="clear" w:color="auto" w:fill="auto"/>
                  <w:vAlign w:val="center"/>
                </w:tcPr>
                <w:p w14:paraId="692DC7A2">
                  <w:pPr>
                    <w:pStyle w:val="49"/>
                    <w:bidi w:val="0"/>
                    <w:ind w:left="0" w:leftChars="0" w:firstLine="0" w:firstLineChars="0"/>
                    <w:jc w:val="center"/>
                    <w:rPr>
                      <w:rFonts w:hint="eastAsia"/>
                      <w:color w:val="auto"/>
                      <w:highlight w:val="none"/>
                      <w:lang w:val="en-US" w:eastAsia="zh-CN"/>
                    </w:rPr>
                  </w:pPr>
                </w:p>
              </w:tc>
              <w:tc>
                <w:tcPr>
                  <w:tcW w:w="993" w:type="dxa"/>
                  <w:shd w:val="clear" w:color="auto" w:fill="auto"/>
                  <w:vAlign w:val="center"/>
                </w:tcPr>
                <w:p w14:paraId="620FD3F1">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w:t>
                  </w:r>
                </w:p>
              </w:tc>
              <w:tc>
                <w:tcPr>
                  <w:tcW w:w="0" w:type="auto"/>
                  <w:shd w:val="clear" w:color="auto" w:fill="auto"/>
                  <w:vAlign w:val="center"/>
                </w:tcPr>
                <w:p w14:paraId="6F314D50">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0.005</w:t>
                  </w:r>
                </w:p>
              </w:tc>
            </w:tr>
            <w:tr w14:paraId="61BC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20B1ADE6">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028DDDEE">
                  <w:pPr>
                    <w:pStyle w:val="49"/>
                    <w:bidi w:val="0"/>
                    <w:rPr>
                      <w:rFonts w:hint="eastAsia"/>
                      <w:color w:val="auto"/>
                      <w:highlight w:val="none"/>
                      <w:lang w:val="en-US" w:eastAsia="zh-CN"/>
                    </w:rPr>
                  </w:pPr>
                </w:p>
              </w:tc>
              <w:tc>
                <w:tcPr>
                  <w:tcW w:w="993" w:type="dxa"/>
                  <w:vMerge w:val="continue"/>
                  <w:shd w:val="clear" w:color="auto" w:fill="auto"/>
                  <w:vAlign w:val="center"/>
                </w:tcPr>
                <w:p w14:paraId="7D056E26">
                  <w:pPr>
                    <w:pStyle w:val="49"/>
                    <w:bidi w:val="0"/>
                    <w:ind w:left="0" w:leftChars="0" w:firstLine="0" w:firstLineChars="0"/>
                    <w:jc w:val="center"/>
                    <w:rPr>
                      <w:rFonts w:hint="eastAsia"/>
                      <w:color w:val="auto"/>
                      <w:highlight w:val="none"/>
                      <w:lang w:val="en-US" w:eastAsia="zh-CN"/>
                    </w:rPr>
                  </w:pPr>
                </w:p>
              </w:tc>
              <w:tc>
                <w:tcPr>
                  <w:tcW w:w="993" w:type="dxa"/>
                  <w:shd w:val="clear" w:color="auto" w:fill="auto"/>
                  <w:vAlign w:val="center"/>
                </w:tcPr>
                <w:p w14:paraId="27FD6696">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NMHC</w:t>
                  </w:r>
                </w:p>
              </w:tc>
              <w:tc>
                <w:tcPr>
                  <w:tcW w:w="0" w:type="auto"/>
                  <w:shd w:val="clear" w:color="auto" w:fill="auto"/>
                  <w:vAlign w:val="center"/>
                </w:tcPr>
                <w:p w14:paraId="736A7504">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0.3649</w:t>
                  </w:r>
                </w:p>
              </w:tc>
            </w:tr>
            <w:tr w14:paraId="6F0A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F5B0AFB">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0292397F">
                  <w:pPr>
                    <w:pStyle w:val="49"/>
                    <w:bidi w:val="0"/>
                    <w:rPr>
                      <w:rFonts w:hint="eastAsia"/>
                      <w:color w:val="auto"/>
                      <w:highlight w:val="none"/>
                      <w:lang w:val="en-US" w:eastAsia="zh-CN"/>
                    </w:rPr>
                  </w:pPr>
                </w:p>
              </w:tc>
              <w:tc>
                <w:tcPr>
                  <w:tcW w:w="1986" w:type="dxa"/>
                  <w:gridSpan w:val="2"/>
                  <w:shd w:val="clear" w:color="auto" w:fill="auto"/>
                  <w:vAlign w:val="center"/>
                </w:tcPr>
                <w:p w14:paraId="5A88B520">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炭化炉灰渣</w:t>
                  </w:r>
                </w:p>
              </w:tc>
              <w:tc>
                <w:tcPr>
                  <w:tcW w:w="0" w:type="auto"/>
                  <w:shd w:val="clear" w:color="auto" w:fill="auto"/>
                  <w:vAlign w:val="center"/>
                </w:tcPr>
                <w:p w14:paraId="73D9E954">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40</w:t>
                  </w:r>
                </w:p>
              </w:tc>
            </w:tr>
            <w:tr w14:paraId="3FD6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1DA09AC2">
                  <w:pPr>
                    <w:pStyle w:val="49"/>
                    <w:bidi w:val="0"/>
                    <w:ind w:left="0" w:leftChars="0" w:firstLine="0" w:firstLineChars="0"/>
                    <w:jc w:val="center"/>
                    <w:rPr>
                      <w:rFonts w:hint="eastAsia" w:cs="Times New Roman"/>
                      <w:color w:val="auto"/>
                      <w:kern w:val="0"/>
                      <w:sz w:val="21"/>
                      <w:szCs w:val="20"/>
                      <w:highlight w:val="none"/>
                      <w:lang w:val="en-US" w:eastAsia="zh-CN" w:bidi="ar-SA"/>
                    </w:rPr>
                  </w:pPr>
                </w:p>
              </w:tc>
              <w:tc>
                <w:tcPr>
                  <w:tcW w:w="1986" w:type="dxa"/>
                </w:tcPr>
                <w:p w14:paraId="6A1BBF6B">
                  <w:pPr>
                    <w:pStyle w:val="49"/>
                    <w:bidi w:val="0"/>
                    <w:rPr>
                      <w:rFonts w:hint="eastAsia"/>
                      <w:color w:val="auto"/>
                      <w:highlight w:val="none"/>
                      <w:lang w:val="en-US" w:eastAsia="zh-CN"/>
                    </w:rPr>
                  </w:pPr>
                </w:p>
              </w:tc>
              <w:tc>
                <w:tcPr>
                  <w:tcW w:w="1986" w:type="dxa"/>
                  <w:gridSpan w:val="2"/>
                  <w:shd w:val="clear" w:color="auto" w:fill="auto"/>
                  <w:vAlign w:val="center"/>
                </w:tcPr>
                <w:p w14:paraId="38C4A683">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其他损失（有机质分解、水分蒸发等）</w:t>
                  </w:r>
                </w:p>
              </w:tc>
              <w:tc>
                <w:tcPr>
                  <w:tcW w:w="0" w:type="auto"/>
                  <w:shd w:val="clear" w:color="auto" w:fill="auto"/>
                  <w:vAlign w:val="center"/>
                </w:tcPr>
                <w:p w14:paraId="058538DF">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1779.33</w:t>
                  </w:r>
                </w:p>
              </w:tc>
            </w:tr>
            <w:tr w14:paraId="1A95A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9B0CEE0">
                  <w:pPr>
                    <w:pStyle w:val="49"/>
                    <w:bidi w:val="0"/>
                    <w:ind w:left="0" w:leftChars="0" w:firstLine="0" w:firstLineChars="0"/>
                    <w:jc w:val="center"/>
                    <w:rPr>
                      <w:rFonts w:hint="default"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合计</w:t>
                  </w:r>
                </w:p>
              </w:tc>
              <w:tc>
                <w:tcPr>
                  <w:tcW w:w="1986" w:type="dxa"/>
                </w:tcPr>
                <w:p w14:paraId="4C0879A0">
                  <w:pPr>
                    <w:pStyle w:val="49"/>
                    <w:bidi w:val="0"/>
                    <w:rPr>
                      <w:rFonts w:hint="default"/>
                      <w:color w:val="auto"/>
                      <w:highlight w:val="none"/>
                      <w:lang w:val="en-US" w:eastAsia="zh-CN"/>
                    </w:rPr>
                  </w:pPr>
                  <w:r>
                    <w:rPr>
                      <w:rFonts w:hint="eastAsia"/>
                      <w:color w:val="auto"/>
                      <w:highlight w:val="none"/>
                      <w:lang w:val="en-US" w:eastAsia="zh-CN"/>
                    </w:rPr>
                    <w:t>24010</w:t>
                  </w:r>
                </w:p>
              </w:tc>
              <w:tc>
                <w:tcPr>
                  <w:tcW w:w="1986" w:type="dxa"/>
                  <w:gridSpan w:val="2"/>
                  <w:shd w:val="clear" w:color="auto" w:fill="auto"/>
                  <w:vAlign w:val="center"/>
                </w:tcPr>
                <w:p w14:paraId="62919A64">
                  <w:pPr>
                    <w:pStyle w:val="49"/>
                    <w:bidi w:val="0"/>
                    <w:ind w:left="0" w:leftChars="0" w:firstLine="0" w:firstLineChars="0"/>
                    <w:jc w:val="center"/>
                    <w:rPr>
                      <w:rFonts w:hint="eastAsia"/>
                      <w:color w:val="auto"/>
                      <w:highlight w:val="none"/>
                      <w:lang w:val="en-US" w:eastAsia="zh-CN"/>
                    </w:rPr>
                  </w:pPr>
                  <w:r>
                    <w:rPr>
                      <w:rFonts w:hint="eastAsia" w:cs="Times New Roman"/>
                      <w:color w:val="auto"/>
                      <w:kern w:val="0"/>
                      <w:sz w:val="21"/>
                      <w:szCs w:val="20"/>
                      <w:highlight w:val="none"/>
                      <w:lang w:val="en-US" w:eastAsia="zh-CN" w:bidi="ar-SA"/>
                    </w:rPr>
                    <w:t>合计</w:t>
                  </w:r>
                </w:p>
              </w:tc>
              <w:tc>
                <w:tcPr>
                  <w:tcW w:w="0" w:type="auto"/>
                  <w:shd w:val="clear" w:color="auto" w:fill="auto"/>
                  <w:vAlign w:val="center"/>
                </w:tcPr>
                <w:p w14:paraId="77982D8C">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24010</w:t>
                  </w:r>
                </w:p>
              </w:tc>
            </w:tr>
            <w:tr w14:paraId="6484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45" w:type="dxa"/>
                  <w:gridSpan w:val="5"/>
                  <w:shd w:val="clear" w:color="auto" w:fill="auto"/>
                  <w:vAlign w:val="center"/>
                </w:tcPr>
                <w:p w14:paraId="31D190F7">
                  <w:pPr>
                    <w:pStyle w:val="49"/>
                    <w:bidi w:val="0"/>
                    <w:ind w:left="0" w:leftChars="0" w:firstLine="0" w:firstLineChars="0"/>
                    <w:jc w:val="left"/>
                    <w:rPr>
                      <w:rFonts w:hint="default" w:eastAsia="宋体"/>
                      <w:color w:val="auto"/>
                      <w:highlight w:val="none"/>
                      <w:vertAlign w:val="superscript"/>
                      <w:lang w:val="en-US" w:eastAsia="zh-CN"/>
                    </w:rPr>
                  </w:pPr>
                  <w:r>
                    <w:rPr>
                      <w:rFonts w:hint="eastAsia"/>
                      <w:color w:val="auto"/>
                      <w:highlight w:val="none"/>
                      <w:lang w:val="en-US" w:eastAsia="zh-CN"/>
                    </w:rPr>
                    <w:t>注</w:t>
                  </w:r>
                  <w:r>
                    <w:rPr>
                      <w:rStyle w:val="48"/>
                      <w:rFonts w:hint="eastAsia"/>
                      <w:color w:val="auto"/>
                      <w:highlight w:val="none"/>
                      <w:lang w:val="en-US" w:eastAsia="zh-CN"/>
                    </w:rPr>
                    <w:t>：秸秆气产量为</w:t>
                  </w:r>
                  <w:r>
                    <w:rPr>
                      <w:rFonts w:hint="eastAsia"/>
                      <w:color w:val="auto"/>
                      <w:highlight w:val="none"/>
                      <w:lang w:val="en-US" w:eastAsia="zh-CN"/>
                    </w:rPr>
                    <w:t>392.6万m</w:t>
                  </w:r>
                  <w:r>
                    <w:rPr>
                      <w:rFonts w:hint="eastAsia"/>
                      <w:color w:val="auto"/>
                      <w:highlight w:val="none"/>
                      <w:vertAlign w:val="superscript"/>
                      <w:lang w:val="en-US" w:eastAsia="zh-CN"/>
                    </w:rPr>
                    <w:t>3</w:t>
                  </w:r>
                  <w:r>
                    <w:rPr>
                      <w:rFonts w:hint="eastAsia"/>
                      <w:color w:val="auto"/>
                      <w:highlight w:val="none"/>
                      <w:vertAlign w:val="baseline"/>
                      <w:lang w:val="en-US" w:eastAsia="zh-CN"/>
                    </w:rPr>
                    <w:t>/a，</w:t>
                  </w:r>
                  <w:r>
                    <w:rPr>
                      <w:rStyle w:val="48"/>
                      <w:color w:val="auto"/>
                      <w:highlight w:val="none"/>
                    </w:rPr>
                    <w:t>密度</w:t>
                  </w:r>
                  <w:r>
                    <w:rPr>
                      <w:rStyle w:val="48"/>
                      <w:rFonts w:hint="eastAsia"/>
                      <w:color w:val="auto"/>
                      <w:highlight w:val="none"/>
                      <w:lang w:val="en-US" w:eastAsia="zh-CN"/>
                    </w:rPr>
                    <w:t>按</w:t>
                  </w:r>
                  <w:r>
                    <w:rPr>
                      <w:rStyle w:val="48"/>
                      <w:color w:val="auto"/>
                      <w:highlight w:val="none"/>
                    </w:rPr>
                    <w:t>1.208 kg/m³</w:t>
                  </w:r>
                  <w:r>
                    <w:rPr>
                      <w:rStyle w:val="48"/>
                      <w:rFonts w:hint="eastAsia"/>
                      <w:color w:val="auto"/>
                      <w:highlight w:val="none"/>
                      <w:lang w:val="en-US" w:eastAsia="zh-CN"/>
                    </w:rPr>
                    <w:t>进行换算。</w:t>
                  </w:r>
                </w:p>
              </w:tc>
            </w:tr>
          </w:tbl>
          <w:p w14:paraId="40CA383A">
            <w:pPr>
              <w:pStyle w:val="11"/>
              <w:numPr>
                <w:ilvl w:val="0"/>
                <w:numId w:val="2"/>
              </w:numPr>
              <w:bidi w:val="0"/>
              <w:ind w:left="0" w:leftChars="0" w:right="0" w:rightChars="0" w:firstLine="482" w:firstLineChars="200"/>
              <w:rPr>
                <w:rFonts w:hint="eastAsia"/>
                <w:b/>
                <w:bCs/>
                <w:color w:val="auto"/>
                <w:highlight w:val="none"/>
                <w:lang w:val="en-US" w:eastAsia="zh-CN"/>
              </w:rPr>
            </w:pPr>
            <w:r>
              <w:rPr>
                <w:rFonts w:hint="eastAsia"/>
                <w:b/>
                <w:bCs/>
                <w:color w:val="auto"/>
                <w:highlight w:val="none"/>
                <w:lang w:val="en-US" w:eastAsia="zh-CN"/>
              </w:rPr>
              <w:t>主要生产设备</w:t>
            </w:r>
          </w:p>
          <w:p w14:paraId="4B7BCB13">
            <w:pPr>
              <w:pStyle w:val="11"/>
              <w:bidi w:val="0"/>
              <w:rPr>
                <w:color w:val="auto"/>
                <w:highlight w:val="none"/>
              </w:rPr>
            </w:pPr>
            <w:r>
              <w:rPr>
                <w:color w:val="auto"/>
                <w:highlight w:val="none"/>
              </w:rPr>
              <w:t>本项目主要生产设备见表</w:t>
            </w:r>
            <w:r>
              <w:rPr>
                <w:rFonts w:hint="eastAsia"/>
                <w:color w:val="auto"/>
                <w:highlight w:val="none"/>
              </w:rPr>
              <w:t>2-</w:t>
            </w:r>
            <w:r>
              <w:rPr>
                <w:rFonts w:hint="eastAsia"/>
                <w:color w:val="auto"/>
                <w:highlight w:val="none"/>
                <w:lang w:val="en-US" w:eastAsia="zh-CN"/>
              </w:rPr>
              <w:t>9</w:t>
            </w:r>
            <w:r>
              <w:rPr>
                <w:color w:val="auto"/>
                <w:highlight w:val="none"/>
              </w:rPr>
              <w:t>。</w:t>
            </w:r>
          </w:p>
          <w:p w14:paraId="547B32E5">
            <w:pPr>
              <w:adjustRightInd w:val="0"/>
              <w:snapToGrid w:val="0"/>
              <w:jc w:val="center"/>
              <w:rPr>
                <w:b/>
                <w:bCs/>
                <w:color w:val="auto"/>
                <w:highlight w:val="none"/>
              </w:rPr>
            </w:pPr>
            <w:r>
              <w:rPr>
                <w:b/>
                <w:bCs/>
                <w:color w:val="auto"/>
                <w:highlight w:val="none"/>
              </w:rPr>
              <w:t>表</w:t>
            </w:r>
            <w:r>
              <w:rPr>
                <w:rFonts w:hint="eastAsia"/>
                <w:b/>
                <w:bCs/>
                <w:color w:val="auto"/>
                <w:highlight w:val="none"/>
              </w:rPr>
              <w:t>2</w:t>
            </w:r>
            <w:r>
              <w:rPr>
                <w:rFonts w:hint="eastAsia"/>
                <w:b/>
                <w:bCs/>
                <w:color w:val="auto"/>
                <w:highlight w:val="none"/>
                <w:lang w:val="en-US" w:eastAsia="zh-CN"/>
              </w:rPr>
              <w:t>-9</w:t>
            </w:r>
            <w:r>
              <w:rPr>
                <w:rFonts w:hint="eastAsia"/>
                <w:color w:val="auto"/>
                <w:highlight w:val="none"/>
                <w:lang w:val="en-US" w:eastAsia="zh-CN"/>
              </w:rPr>
              <w:t xml:space="preserve">    </w:t>
            </w:r>
            <w:r>
              <w:rPr>
                <w:b/>
                <w:bCs/>
                <w:color w:val="auto"/>
                <w:highlight w:val="none"/>
              </w:rPr>
              <w:t>主要设备一览表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2054"/>
              <w:gridCol w:w="2055"/>
              <w:gridCol w:w="2277"/>
            </w:tblGrid>
            <w:tr w14:paraId="2386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1E140D77">
                  <w:pPr>
                    <w:pStyle w:val="49"/>
                    <w:bidi w:val="0"/>
                    <w:rPr>
                      <w:b/>
                      <w:bCs/>
                      <w:color w:val="auto"/>
                      <w:highlight w:val="none"/>
                    </w:rPr>
                  </w:pPr>
                  <w:r>
                    <w:rPr>
                      <w:b/>
                      <w:bCs/>
                      <w:color w:val="auto"/>
                      <w:highlight w:val="none"/>
                    </w:rPr>
                    <w:t>类别</w:t>
                  </w:r>
                </w:p>
              </w:tc>
              <w:tc>
                <w:tcPr>
                  <w:tcW w:w="2054" w:type="dxa"/>
                  <w:noWrap w:val="0"/>
                  <w:vAlign w:val="center"/>
                </w:tcPr>
                <w:p w14:paraId="45A5FD84">
                  <w:pPr>
                    <w:pStyle w:val="49"/>
                    <w:bidi w:val="0"/>
                    <w:rPr>
                      <w:b/>
                      <w:bCs/>
                      <w:color w:val="auto"/>
                      <w:highlight w:val="none"/>
                    </w:rPr>
                  </w:pPr>
                  <w:r>
                    <w:rPr>
                      <w:b/>
                      <w:bCs/>
                      <w:color w:val="auto"/>
                      <w:highlight w:val="none"/>
                    </w:rPr>
                    <w:t>设备名称</w:t>
                  </w:r>
                </w:p>
              </w:tc>
              <w:tc>
                <w:tcPr>
                  <w:tcW w:w="2055" w:type="dxa"/>
                  <w:noWrap w:val="0"/>
                  <w:vAlign w:val="center"/>
                </w:tcPr>
                <w:p w14:paraId="07E4670E">
                  <w:pPr>
                    <w:pStyle w:val="49"/>
                    <w:bidi w:val="0"/>
                    <w:rPr>
                      <w:rFonts w:hint="default"/>
                      <w:b/>
                      <w:bCs/>
                      <w:color w:val="auto"/>
                      <w:highlight w:val="none"/>
                      <w:lang w:val="en-US" w:eastAsia="zh-CN"/>
                    </w:rPr>
                  </w:pPr>
                  <w:r>
                    <w:rPr>
                      <w:rFonts w:hint="eastAsia"/>
                      <w:b/>
                      <w:bCs/>
                      <w:color w:val="auto"/>
                      <w:highlight w:val="none"/>
                      <w:lang w:val="en-US" w:eastAsia="zh-CN"/>
                    </w:rPr>
                    <w:t>规格型号</w:t>
                  </w:r>
                </w:p>
              </w:tc>
              <w:tc>
                <w:tcPr>
                  <w:tcW w:w="2277" w:type="dxa"/>
                  <w:noWrap w:val="0"/>
                  <w:vAlign w:val="center"/>
                </w:tcPr>
                <w:p w14:paraId="63043D2F">
                  <w:pPr>
                    <w:pStyle w:val="49"/>
                    <w:bidi w:val="0"/>
                    <w:rPr>
                      <w:b/>
                      <w:bCs/>
                      <w:color w:val="auto"/>
                      <w:highlight w:val="none"/>
                    </w:rPr>
                  </w:pPr>
                  <w:r>
                    <w:rPr>
                      <w:b/>
                      <w:bCs/>
                      <w:color w:val="auto"/>
                      <w:highlight w:val="none"/>
                    </w:rPr>
                    <w:t>数量</w:t>
                  </w:r>
                </w:p>
              </w:tc>
            </w:tr>
            <w:tr w14:paraId="22678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5" w:type="dxa"/>
                  <w:gridSpan w:val="4"/>
                  <w:noWrap w:val="0"/>
                  <w:vAlign w:val="center"/>
                </w:tcPr>
                <w:p w14:paraId="250A48A4">
                  <w:pPr>
                    <w:pStyle w:val="49"/>
                    <w:bidi w:val="0"/>
                    <w:rPr>
                      <w:rFonts w:hint="eastAsia"/>
                      <w:color w:val="auto"/>
                      <w:highlight w:val="none"/>
                      <w:lang w:val="en-US" w:eastAsia="zh-CN"/>
                    </w:rPr>
                  </w:pPr>
                  <w:r>
                    <w:rPr>
                      <w:rFonts w:hint="eastAsia"/>
                      <w:color w:val="auto"/>
                      <w:highlight w:val="none"/>
                      <w:lang w:val="en-US" w:eastAsia="zh-CN"/>
                    </w:rPr>
                    <w:t>秸秆炭生产车间</w:t>
                  </w:r>
                </w:p>
              </w:tc>
            </w:tr>
            <w:tr w14:paraId="2BFF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5B12E2E0">
                  <w:pPr>
                    <w:pStyle w:val="49"/>
                    <w:bidi w:val="0"/>
                    <w:rPr>
                      <w:color w:val="auto"/>
                      <w:highlight w:val="none"/>
                    </w:rPr>
                  </w:pPr>
                  <w:r>
                    <w:rPr>
                      <w:color w:val="auto"/>
                      <w:highlight w:val="none"/>
                    </w:rPr>
                    <w:t>1</w:t>
                  </w:r>
                </w:p>
              </w:tc>
              <w:tc>
                <w:tcPr>
                  <w:tcW w:w="2054" w:type="dxa"/>
                  <w:noWrap w:val="0"/>
                  <w:vAlign w:val="top"/>
                </w:tcPr>
                <w:p w14:paraId="0C08BCB6">
                  <w:pPr>
                    <w:pStyle w:val="49"/>
                    <w:bidi w:val="0"/>
                    <w:rPr>
                      <w:color w:val="auto"/>
                      <w:highlight w:val="none"/>
                    </w:rPr>
                  </w:pPr>
                  <w:r>
                    <w:rPr>
                      <w:color w:val="auto"/>
                      <w:highlight w:val="none"/>
                    </w:rPr>
                    <w:t>皮带输送机</w:t>
                  </w:r>
                </w:p>
              </w:tc>
              <w:tc>
                <w:tcPr>
                  <w:tcW w:w="2055" w:type="dxa"/>
                  <w:noWrap w:val="0"/>
                  <w:vAlign w:val="top"/>
                </w:tcPr>
                <w:p w14:paraId="18146409">
                  <w:pPr>
                    <w:pStyle w:val="49"/>
                    <w:bidi w:val="0"/>
                    <w:rPr>
                      <w:rFonts w:hint="eastAsia"/>
                      <w:color w:val="auto"/>
                      <w:highlight w:val="none"/>
                    </w:rPr>
                  </w:pPr>
                  <w:r>
                    <w:rPr>
                      <w:color w:val="auto"/>
                      <w:highlight w:val="none"/>
                    </w:rPr>
                    <w:t>TD75-500</w:t>
                  </w:r>
                </w:p>
              </w:tc>
              <w:tc>
                <w:tcPr>
                  <w:tcW w:w="2277" w:type="dxa"/>
                  <w:noWrap w:val="0"/>
                  <w:vAlign w:val="top"/>
                </w:tcPr>
                <w:p w14:paraId="5D73894E">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套</w:t>
                  </w:r>
                </w:p>
              </w:tc>
            </w:tr>
            <w:tr w14:paraId="0721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3928171">
                  <w:pPr>
                    <w:pStyle w:val="49"/>
                    <w:bidi w:val="0"/>
                    <w:rPr>
                      <w:color w:val="auto"/>
                      <w:highlight w:val="none"/>
                    </w:rPr>
                  </w:pPr>
                  <w:r>
                    <w:rPr>
                      <w:color w:val="auto"/>
                      <w:highlight w:val="none"/>
                    </w:rPr>
                    <w:t>2</w:t>
                  </w:r>
                </w:p>
              </w:tc>
              <w:tc>
                <w:tcPr>
                  <w:tcW w:w="2054" w:type="dxa"/>
                  <w:noWrap w:val="0"/>
                  <w:vAlign w:val="top"/>
                </w:tcPr>
                <w:p w14:paraId="1BBC063A">
                  <w:pPr>
                    <w:pStyle w:val="49"/>
                    <w:bidi w:val="0"/>
                    <w:rPr>
                      <w:color w:val="auto"/>
                      <w:highlight w:val="none"/>
                    </w:rPr>
                  </w:pPr>
                  <w:r>
                    <w:rPr>
                      <w:color w:val="auto"/>
                      <w:highlight w:val="none"/>
                    </w:rPr>
                    <w:t>粉碎机</w:t>
                  </w:r>
                </w:p>
              </w:tc>
              <w:tc>
                <w:tcPr>
                  <w:tcW w:w="2055" w:type="dxa"/>
                  <w:noWrap w:val="0"/>
                  <w:vAlign w:val="top"/>
                </w:tcPr>
                <w:p w14:paraId="3CC1DA87">
                  <w:pPr>
                    <w:pStyle w:val="49"/>
                    <w:bidi w:val="0"/>
                    <w:rPr>
                      <w:rFonts w:hint="eastAsia"/>
                      <w:color w:val="auto"/>
                      <w:highlight w:val="none"/>
                    </w:rPr>
                  </w:pPr>
                  <w:r>
                    <w:rPr>
                      <w:color w:val="auto"/>
                      <w:highlight w:val="none"/>
                    </w:rPr>
                    <w:t>JY-1800</w:t>
                  </w:r>
                </w:p>
              </w:tc>
              <w:tc>
                <w:tcPr>
                  <w:tcW w:w="2277" w:type="dxa"/>
                  <w:noWrap w:val="0"/>
                  <w:vAlign w:val="top"/>
                </w:tcPr>
                <w:p w14:paraId="77CC1684">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台</w:t>
                  </w:r>
                </w:p>
              </w:tc>
            </w:tr>
            <w:tr w14:paraId="4C22E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4A0D969D">
                  <w:pPr>
                    <w:pStyle w:val="49"/>
                    <w:bidi w:val="0"/>
                    <w:rPr>
                      <w:color w:val="auto"/>
                      <w:highlight w:val="none"/>
                    </w:rPr>
                  </w:pPr>
                  <w:r>
                    <w:rPr>
                      <w:rFonts w:hint="eastAsia"/>
                      <w:color w:val="auto"/>
                      <w:highlight w:val="none"/>
                    </w:rPr>
                    <w:t>3</w:t>
                  </w:r>
                </w:p>
              </w:tc>
              <w:tc>
                <w:tcPr>
                  <w:tcW w:w="2054" w:type="dxa"/>
                  <w:noWrap w:val="0"/>
                  <w:vAlign w:val="top"/>
                </w:tcPr>
                <w:p w14:paraId="1DDB236A">
                  <w:pPr>
                    <w:pStyle w:val="49"/>
                    <w:bidi w:val="0"/>
                    <w:rPr>
                      <w:color w:val="auto"/>
                      <w:highlight w:val="none"/>
                    </w:rPr>
                  </w:pPr>
                  <w:r>
                    <w:rPr>
                      <w:color w:val="auto"/>
                      <w:highlight w:val="none"/>
                    </w:rPr>
                    <w:t>烘干机</w:t>
                  </w:r>
                </w:p>
              </w:tc>
              <w:tc>
                <w:tcPr>
                  <w:tcW w:w="2055" w:type="dxa"/>
                  <w:noWrap w:val="0"/>
                  <w:vAlign w:val="top"/>
                </w:tcPr>
                <w:p w14:paraId="226D45FE">
                  <w:pPr>
                    <w:pStyle w:val="49"/>
                    <w:bidi w:val="0"/>
                    <w:rPr>
                      <w:rFonts w:hint="eastAsia"/>
                      <w:color w:val="auto"/>
                      <w:highlight w:val="none"/>
                    </w:rPr>
                  </w:pPr>
                  <w:r>
                    <w:rPr>
                      <w:color w:val="auto"/>
                      <w:highlight w:val="none"/>
                    </w:rPr>
                    <w:t>HG-1.3</w:t>
                  </w:r>
                </w:p>
              </w:tc>
              <w:tc>
                <w:tcPr>
                  <w:tcW w:w="2277" w:type="dxa"/>
                  <w:noWrap w:val="0"/>
                  <w:vAlign w:val="top"/>
                </w:tcPr>
                <w:p w14:paraId="66FF2554">
                  <w:pPr>
                    <w:pStyle w:val="49"/>
                    <w:bidi w:val="0"/>
                    <w:rPr>
                      <w:rFonts w:hint="eastAsia"/>
                      <w:color w:val="auto"/>
                      <w:highlight w:val="none"/>
                      <w:lang w:val="en-US" w:eastAsia="zh-CN"/>
                    </w:rPr>
                  </w:pPr>
                  <w:r>
                    <w:rPr>
                      <w:color w:val="auto"/>
                      <w:highlight w:val="none"/>
                    </w:rPr>
                    <w:t>2</w:t>
                  </w:r>
                  <w:r>
                    <w:rPr>
                      <w:rFonts w:hint="eastAsia"/>
                      <w:color w:val="auto"/>
                      <w:highlight w:val="none"/>
                      <w:lang w:val="en-US" w:eastAsia="zh-CN"/>
                    </w:rPr>
                    <w:t>台</w:t>
                  </w:r>
                </w:p>
              </w:tc>
            </w:tr>
            <w:tr w14:paraId="6B39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478A329C">
                  <w:pPr>
                    <w:pStyle w:val="49"/>
                    <w:bidi w:val="0"/>
                    <w:rPr>
                      <w:color w:val="auto"/>
                      <w:highlight w:val="none"/>
                    </w:rPr>
                  </w:pPr>
                  <w:r>
                    <w:rPr>
                      <w:rFonts w:hint="eastAsia"/>
                      <w:color w:val="auto"/>
                      <w:highlight w:val="none"/>
                    </w:rPr>
                    <w:t>4</w:t>
                  </w:r>
                </w:p>
              </w:tc>
              <w:tc>
                <w:tcPr>
                  <w:tcW w:w="2054" w:type="dxa"/>
                  <w:noWrap w:val="0"/>
                  <w:vAlign w:val="top"/>
                </w:tcPr>
                <w:p w14:paraId="6DF95CAD">
                  <w:pPr>
                    <w:pStyle w:val="49"/>
                    <w:bidi w:val="0"/>
                    <w:rPr>
                      <w:color w:val="auto"/>
                      <w:highlight w:val="none"/>
                    </w:rPr>
                  </w:pPr>
                  <w:r>
                    <w:rPr>
                      <w:color w:val="auto"/>
                      <w:highlight w:val="none"/>
                    </w:rPr>
                    <w:t>炭化机</w:t>
                  </w:r>
                </w:p>
              </w:tc>
              <w:tc>
                <w:tcPr>
                  <w:tcW w:w="2055" w:type="dxa"/>
                  <w:noWrap w:val="0"/>
                  <w:vAlign w:val="top"/>
                </w:tcPr>
                <w:p w14:paraId="2BDC9C97">
                  <w:pPr>
                    <w:pStyle w:val="49"/>
                    <w:bidi w:val="0"/>
                    <w:rPr>
                      <w:rFonts w:hint="eastAsia"/>
                      <w:color w:val="auto"/>
                      <w:highlight w:val="none"/>
                    </w:rPr>
                  </w:pPr>
                  <w:r>
                    <w:rPr>
                      <w:color w:val="auto"/>
                      <w:highlight w:val="none"/>
                    </w:rPr>
                    <w:t>TH-1000</w:t>
                  </w:r>
                </w:p>
              </w:tc>
              <w:tc>
                <w:tcPr>
                  <w:tcW w:w="2277" w:type="dxa"/>
                  <w:noWrap w:val="0"/>
                  <w:vAlign w:val="top"/>
                </w:tcPr>
                <w:p w14:paraId="3316673D">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台</w:t>
                  </w:r>
                </w:p>
              </w:tc>
            </w:tr>
            <w:tr w14:paraId="756A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406F67C8">
                  <w:pPr>
                    <w:pStyle w:val="49"/>
                    <w:bidi w:val="0"/>
                    <w:rPr>
                      <w:color w:val="auto"/>
                      <w:highlight w:val="none"/>
                    </w:rPr>
                  </w:pPr>
                  <w:r>
                    <w:rPr>
                      <w:rFonts w:hint="eastAsia"/>
                      <w:color w:val="auto"/>
                      <w:highlight w:val="none"/>
                    </w:rPr>
                    <w:t>5</w:t>
                  </w:r>
                </w:p>
              </w:tc>
              <w:tc>
                <w:tcPr>
                  <w:tcW w:w="2054" w:type="dxa"/>
                  <w:noWrap w:val="0"/>
                  <w:vAlign w:val="top"/>
                </w:tcPr>
                <w:p w14:paraId="39B08547">
                  <w:pPr>
                    <w:pStyle w:val="49"/>
                    <w:bidi w:val="0"/>
                    <w:rPr>
                      <w:rFonts w:hint="eastAsia"/>
                      <w:color w:val="auto"/>
                      <w:highlight w:val="none"/>
                    </w:rPr>
                  </w:pPr>
                  <w:r>
                    <w:rPr>
                      <w:color w:val="auto"/>
                      <w:highlight w:val="none"/>
                    </w:rPr>
                    <w:t>冷凝器</w:t>
                  </w:r>
                </w:p>
              </w:tc>
              <w:tc>
                <w:tcPr>
                  <w:tcW w:w="2055" w:type="dxa"/>
                  <w:noWrap w:val="0"/>
                  <w:vAlign w:val="top"/>
                </w:tcPr>
                <w:p w14:paraId="6C77A81F">
                  <w:pPr>
                    <w:pStyle w:val="49"/>
                    <w:bidi w:val="0"/>
                    <w:rPr>
                      <w:color w:val="auto"/>
                      <w:highlight w:val="none"/>
                    </w:rPr>
                  </w:pPr>
                  <w:r>
                    <w:rPr>
                      <w:color w:val="auto"/>
                      <w:highlight w:val="none"/>
                    </w:rPr>
                    <w:t>D1200</w:t>
                  </w:r>
                </w:p>
              </w:tc>
              <w:tc>
                <w:tcPr>
                  <w:tcW w:w="2277" w:type="dxa"/>
                  <w:noWrap w:val="0"/>
                  <w:vAlign w:val="top"/>
                </w:tcPr>
                <w:p w14:paraId="5A04609B">
                  <w:pPr>
                    <w:pStyle w:val="49"/>
                    <w:bidi w:val="0"/>
                    <w:rPr>
                      <w:rFonts w:hint="eastAsia"/>
                      <w:color w:val="auto"/>
                      <w:highlight w:val="none"/>
                      <w:lang w:val="en-US" w:eastAsia="zh-CN"/>
                    </w:rPr>
                  </w:pPr>
                  <w:r>
                    <w:rPr>
                      <w:color w:val="auto"/>
                      <w:highlight w:val="none"/>
                    </w:rPr>
                    <w:t>5</w:t>
                  </w:r>
                  <w:r>
                    <w:rPr>
                      <w:rFonts w:hint="eastAsia"/>
                      <w:color w:val="auto"/>
                      <w:highlight w:val="none"/>
                      <w:lang w:val="en-US" w:eastAsia="zh-CN"/>
                    </w:rPr>
                    <w:t>套</w:t>
                  </w:r>
                </w:p>
              </w:tc>
            </w:tr>
            <w:tr w14:paraId="1FE2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6EE6D4A">
                  <w:pPr>
                    <w:pStyle w:val="49"/>
                    <w:bidi w:val="0"/>
                    <w:rPr>
                      <w:color w:val="auto"/>
                      <w:highlight w:val="none"/>
                    </w:rPr>
                  </w:pPr>
                  <w:r>
                    <w:rPr>
                      <w:rFonts w:hint="eastAsia"/>
                      <w:color w:val="auto"/>
                      <w:highlight w:val="none"/>
                    </w:rPr>
                    <w:t>6</w:t>
                  </w:r>
                </w:p>
              </w:tc>
              <w:tc>
                <w:tcPr>
                  <w:tcW w:w="2054" w:type="dxa"/>
                  <w:noWrap w:val="0"/>
                  <w:vAlign w:val="top"/>
                </w:tcPr>
                <w:p w14:paraId="3F6E7FE1">
                  <w:pPr>
                    <w:pStyle w:val="49"/>
                    <w:bidi w:val="0"/>
                    <w:rPr>
                      <w:rFonts w:hint="eastAsia"/>
                      <w:color w:val="auto"/>
                      <w:highlight w:val="none"/>
                    </w:rPr>
                  </w:pPr>
                  <w:r>
                    <w:rPr>
                      <w:color w:val="auto"/>
                      <w:highlight w:val="none"/>
                    </w:rPr>
                    <w:t>螺旋出料机</w:t>
                  </w:r>
                </w:p>
              </w:tc>
              <w:tc>
                <w:tcPr>
                  <w:tcW w:w="2055" w:type="dxa"/>
                  <w:noWrap w:val="0"/>
                  <w:vAlign w:val="top"/>
                </w:tcPr>
                <w:p w14:paraId="40345F78">
                  <w:pPr>
                    <w:pStyle w:val="49"/>
                    <w:bidi w:val="0"/>
                    <w:rPr>
                      <w:rFonts w:hint="eastAsia"/>
                      <w:color w:val="auto"/>
                      <w:highlight w:val="none"/>
                    </w:rPr>
                  </w:pPr>
                  <w:r>
                    <w:rPr>
                      <w:color w:val="auto"/>
                      <w:highlight w:val="none"/>
                    </w:rPr>
                    <w:t>D219-3级</w:t>
                  </w:r>
                </w:p>
              </w:tc>
              <w:tc>
                <w:tcPr>
                  <w:tcW w:w="2277" w:type="dxa"/>
                  <w:noWrap w:val="0"/>
                  <w:vAlign w:val="top"/>
                </w:tcPr>
                <w:p w14:paraId="49AE6671">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台</w:t>
                  </w:r>
                </w:p>
              </w:tc>
            </w:tr>
            <w:tr w14:paraId="71D6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5EB079D0">
                  <w:pPr>
                    <w:pStyle w:val="49"/>
                    <w:bidi w:val="0"/>
                    <w:rPr>
                      <w:color w:val="auto"/>
                      <w:highlight w:val="none"/>
                    </w:rPr>
                  </w:pPr>
                  <w:r>
                    <w:rPr>
                      <w:rFonts w:hint="eastAsia"/>
                      <w:color w:val="auto"/>
                      <w:highlight w:val="none"/>
                    </w:rPr>
                    <w:t>7</w:t>
                  </w:r>
                </w:p>
              </w:tc>
              <w:tc>
                <w:tcPr>
                  <w:tcW w:w="2054" w:type="dxa"/>
                  <w:noWrap w:val="0"/>
                  <w:vAlign w:val="top"/>
                </w:tcPr>
                <w:p w14:paraId="4C78C27A">
                  <w:pPr>
                    <w:pStyle w:val="49"/>
                    <w:bidi w:val="0"/>
                    <w:rPr>
                      <w:color w:val="auto"/>
                      <w:highlight w:val="none"/>
                    </w:rPr>
                  </w:pPr>
                  <w:r>
                    <w:rPr>
                      <w:color w:val="auto"/>
                      <w:highlight w:val="none"/>
                    </w:rPr>
                    <w:t>自动包装机</w:t>
                  </w:r>
                </w:p>
              </w:tc>
              <w:tc>
                <w:tcPr>
                  <w:tcW w:w="2055" w:type="dxa"/>
                  <w:noWrap w:val="0"/>
                  <w:vAlign w:val="top"/>
                </w:tcPr>
                <w:p w14:paraId="490C71CF">
                  <w:pPr>
                    <w:pStyle w:val="49"/>
                    <w:bidi w:val="0"/>
                    <w:rPr>
                      <w:rFonts w:hint="eastAsia"/>
                      <w:color w:val="auto"/>
                      <w:highlight w:val="none"/>
                    </w:rPr>
                  </w:pPr>
                  <w:r>
                    <w:rPr>
                      <w:color w:val="auto"/>
                      <w:highlight w:val="none"/>
                    </w:rPr>
                    <w:t>/</w:t>
                  </w:r>
                </w:p>
              </w:tc>
              <w:tc>
                <w:tcPr>
                  <w:tcW w:w="2277" w:type="dxa"/>
                  <w:noWrap w:val="0"/>
                  <w:vAlign w:val="top"/>
                </w:tcPr>
                <w:p w14:paraId="427F5236">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台</w:t>
                  </w:r>
                </w:p>
              </w:tc>
            </w:tr>
            <w:tr w14:paraId="4173D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72B1C4F">
                  <w:pPr>
                    <w:pStyle w:val="49"/>
                    <w:bidi w:val="0"/>
                    <w:rPr>
                      <w:color w:val="auto"/>
                      <w:highlight w:val="none"/>
                    </w:rPr>
                  </w:pPr>
                  <w:r>
                    <w:rPr>
                      <w:rFonts w:hint="eastAsia"/>
                      <w:color w:val="auto"/>
                      <w:highlight w:val="none"/>
                    </w:rPr>
                    <w:t>8</w:t>
                  </w:r>
                </w:p>
              </w:tc>
              <w:tc>
                <w:tcPr>
                  <w:tcW w:w="2054" w:type="dxa"/>
                  <w:noWrap w:val="0"/>
                  <w:vAlign w:val="top"/>
                </w:tcPr>
                <w:p w14:paraId="06938C33">
                  <w:pPr>
                    <w:pStyle w:val="49"/>
                    <w:bidi w:val="0"/>
                    <w:rPr>
                      <w:color w:val="auto"/>
                      <w:highlight w:val="none"/>
                    </w:rPr>
                  </w:pPr>
                  <w:r>
                    <w:rPr>
                      <w:color w:val="auto"/>
                      <w:highlight w:val="none"/>
                    </w:rPr>
                    <w:t>静置分离罐</w:t>
                  </w:r>
                </w:p>
              </w:tc>
              <w:tc>
                <w:tcPr>
                  <w:tcW w:w="2055" w:type="dxa"/>
                  <w:noWrap w:val="0"/>
                  <w:vAlign w:val="top"/>
                </w:tcPr>
                <w:p w14:paraId="67A4A9D7">
                  <w:pPr>
                    <w:pStyle w:val="49"/>
                    <w:bidi w:val="0"/>
                    <w:rPr>
                      <w:rFonts w:hint="eastAsia"/>
                      <w:color w:val="auto"/>
                      <w:highlight w:val="none"/>
                    </w:rPr>
                  </w:pPr>
                  <w:r>
                    <w:rPr>
                      <w:color w:val="auto"/>
                      <w:highlight w:val="none"/>
                    </w:rPr>
                    <w:t>30m³</w:t>
                  </w:r>
                </w:p>
              </w:tc>
              <w:tc>
                <w:tcPr>
                  <w:tcW w:w="2277" w:type="dxa"/>
                  <w:noWrap w:val="0"/>
                  <w:vAlign w:val="top"/>
                </w:tcPr>
                <w:p w14:paraId="18704401">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个</w:t>
                  </w:r>
                </w:p>
              </w:tc>
            </w:tr>
            <w:tr w14:paraId="451F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4D5B998">
                  <w:pPr>
                    <w:pStyle w:val="49"/>
                    <w:bidi w:val="0"/>
                    <w:rPr>
                      <w:color w:val="auto"/>
                      <w:highlight w:val="none"/>
                    </w:rPr>
                  </w:pPr>
                  <w:r>
                    <w:rPr>
                      <w:rFonts w:hint="eastAsia"/>
                      <w:color w:val="auto"/>
                      <w:highlight w:val="none"/>
                    </w:rPr>
                    <w:t>9</w:t>
                  </w:r>
                </w:p>
              </w:tc>
              <w:tc>
                <w:tcPr>
                  <w:tcW w:w="2054" w:type="dxa"/>
                  <w:noWrap w:val="0"/>
                  <w:vAlign w:val="top"/>
                </w:tcPr>
                <w:p w14:paraId="4509E7B7">
                  <w:pPr>
                    <w:pStyle w:val="49"/>
                    <w:bidi w:val="0"/>
                    <w:rPr>
                      <w:color w:val="auto"/>
                      <w:highlight w:val="none"/>
                    </w:rPr>
                  </w:pPr>
                  <w:r>
                    <w:rPr>
                      <w:color w:val="auto"/>
                      <w:highlight w:val="none"/>
                    </w:rPr>
                    <w:t>木焦油储罐</w:t>
                  </w:r>
                </w:p>
              </w:tc>
              <w:tc>
                <w:tcPr>
                  <w:tcW w:w="2055" w:type="dxa"/>
                  <w:noWrap w:val="0"/>
                  <w:vAlign w:val="top"/>
                </w:tcPr>
                <w:p w14:paraId="0F5FFD76">
                  <w:pPr>
                    <w:pStyle w:val="49"/>
                    <w:bidi w:val="0"/>
                    <w:rPr>
                      <w:rFonts w:hint="eastAsia"/>
                      <w:color w:val="auto"/>
                      <w:highlight w:val="none"/>
                    </w:rPr>
                  </w:pPr>
                  <w:r>
                    <w:rPr>
                      <w:color w:val="auto"/>
                      <w:highlight w:val="none"/>
                    </w:rPr>
                    <w:t>20m³</w:t>
                  </w:r>
                </w:p>
              </w:tc>
              <w:tc>
                <w:tcPr>
                  <w:tcW w:w="2277" w:type="dxa"/>
                  <w:noWrap w:val="0"/>
                  <w:vAlign w:val="top"/>
                </w:tcPr>
                <w:p w14:paraId="44324CA3">
                  <w:pPr>
                    <w:pStyle w:val="49"/>
                    <w:bidi w:val="0"/>
                    <w:rPr>
                      <w:rFonts w:hint="eastAsia"/>
                      <w:color w:val="auto"/>
                      <w:highlight w:val="none"/>
                      <w:lang w:val="en-US" w:eastAsia="zh-CN"/>
                    </w:rPr>
                  </w:pPr>
                  <w:r>
                    <w:rPr>
                      <w:color w:val="auto"/>
                      <w:highlight w:val="none"/>
                    </w:rPr>
                    <w:t>1</w:t>
                  </w:r>
                  <w:r>
                    <w:rPr>
                      <w:rFonts w:hint="eastAsia"/>
                      <w:color w:val="auto"/>
                      <w:highlight w:val="none"/>
                      <w:lang w:val="en-US" w:eastAsia="zh-CN"/>
                    </w:rPr>
                    <w:t>个</w:t>
                  </w:r>
                </w:p>
              </w:tc>
            </w:tr>
            <w:tr w14:paraId="43EC1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F52F028">
                  <w:pPr>
                    <w:pStyle w:val="49"/>
                    <w:bidi w:val="0"/>
                    <w:rPr>
                      <w:rFonts w:hint="eastAsia"/>
                      <w:color w:val="auto"/>
                      <w:highlight w:val="none"/>
                    </w:rPr>
                  </w:pPr>
                  <w:r>
                    <w:rPr>
                      <w:rFonts w:hint="eastAsia"/>
                      <w:color w:val="auto"/>
                      <w:highlight w:val="none"/>
                    </w:rPr>
                    <w:t>10</w:t>
                  </w:r>
                </w:p>
              </w:tc>
              <w:tc>
                <w:tcPr>
                  <w:tcW w:w="2054" w:type="dxa"/>
                  <w:noWrap w:val="0"/>
                  <w:vAlign w:val="top"/>
                </w:tcPr>
                <w:p w14:paraId="56800A0E">
                  <w:pPr>
                    <w:pStyle w:val="49"/>
                    <w:bidi w:val="0"/>
                    <w:rPr>
                      <w:rFonts w:hint="eastAsia"/>
                      <w:color w:val="auto"/>
                      <w:highlight w:val="none"/>
                    </w:rPr>
                  </w:pPr>
                  <w:r>
                    <w:rPr>
                      <w:rFonts w:hint="eastAsia"/>
                      <w:color w:val="auto"/>
                      <w:highlight w:val="none"/>
                    </w:rPr>
                    <w:t>木醋液储罐</w:t>
                  </w:r>
                </w:p>
              </w:tc>
              <w:tc>
                <w:tcPr>
                  <w:tcW w:w="2055" w:type="dxa"/>
                  <w:noWrap w:val="0"/>
                  <w:vAlign w:val="top"/>
                </w:tcPr>
                <w:p w14:paraId="60F4CBA2">
                  <w:pPr>
                    <w:pStyle w:val="49"/>
                    <w:bidi w:val="0"/>
                    <w:rPr>
                      <w:rFonts w:hint="eastAsia"/>
                      <w:color w:val="auto"/>
                      <w:highlight w:val="none"/>
                    </w:rPr>
                  </w:pPr>
                  <w:r>
                    <w:rPr>
                      <w:color w:val="auto"/>
                      <w:highlight w:val="none"/>
                    </w:rPr>
                    <w:t>30m³</w:t>
                  </w:r>
                </w:p>
              </w:tc>
              <w:tc>
                <w:tcPr>
                  <w:tcW w:w="2277" w:type="dxa"/>
                  <w:noWrap w:val="0"/>
                  <w:vAlign w:val="top"/>
                </w:tcPr>
                <w:p w14:paraId="2078F629">
                  <w:pPr>
                    <w:pStyle w:val="49"/>
                    <w:bidi w:val="0"/>
                    <w:rPr>
                      <w:rFonts w:hint="eastAsia"/>
                      <w:color w:val="auto"/>
                      <w:highlight w:val="none"/>
                      <w:lang w:val="en-US" w:eastAsia="zh-CN"/>
                    </w:rPr>
                  </w:pPr>
                  <w:r>
                    <w:rPr>
                      <w:color w:val="auto"/>
                      <w:highlight w:val="none"/>
                    </w:rPr>
                    <w:t>2</w:t>
                  </w:r>
                  <w:r>
                    <w:rPr>
                      <w:rFonts w:hint="eastAsia"/>
                      <w:color w:val="auto"/>
                      <w:highlight w:val="none"/>
                      <w:lang w:val="en-US" w:eastAsia="zh-CN"/>
                    </w:rPr>
                    <w:t>个</w:t>
                  </w:r>
                </w:p>
              </w:tc>
            </w:tr>
            <w:tr w14:paraId="4611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5" w:type="dxa"/>
                  <w:gridSpan w:val="4"/>
                  <w:noWrap w:val="0"/>
                  <w:vAlign w:val="center"/>
                </w:tcPr>
                <w:p w14:paraId="7FC6C985">
                  <w:pPr>
                    <w:pStyle w:val="49"/>
                    <w:bidi w:val="0"/>
                    <w:rPr>
                      <w:rFonts w:hint="default"/>
                      <w:color w:val="auto"/>
                      <w:highlight w:val="none"/>
                      <w:lang w:val="en-US" w:eastAsia="zh-CN"/>
                    </w:rPr>
                  </w:pPr>
                  <w:r>
                    <w:rPr>
                      <w:rFonts w:hint="eastAsia"/>
                      <w:color w:val="auto"/>
                      <w:highlight w:val="none"/>
                      <w:lang w:val="en-US" w:eastAsia="zh-CN"/>
                    </w:rPr>
                    <w:t>秸秆气产线</w:t>
                  </w:r>
                </w:p>
              </w:tc>
            </w:tr>
            <w:tr w14:paraId="29D1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26F585A5">
                  <w:pPr>
                    <w:pStyle w:val="49"/>
                    <w:bidi w:val="0"/>
                    <w:rPr>
                      <w:color w:val="auto"/>
                      <w:highlight w:val="none"/>
                    </w:rPr>
                  </w:pPr>
                  <w:r>
                    <w:rPr>
                      <w:rFonts w:hint="eastAsia"/>
                      <w:color w:val="auto"/>
                      <w:highlight w:val="none"/>
                    </w:rPr>
                    <w:t>11</w:t>
                  </w:r>
                </w:p>
              </w:tc>
              <w:tc>
                <w:tcPr>
                  <w:tcW w:w="2054" w:type="dxa"/>
                  <w:noWrap w:val="0"/>
                  <w:vAlign w:val="center"/>
                </w:tcPr>
                <w:p w14:paraId="05DFA6AC">
                  <w:pPr>
                    <w:pStyle w:val="49"/>
                    <w:bidi w:val="0"/>
                    <w:rPr>
                      <w:rFonts w:hint="default"/>
                      <w:color w:val="auto"/>
                      <w:highlight w:val="none"/>
                      <w:lang w:val="en-US" w:eastAsia="zh-CN"/>
                    </w:rPr>
                  </w:pPr>
                  <w:r>
                    <w:rPr>
                      <w:rFonts w:hint="eastAsia"/>
                      <w:color w:val="auto"/>
                      <w:highlight w:val="none"/>
                      <w:lang w:val="en-US" w:eastAsia="zh-CN"/>
                    </w:rPr>
                    <w:t>调压计量配气撬</w:t>
                  </w:r>
                </w:p>
              </w:tc>
              <w:tc>
                <w:tcPr>
                  <w:tcW w:w="2055" w:type="dxa"/>
                  <w:noWrap w:val="0"/>
                  <w:vAlign w:val="center"/>
                </w:tcPr>
                <w:p w14:paraId="7944A907">
                  <w:pPr>
                    <w:pStyle w:val="49"/>
                    <w:bidi w:val="0"/>
                    <w:rPr>
                      <w:rFonts w:hint="default"/>
                      <w:color w:val="auto"/>
                      <w:highlight w:val="none"/>
                      <w:lang w:val="en-US" w:eastAsia="zh-CN"/>
                    </w:rPr>
                  </w:pPr>
                  <w:r>
                    <w:rPr>
                      <w:rFonts w:hint="eastAsia"/>
                      <w:color w:val="auto"/>
                      <w:highlight w:val="none"/>
                      <w:lang w:val="en-US" w:eastAsia="zh-CN"/>
                    </w:rPr>
                    <w:t>/</w:t>
                  </w:r>
                </w:p>
              </w:tc>
              <w:tc>
                <w:tcPr>
                  <w:tcW w:w="2277" w:type="dxa"/>
                  <w:noWrap w:val="0"/>
                  <w:vAlign w:val="center"/>
                </w:tcPr>
                <w:p w14:paraId="6481B99C">
                  <w:pPr>
                    <w:pStyle w:val="49"/>
                    <w:bidi w:val="0"/>
                    <w:rPr>
                      <w:rFonts w:hint="default"/>
                      <w:color w:val="auto"/>
                      <w:highlight w:val="none"/>
                      <w:lang w:val="en-US" w:eastAsia="zh-CN"/>
                    </w:rPr>
                  </w:pPr>
                  <w:r>
                    <w:rPr>
                      <w:rFonts w:hint="eastAsia"/>
                      <w:color w:val="auto"/>
                      <w:highlight w:val="none"/>
                      <w:lang w:val="en-US" w:eastAsia="zh-CN"/>
                    </w:rPr>
                    <w:t>1台</w:t>
                  </w:r>
                </w:p>
              </w:tc>
            </w:tr>
            <w:tr w14:paraId="42E7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545E5704">
                  <w:pPr>
                    <w:pStyle w:val="49"/>
                    <w:bidi w:val="0"/>
                    <w:rPr>
                      <w:color w:val="auto"/>
                      <w:highlight w:val="none"/>
                    </w:rPr>
                  </w:pPr>
                  <w:r>
                    <w:rPr>
                      <w:rFonts w:hint="eastAsia"/>
                      <w:color w:val="auto"/>
                      <w:highlight w:val="none"/>
                    </w:rPr>
                    <w:t>12</w:t>
                  </w:r>
                </w:p>
              </w:tc>
              <w:tc>
                <w:tcPr>
                  <w:tcW w:w="2054" w:type="dxa"/>
                  <w:noWrap w:val="0"/>
                  <w:vAlign w:val="center"/>
                </w:tcPr>
                <w:p w14:paraId="0E4D69E8">
                  <w:pPr>
                    <w:pStyle w:val="49"/>
                    <w:bidi w:val="0"/>
                    <w:rPr>
                      <w:rFonts w:hint="default"/>
                      <w:color w:val="auto"/>
                      <w:highlight w:val="none"/>
                      <w:lang w:val="en-US" w:eastAsia="zh-CN"/>
                    </w:rPr>
                  </w:pPr>
                  <w:r>
                    <w:rPr>
                      <w:rFonts w:hint="eastAsia"/>
                      <w:color w:val="auto"/>
                      <w:highlight w:val="none"/>
                      <w:lang w:val="en-US" w:eastAsia="zh-CN"/>
                    </w:rPr>
                    <w:t>混气撬</w:t>
                  </w:r>
                </w:p>
              </w:tc>
              <w:tc>
                <w:tcPr>
                  <w:tcW w:w="2055" w:type="dxa"/>
                  <w:noWrap w:val="0"/>
                  <w:vAlign w:val="center"/>
                </w:tcPr>
                <w:p w14:paraId="73B07E1A">
                  <w:pPr>
                    <w:pStyle w:val="49"/>
                    <w:bidi w:val="0"/>
                    <w:rPr>
                      <w:rFonts w:hint="default"/>
                      <w:color w:val="auto"/>
                      <w:highlight w:val="none"/>
                      <w:lang w:val="en-US" w:eastAsia="zh-CN"/>
                    </w:rPr>
                  </w:pPr>
                  <w:r>
                    <w:rPr>
                      <w:rFonts w:hint="eastAsia"/>
                      <w:color w:val="auto"/>
                      <w:highlight w:val="none"/>
                      <w:lang w:val="en-US" w:eastAsia="zh-CN"/>
                    </w:rPr>
                    <w:t>10000m</w:t>
                  </w:r>
                  <w:r>
                    <w:rPr>
                      <w:rFonts w:hint="eastAsia"/>
                      <w:color w:val="auto"/>
                      <w:highlight w:val="none"/>
                      <w:vertAlign w:val="superscript"/>
                      <w:lang w:val="en-US" w:eastAsia="zh-CN"/>
                    </w:rPr>
                    <w:t>3</w:t>
                  </w:r>
                  <w:r>
                    <w:rPr>
                      <w:rFonts w:hint="eastAsia"/>
                      <w:color w:val="auto"/>
                      <w:highlight w:val="none"/>
                      <w:lang w:val="en-US" w:eastAsia="zh-CN"/>
                    </w:rPr>
                    <w:t>/h</w:t>
                  </w:r>
                </w:p>
              </w:tc>
              <w:tc>
                <w:tcPr>
                  <w:tcW w:w="2277" w:type="dxa"/>
                  <w:noWrap w:val="0"/>
                  <w:vAlign w:val="center"/>
                </w:tcPr>
                <w:p w14:paraId="0ED93428">
                  <w:pPr>
                    <w:pStyle w:val="49"/>
                    <w:bidi w:val="0"/>
                    <w:rPr>
                      <w:color w:val="auto"/>
                      <w:highlight w:val="none"/>
                    </w:rPr>
                  </w:pPr>
                  <w:r>
                    <w:rPr>
                      <w:rFonts w:hint="eastAsia"/>
                      <w:color w:val="auto"/>
                      <w:highlight w:val="none"/>
                      <w:lang w:val="en-US" w:eastAsia="zh-CN"/>
                    </w:rPr>
                    <w:t>1台</w:t>
                  </w:r>
                </w:p>
              </w:tc>
            </w:tr>
            <w:tr w14:paraId="440E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100CD01E">
                  <w:pPr>
                    <w:pStyle w:val="49"/>
                    <w:bidi w:val="0"/>
                    <w:rPr>
                      <w:color w:val="auto"/>
                      <w:highlight w:val="none"/>
                    </w:rPr>
                  </w:pPr>
                  <w:r>
                    <w:rPr>
                      <w:rFonts w:hint="eastAsia"/>
                      <w:color w:val="auto"/>
                      <w:highlight w:val="none"/>
                    </w:rPr>
                    <w:t>13</w:t>
                  </w:r>
                </w:p>
              </w:tc>
              <w:tc>
                <w:tcPr>
                  <w:tcW w:w="2054" w:type="dxa"/>
                  <w:noWrap w:val="0"/>
                  <w:vAlign w:val="center"/>
                </w:tcPr>
                <w:p w14:paraId="333FE1A3">
                  <w:pPr>
                    <w:pStyle w:val="49"/>
                    <w:bidi w:val="0"/>
                    <w:rPr>
                      <w:rFonts w:hint="default"/>
                      <w:color w:val="auto"/>
                      <w:highlight w:val="none"/>
                      <w:lang w:val="en-US" w:eastAsia="zh-CN"/>
                    </w:rPr>
                  </w:pPr>
                  <w:r>
                    <w:rPr>
                      <w:rFonts w:hint="eastAsia"/>
                      <w:color w:val="auto"/>
                      <w:highlight w:val="none"/>
                      <w:lang w:val="en-US" w:eastAsia="zh-CN"/>
                    </w:rPr>
                    <w:t>CNG减压撬</w:t>
                  </w:r>
                </w:p>
              </w:tc>
              <w:tc>
                <w:tcPr>
                  <w:tcW w:w="2055" w:type="dxa"/>
                  <w:noWrap w:val="0"/>
                  <w:vAlign w:val="center"/>
                </w:tcPr>
                <w:p w14:paraId="34A79525">
                  <w:pPr>
                    <w:pStyle w:val="49"/>
                    <w:bidi w:val="0"/>
                    <w:rPr>
                      <w:color w:val="auto"/>
                      <w:highlight w:val="none"/>
                    </w:rPr>
                  </w:pPr>
                  <w:r>
                    <w:rPr>
                      <w:rFonts w:hint="eastAsia"/>
                      <w:color w:val="auto"/>
                      <w:highlight w:val="none"/>
                      <w:lang w:val="en-US" w:eastAsia="zh-CN"/>
                    </w:rPr>
                    <w:t>5000m</w:t>
                  </w:r>
                  <w:r>
                    <w:rPr>
                      <w:rFonts w:hint="eastAsia"/>
                      <w:color w:val="auto"/>
                      <w:highlight w:val="none"/>
                      <w:vertAlign w:val="superscript"/>
                      <w:lang w:val="en-US" w:eastAsia="zh-CN"/>
                    </w:rPr>
                    <w:t>3</w:t>
                  </w:r>
                  <w:r>
                    <w:rPr>
                      <w:rFonts w:hint="eastAsia"/>
                      <w:color w:val="auto"/>
                      <w:highlight w:val="none"/>
                      <w:lang w:val="en-US" w:eastAsia="zh-CN"/>
                    </w:rPr>
                    <w:t>/h</w:t>
                  </w:r>
                </w:p>
              </w:tc>
              <w:tc>
                <w:tcPr>
                  <w:tcW w:w="2277" w:type="dxa"/>
                  <w:noWrap w:val="0"/>
                  <w:vAlign w:val="center"/>
                </w:tcPr>
                <w:p w14:paraId="20DF8686">
                  <w:pPr>
                    <w:pStyle w:val="49"/>
                    <w:bidi w:val="0"/>
                    <w:rPr>
                      <w:color w:val="auto"/>
                      <w:highlight w:val="none"/>
                    </w:rPr>
                  </w:pPr>
                  <w:r>
                    <w:rPr>
                      <w:rFonts w:hint="eastAsia"/>
                      <w:color w:val="auto"/>
                      <w:highlight w:val="none"/>
                      <w:lang w:val="en-US" w:eastAsia="zh-CN"/>
                    </w:rPr>
                    <w:t>1台</w:t>
                  </w:r>
                </w:p>
              </w:tc>
            </w:tr>
            <w:tr w14:paraId="7950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539DE40B">
                  <w:pPr>
                    <w:pStyle w:val="49"/>
                    <w:bidi w:val="0"/>
                    <w:rPr>
                      <w:color w:val="auto"/>
                      <w:highlight w:val="none"/>
                    </w:rPr>
                  </w:pPr>
                  <w:r>
                    <w:rPr>
                      <w:rFonts w:hint="eastAsia"/>
                      <w:color w:val="auto"/>
                      <w:highlight w:val="none"/>
                    </w:rPr>
                    <w:t>14</w:t>
                  </w:r>
                </w:p>
              </w:tc>
              <w:tc>
                <w:tcPr>
                  <w:tcW w:w="2054" w:type="dxa"/>
                  <w:noWrap w:val="0"/>
                  <w:vAlign w:val="center"/>
                </w:tcPr>
                <w:p w14:paraId="02481272">
                  <w:pPr>
                    <w:pStyle w:val="49"/>
                    <w:bidi w:val="0"/>
                    <w:rPr>
                      <w:rFonts w:hint="default"/>
                      <w:color w:val="auto"/>
                      <w:highlight w:val="none"/>
                      <w:lang w:val="en-US" w:eastAsia="zh-CN"/>
                    </w:rPr>
                  </w:pPr>
                  <w:r>
                    <w:rPr>
                      <w:rFonts w:hint="eastAsia"/>
                      <w:color w:val="auto"/>
                      <w:highlight w:val="none"/>
                      <w:lang w:val="en-US" w:eastAsia="zh-CN"/>
                    </w:rPr>
                    <w:t>秸秆气增压撬</w:t>
                  </w:r>
                </w:p>
              </w:tc>
              <w:tc>
                <w:tcPr>
                  <w:tcW w:w="2055" w:type="dxa"/>
                  <w:noWrap w:val="0"/>
                  <w:vAlign w:val="center"/>
                </w:tcPr>
                <w:p w14:paraId="63AAB832">
                  <w:pPr>
                    <w:pStyle w:val="49"/>
                    <w:bidi w:val="0"/>
                    <w:rPr>
                      <w:rFonts w:hint="eastAsia"/>
                      <w:color w:val="auto"/>
                      <w:highlight w:val="none"/>
                    </w:rPr>
                  </w:pPr>
                  <w:r>
                    <w:rPr>
                      <w:rFonts w:hint="eastAsia"/>
                      <w:color w:val="auto"/>
                      <w:highlight w:val="none"/>
                      <w:lang w:val="en-US" w:eastAsia="zh-CN"/>
                    </w:rPr>
                    <w:t>5000m</w:t>
                  </w:r>
                  <w:r>
                    <w:rPr>
                      <w:rFonts w:hint="eastAsia"/>
                      <w:color w:val="auto"/>
                      <w:highlight w:val="none"/>
                      <w:vertAlign w:val="superscript"/>
                      <w:lang w:val="en-US" w:eastAsia="zh-CN"/>
                    </w:rPr>
                    <w:t>3</w:t>
                  </w:r>
                  <w:r>
                    <w:rPr>
                      <w:rFonts w:hint="eastAsia"/>
                      <w:color w:val="auto"/>
                      <w:highlight w:val="none"/>
                      <w:lang w:val="en-US" w:eastAsia="zh-CN"/>
                    </w:rPr>
                    <w:t>/h</w:t>
                  </w:r>
                </w:p>
              </w:tc>
              <w:tc>
                <w:tcPr>
                  <w:tcW w:w="2277" w:type="dxa"/>
                  <w:noWrap w:val="0"/>
                  <w:vAlign w:val="center"/>
                </w:tcPr>
                <w:p w14:paraId="22123676">
                  <w:pPr>
                    <w:pStyle w:val="49"/>
                    <w:bidi w:val="0"/>
                    <w:rPr>
                      <w:color w:val="auto"/>
                      <w:highlight w:val="none"/>
                    </w:rPr>
                  </w:pPr>
                  <w:r>
                    <w:rPr>
                      <w:rFonts w:hint="eastAsia"/>
                      <w:color w:val="auto"/>
                      <w:highlight w:val="none"/>
                      <w:lang w:val="en-US" w:eastAsia="zh-CN"/>
                    </w:rPr>
                    <w:t>1台</w:t>
                  </w:r>
                </w:p>
              </w:tc>
            </w:tr>
            <w:tr w14:paraId="5F56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1ED40E44">
                  <w:pPr>
                    <w:pStyle w:val="49"/>
                    <w:bidi w:val="0"/>
                    <w:rPr>
                      <w:color w:val="auto"/>
                      <w:highlight w:val="none"/>
                    </w:rPr>
                  </w:pPr>
                  <w:r>
                    <w:rPr>
                      <w:rFonts w:hint="eastAsia"/>
                      <w:color w:val="auto"/>
                      <w:highlight w:val="none"/>
                    </w:rPr>
                    <w:t>15</w:t>
                  </w:r>
                </w:p>
              </w:tc>
              <w:tc>
                <w:tcPr>
                  <w:tcW w:w="2054" w:type="dxa"/>
                  <w:noWrap w:val="0"/>
                  <w:vAlign w:val="center"/>
                </w:tcPr>
                <w:p w14:paraId="45CC03FD">
                  <w:pPr>
                    <w:pStyle w:val="49"/>
                    <w:bidi w:val="0"/>
                    <w:rPr>
                      <w:rFonts w:hint="default"/>
                      <w:color w:val="auto"/>
                      <w:highlight w:val="none"/>
                      <w:lang w:val="en-US" w:eastAsia="zh-CN"/>
                    </w:rPr>
                  </w:pPr>
                  <w:r>
                    <w:rPr>
                      <w:rFonts w:hint="eastAsia"/>
                      <w:color w:val="auto"/>
                      <w:highlight w:val="none"/>
                      <w:lang w:val="en-US" w:eastAsia="zh-CN"/>
                    </w:rPr>
                    <w:t>低压钢制储罐（秸秆气）</w:t>
                  </w:r>
                </w:p>
              </w:tc>
              <w:tc>
                <w:tcPr>
                  <w:tcW w:w="2055" w:type="dxa"/>
                  <w:noWrap w:val="0"/>
                  <w:vAlign w:val="center"/>
                </w:tcPr>
                <w:p w14:paraId="0D7FB455">
                  <w:pPr>
                    <w:pStyle w:val="49"/>
                    <w:bidi w:val="0"/>
                    <w:rPr>
                      <w:rFonts w:hint="default"/>
                      <w:color w:val="auto"/>
                      <w:highlight w:val="none"/>
                      <w:lang w:val="en-US" w:eastAsia="zh-CN"/>
                    </w:rPr>
                  </w:pPr>
                  <w:r>
                    <w:rPr>
                      <w:rFonts w:hint="eastAsia"/>
                      <w:color w:val="auto"/>
                      <w:highlight w:val="none"/>
                      <w:lang w:val="en-US" w:eastAsia="zh-CN"/>
                    </w:rPr>
                    <w:t>200m</w:t>
                  </w:r>
                  <w:r>
                    <w:rPr>
                      <w:rFonts w:hint="eastAsia"/>
                      <w:color w:val="auto"/>
                      <w:highlight w:val="none"/>
                      <w:vertAlign w:val="superscript"/>
                      <w:lang w:val="en-US" w:eastAsia="zh-CN"/>
                    </w:rPr>
                    <w:t>3</w:t>
                  </w:r>
                </w:p>
              </w:tc>
              <w:tc>
                <w:tcPr>
                  <w:tcW w:w="2277" w:type="dxa"/>
                  <w:noWrap w:val="0"/>
                  <w:vAlign w:val="center"/>
                </w:tcPr>
                <w:p w14:paraId="4916ABFC">
                  <w:pPr>
                    <w:pStyle w:val="49"/>
                    <w:bidi w:val="0"/>
                    <w:rPr>
                      <w:rFonts w:hint="default"/>
                      <w:color w:val="auto"/>
                      <w:highlight w:val="none"/>
                      <w:lang w:val="en-US" w:eastAsia="zh-CN"/>
                    </w:rPr>
                  </w:pPr>
                  <w:r>
                    <w:rPr>
                      <w:rFonts w:hint="eastAsia"/>
                      <w:color w:val="auto"/>
                      <w:highlight w:val="none"/>
                      <w:lang w:val="en-US" w:eastAsia="zh-CN"/>
                    </w:rPr>
                    <w:t>2个</w:t>
                  </w:r>
                </w:p>
              </w:tc>
            </w:tr>
            <w:tr w14:paraId="3634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20457CE1">
                  <w:pPr>
                    <w:pStyle w:val="49"/>
                    <w:bidi w:val="0"/>
                    <w:rPr>
                      <w:color w:val="auto"/>
                      <w:highlight w:val="none"/>
                    </w:rPr>
                  </w:pPr>
                  <w:r>
                    <w:rPr>
                      <w:rFonts w:hint="eastAsia"/>
                      <w:color w:val="auto"/>
                      <w:highlight w:val="none"/>
                    </w:rPr>
                    <w:t>16</w:t>
                  </w:r>
                </w:p>
              </w:tc>
              <w:tc>
                <w:tcPr>
                  <w:tcW w:w="2054" w:type="dxa"/>
                  <w:noWrap w:val="0"/>
                  <w:vAlign w:val="center"/>
                </w:tcPr>
                <w:p w14:paraId="29573401">
                  <w:pPr>
                    <w:pStyle w:val="49"/>
                    <w:bidi w:val="0"/>
                    <w:rPr>
                      <w:rFonts w:hint="eastAsia"/>
                      <w:color w:val="auto"/>
                      <w:highlight w:val="none"/>
                      <w:lang w:val="en-US" w:eastAsia="zh-CN"/>
                    </w:rPr>
                  </w:pPr>
                  <w:r>
                    <w:rPr>
                      <w:rFonts w:hint="eastAsia"/>
                      <w:color w:val="auto"/>
                      <w:highlight w:val="none"/>
                      <w:lang w:val="en-US" w:eastAsia="zh-CN"/>
                    </w:rPr>
                    <w:t>混合气缓冲罐</w:t>
                  </w:r>
                </w:p>
              </w:tc>
              <w:tc>
                <w:tcPr>
                  <w:tcW w:w="2055" w:type="dxa"/>
                  <w:noWrap w:val="0"/>
                  <w:vAlign w:val="center"/>
                </w:tcPr>
                <w:p w14:paraId="117C0662">
                  <w:pPr>
                    <w:pStyle w:val="49"/>
                    <w:bidi w:val="0"/>
                    <w:rPr>
                      <w:rFonts w:hint="eastAsia"/>
                      <w:color w:val="auto"/>
                      <w:highlight w:val="none"/>
                      <w:lang w:val="en-GB"/>
                    </w:rPr>
                  </w:pPr>
                  <w:r>
                    <w:rPr>
                      <w:rFonts w:hint="eastAsia"/>
                      <w:color w:val="auto"/>
                      <w:highlight w:val="none"/>
                      <w:lang w:val="en-US" w:eastAsia="zh-CN"/>
                    </w:rPr>
                    <w:t>100m</w:t>
                  </w:r>
                  <w:r>
                    <w:rPr>
                      <w:rFonts w:hint="eastAsia"/>
                      <w:color w:val="auto"/>
                      <w:highlight w:val="none"/>
                      <w:vertAlign w:val="superscript"/>
                      <w:lang w:val="en-US" w:eastAsia="zh-CN"/>
                    </w:rPr>
                    <w:t>3</w:t>
                  </w:r>
                </w:p>
              </w:tc>
              <w:tc>
                <w:tcPr>
                  <w:tcW w:w="2277" w:type="dxa"/>
                  <w:noWrap w:val="0"/>
                  <w:vAlign w:val="center"/>
                </w:tcPr>
                <w:p w14:paraId="016672EF">
                  <w:pPr>
                    <w:pStyle w:val="49"/>
                    <w:bidi w:val="0"/>
                    <w:rPr>
                      <w:rFonts w:hint="eastAsia"/>
                      <w:color w:val="auto"/>
                      <w:highlight w:val="none"/>
                    </w:rPr>
                  </w:pPr>
                  <w:r>
                    <w:rPr>
                      <w:rFonts w:hint="eastAsia"/>
                      <w:color w:val="auto"/>
                      <w:highlight w:val="none"/>
                      <w:lang w:val="en-US" w:eastAsia="zh-CN"/>
                    </w:rPr>
                    <w:t>1个</w:t>
                  </w:r>
                </w:p>
              </w:tc>
            </w:tr>
            <w:tr w14:paraId="5D5B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0B2D29A8">
                  <w:pPr>
                    <w:pStyle w:val="49"/>
                    <w:bidi w:val="0"/>
                    <w:rPr>
                      <w:color w:val="auto"/>
                      <w:highlight w:val="none"/>
                    </w:rPr>
                  </w:pPr>
                  <w:r>
                    <w:rPr>
                      <w:rFonts w:hint="eastAsia"/>
                      <w:color w:val="auto"/>
                      <w:highlight w:val="none"/>
                    </w:rPr>
                    <w:t>17</w:t>
                  </w:r>
                </w:p>
              </w:tc>
              <w:tc>
                <w:tcPr>
                  <w:tcW w:w="2054" w:type="dxa"/>
                  <w:noWrap w:val="0"/>
                  <w:vAlign w:val="center"/>
                </w:tcPr>
                <w:p w14:paraId="3F031F3B">
                  <w:pPr>
                    <w:pStyle w:val="49"/>
                    <w:bidi w:val="0"/>
                    <w:rPr>
                      <w:rFonts w:hint="default"/>
                      <w:color w:val="auto"/>
                      <w:highlight w:val="none"/>
                      <w:lang w:val="en-US" w:eastAsia="zh-CN"/>
                    </w:rPr>
                  </w:pPr>
                  <w:r>
                    <w:rPr>
                      <w:rFonts w:hint="eastAsia"/>
                      <w:color w:val="auto"/>
                      <w:highlight w:val="none"/>
                      <w:lang w:val="en-US" w:eastAsia="zh-CN"/>
                    </w:rPr>
                    <w:t>混合气储罐</w:t>
                  </w:r>
                </w:p>
              </w:tc>
              <w:tc>
                <w:tcPr>
                  <w:tcW w:w="2055" w:type="dxa"/>
                  <w:noWrap w:val="0"/>
                  <w:vAlign w:val="center"/>
                </w:tcPr>
                <w:p w14:paraId="3549A8BB">
                  <w:pPr>
                    <w:pStyle w:val="49"/>
                    <w:bidi w:val="0"/>
                    <w:rPr>
                      <w:color w:val="auto"/>
                      <w:highlight w:val="none"/>
                      <w:lang w:val="en-GB"/>
                    </w:rPr>
                  </w:pPr>
                  <w:r>
                    <w:rPr>
                      <w:rFonts w:hint="eastAsia"/>
                      <w:color w:val="auto"/>
                      <w:highlight w:val="none"/>
                      <w:lang w:val="en-US" w:eastAsia="zh-CN"/>
                    </w:rPr>
                    <w:t>100m</w:t>
                  </w:r>
                  <w:r>
                    <w:rPr>
                      <w:rFonts w:hint="eastAsia"/>
                      <w:color w:val="auto"/>
                      <w:highlight w:val="none"/>
                      <w:vertAlign w:val="superscript"/>
                      <w:lang w:val="en-US" w:eastAsia="zh-CN"/>
                    </w:rPr>
                    <w:t>3</w:t>
                  </w:r>
                </w:p>
              </w:tc>
              <w:tc>
                <w:tcPr>
                  <w:tcW w:w="2277" w:type="dxa"/>
                  <w:noWrap w:val="0"/>
                  <w:vAlign w:val="center"/>
                </w:tcPr>
                <w:p w14:paraId="32456114">
                  <w:pPr>
                    <w:pStyle w:val="49"/>
                    <w:bidi w:val="0"/>
                    <w:rPr>
                      <w:rFonts w:hint="eastAsia"/>
                      <w:color w:val="auto"/>
                      <w:highlight w:val="none"/>
                    </w:rPr>
                  </w:pPr>
                  <w:r>
                    <w:rPr>
                      <w:rFonts w:hint="eastAsia"/>
                      <w:color w:val="auto"/>
                      <w:highlight w:val="none"/>
                      <w:lang w:val="en-US" w:eastAsia="zh-CN"/>
                    </w:rPr>
                    <w:t>1个</w:t>
                  </w:r>
                </w:p>
              </w:tc>
            </w:tr>
            <w:tr w14:paraId="0036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71AF847F">
                  <w:pPr>
                    <w:pStyle w:val="49"/>
                    <w:bidi w:val="0"/>
                    <w:rPr>
                      <w:rFonts w:hint="default"/>
                      <w:color w:val="auto"/>
                      <w:highlight w:val="none"/>
                      <w:lang w:val="en-US" w:eastAsia="zh-CN"/>
                    </w:rPr>
                  </w:pPr>
                  <w:r>
                    <w:rPr>
                      <w:rFonts w:hint="eastAsia"/>
                      <w:color w:val="auto"/>
                      <w:highlight w:val="none"/>
                      <w:lang w:val="en-US" w:eastAsia="zh-CN"/>
                    </w:rPr>
                    <w:t>18</w:t>
                  </w:r>
                </w:p>
              </w:tc>
              <w:tc>
                <w:tcPr>
                  <w:tcW w:w="2054" w:type="dxa"/>
                  <w:noWrap w:val="0"/>
                  <w:vAlign w:val="center"/>
                </w:tcPr>
                <w:p w14:paraId="0949B187">
                  <w:pPr>
                    <w:pStyle w:val="49"/>
                    <w:bidi w:val="0"/>
                    <w:rPr>
                      <w:rFonts w:hint="eastAsia"/>
                      <w:color w:val="auto"/>
                      <w:highlight w:val="none"/>
                      <w:lang w:val="en-US" w:eastAsia="zh-CN"/>
                    </w:rPr>
                  </w:pPr>
                  <w:r>
                    <w:rPr>
                      <w:rFonts w:hint="eastAsia"/>
                      <w:color w:val="auto"/>
                      <w:highlight w:val="none"/>
                      <w:lang w:val="en-US" w:eastAsia="zh-CN"/>
                    </w:rPr>
                    <w:t>放散管（天然气）</w:t>
                  </w:r>
                </w:p>
              </w:tc>
              <w:tc>
                <w:tcPr>
                  <w:tcW w:w="2055" w:type="dxa"/>
                  <w:noWrap w:val="0"/>
                  <w:vAlign w:val="center"/>
                </w:tcPr>
                <w:p w14:paraId="1FE4AF20">
                  <w:pPr>
                    <w:pStyle w:val="49"/>
                    <w:bidi w:val="0"/>
                    <w:rPr>
                      <w:rFonts w:hint="default"/>
                      <w:color w:val="auto"/>
                      <w:highlight w:val="none"/>
                      <w:lang w:val="en-US" w:eastAsia="zh-CN"/>
                    </w:rPr>
                  </w:pPr>
                  <w:r>
                    <w:rPr>
                      <w:rFonts w:hint="eastAsia"/>
                      <w:color w:val="auto"/>
                      <w:highlight w:val="none"/>
                      <w:lang w:val="en-US" w:eastAsia="zh-CN"/>
                    </w:rPr>
                    <w:t>DN50,H=15.00m</w:t>
                  </w:r>
                </w:p>
              </w:tc>
              <w:tc>
                <w:tcPr>
                  <w:tcW w:w="2277" w:type="dxa"/>
                  <w:noWrap w:val="0"/>
                  <w:vAlign w:val="center"/>
                </w:tcPr>
                <w:p w14:paraId="7A88F1A0">
                  <w:pPr>
                    <w:pStyle w:val="49"/>
                    <w:bidi w:val="0"/>
                    <w:rPr>
                      <w:rFonts w:hint="default"/>
                      <w:color w:val="auto"/>
                      <w:highlight w:val="none"/>
                      <w:lang w:val="en-US" w:eastAsia="zh-CN"/>
                    </w:rPr>
                  </w:pPr>
                  <w:r>
                    <w:rPr>
                      <w:rFonts w:hint="eastAsia"/>
                      <w:color w:val="auto"/>
                      <w:highlight w:val="none"/>
                      <w:lang w:val="en-US" w:eastAsia="zh-CN"/>
                    </w:rPr>
                    <w:t>1根</w:t>
                  </w:r>
                </w:p>
              </w:tc>
            </w:tr>
            <w:tr w14:paraId="32DBB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5" w:type="dxa"/>
                  <w:gridSpan w:val="4"/>
                  <w:noWrap w:val="0"/>
                  <w:vAlign w:val="center"/>
                </w:tcPr>
                <w:p w14:paraId="7FBAC3D5">
                  <w:pPr>
                    <w:pStyle w:val="49"/>
                    <w:bidi w:val="0"/>
                    <w:rPr>
                      <w:rFonts w:hint="default"/>
                      <w:color w:val="auto"/>
                      <w:highlight w:val="none"/>
                      <w:lang w:val="en-US" w:eastAsia="zh-CN"/>
                    </w:rPr>
                  </w:pPr>
                  <w:r>
                    <w:rPr>
                      <w:rFonts w:hint="eastAsia"/>
                      <w:color w:val="auto"/>
                      <w:highlight w:val="none"/>
                      <w:lang w:val="en-US" w:eastAsia="zh-CN"/>
                    </w:rPr>
                    <w:t>有机肥产线</w:t>
                  </w:r>
                </w:p>
              </w:tc>
            </w:tr>
            <w:tr w14:paraId="0C9F0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6CF48B12">
                  <w:pPr>
                    <w:pStyle w:val="49"/>
                    <w:bidi w:val="0"/>
                    <w:rPr>
                      <w:rFonts w:hint="default"/>
                      <w:color w:val="auto"/>
                      <w:highlight w:val="none"/>
                      <w:lang w:val="en-US" w:eastAsia="zh-CN"/>
                    </w:rPr>
                  </w:pPr>
                  <w:r>
                    <w:rPr>
                      <w:rFonts w:hint="eastAsia"/>
                      <w:color w:val="auto"/>
                      <w:highlight w:val="none"/>
                      <w:lang w:val="en-US" w:eastAsia="zh-CN"/>
                    </w:rPr>
                    <w:t>19</w:t>
                  </w:r>
                </w:p>
              </w:tc>
              <w:tc>
                <w:tcPr>
                  <w:tcW w:w="2054" w:type="dxa"/>
                  <w:noWrap w:val="0"/>
                  <w:vAlign w:val="center"/>
                </w:tcPr>
                <w:p w14:paraId="1F3FE632">
                  <w:pPr>
                    <w:pStyle w:val="49"/>
                    <w:bidi w:val="0"/>
                    <w:rPr>
                      <w:rFonts w:hint="default"/>
                      <w:color w:val="auto"/>
                      <w:highlight w:val="none"/>
                      <w:lang w:val="en-US" w:eastAsia="zh-CN"/>
                    </w:rPr>
                  </w:pPr>
                  <w:r>
                    <w:rPr>
                      <w:rFonts w:hint="eastAsia"/>
                      <w:color w:val="auto"/>
                      <w:highlight w:val="none"/>
                      <w:lang w:val="en-US" w:eastAsia="zh-CN"/>
                    </w:rPr>
                    <w:t>立式发酵罐</w:t>
                  </w:r>
                </w:p>
              </w:tc>
              <w:tc>
                <w:tcPr>
                  <w:tcW w:w="2055" w:type="dxa"/>
                  <w:noWrap w:val="0"/>
                  <w:vAlign w:val="center"/>
                </w:tcPr>
                <w:p w14:paraId="3A5930B4">
                  <w:pPr>
                    <w:pStyle w:val="49"/>
                    <w:bidi w:val="0"/>
                    <w:rPr>
                      <w:rFonts w:hint="default"/>
                      <w:color w:val="auto"/>
                      <w:highlight w:val="none"/>
                      <w:vertAlign w:val="superscript"/>
                      <w:lang w:val="en-US" w:eastAsia="zh-CN"/>
                    </w:rPr>
                  </w:pPr>
                  <w:r>
                    <w:rPr>
                      <w:rFonts w:hint="eastAsia"/>
                      <w:color w:val="auto"/>
                      <w:highlight w:val="none"/>
                      <w:lang w:val="en-US" w:eastAsia="zh-CN"/>
                    </w:rPr>
                    <w:t>100m</w:t>
                  </w:r>
                  <w:r>
                    <w:rPr>
                      <w:rFonts w:hint="eastAsia"/>
                      <w:color w:val="auto"/>
                      <w:highlight w:val="none"/>
                      <w:vertAlign w:val="superscript"/>
                      <w:lang w:val="en-US" w:eastAsia="zh-CN"/>
                    </w:rPr>
                    <w:t>3</w:t>
                  </w:r>
                </w:p>
              </w:tc>
              <w:tc>
                <w:tcPr>
                  <w:tcW w:w="2277" w:type="dxa"/>
                  <w:noWrap w:val="0"/>
                  <w:vAlign w:val="center"/>
                </w:tcPr>
                <w:p w14:paraId="365B9538">
                  <w:pPr>
                    <w:pStyle w:val="49"/>
                    <w:bidi w:val="0"/>
                    <w:rPr>
                      <w:rFonts w:hint="default"/>
                      <w:color w:val="auto"/>
                      <w:highlight w:val="none"/>
                      <w:lang w:val="en-US" w:eastAsia="zh-CN"/>
                    </w:rPr>
                  </w:pPr>
                  <w:r>
                    <w:rPr>
                      <w:rFonts w:hint="eastAsia"/>
                      <w:color w:val="auto"/>
                      <w:highlight w:val="none"/>
                      <w:lang w:val="en-US" w:eastAsia="zh-CN"/>
                    </w:rPr>
                    <w:t>1个</w:t>
                  </w:r>
                </w:p>
              </w:tc>
            </w:tr>
            <w:tr w14:paraId="73D6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6F155AAB">
                  <w:pPr>
                    <w:pStyle w:val="49"/>
                    <w:bidi w:val="0"/>
                    <w:rPr>
                      <w:rFonts w:hint="default"/>
                      <w:color w:val="auto"/>
                      <w:highlight w:val="none"/>
                      <w:lang w:val="en-US" w:eastAsia="zh-CN"/>
                    </w:rPr>
                  </w:pPr>
                  <w:r>
                    <w:rPr>
                      <w:rFonts w:hint="eastAsia"/>
                      <w:color w:val="auto"/>
                      <w:highlight w:val="none"/>
                      <w:lang w:val="en-US" w:eastAsia="zh-CN"/>
                    </w:rPr>
                    <w:t>20</w:t>
                  </w:r>
                </w:p>
              </w:tc>
              <w:tc>
                <w:tcPr>
                  <w:tcW w:w="2054" w:type="dxa"/>
                  <w:shd w:val="clear" w:color="auto" w:fill="auto"/>
                  <w:noWrap w:val="0"/>
                  <w:vAlign w:val="top"/>
                </w:tcPr>
                <w:p w14:paraId="397BB15C">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粉碎机</w:t>
                  </w:r>
                </w:p>
              </w:tc>
              <w:tc>
                <w:tcPr>
                  <w:tcW w:w="2055" w:type="dxa"/>
                  <w:shd w:val="clear" w:color="auto" w:fill="auto"/>
                  <w:noWrap w:val="0"/>
                  <w:vAlign w:val="top"/>
                </w:tcPr>
                <w:p w14:paraId="0B446367">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JY-1800</w:t>
                  </w:r>
                </w:p>
              </w:tc>
              <w:tc>
                <w:tcPr>
                  <w:tcW w:w="2277" w:type="dxa"/>
                  <w:shd w:val="clear" w:color="auto" w:fill="auto"/>
                  <w:noWrap w:val="0"/>
                  <w:vAlign w:val="top"/>
                </w:tcPr>
                <w:p w14:paraId="66B22FF9">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1</w:t>
                  </w:r>
                  <w:r>
                    <w:rPr>
                      <w:rFonts w:hint="eastAsia"/>
                      <w:color w:val="auto"/>
                      <w:highlight w:val="none"/>
                      <w:lang w:val="en-US" w:eastAsia="zh-CN"/>
                    </w:rPr>
                    <w:t>台</w:t>
                  </w:r>
                </w:p>
              </w:tc>
            </w:tr>
            <w:tr w14:paraId="1A912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760787C1">
                  <w:pPr>
                    <w:pStyle w:val="49"/>
                    <w:bidi w:val="0"/>
                    <w:rPr>
                      <w:rFonts w:hint="default"/>
                      <w:color w:val="auto"/>
                      <w:highlight w:val="none"/>
                      <w:lang w:val="en-US" w:eastAsia="zh-CN"/>
                    </w:rPr>
                  </w:pPr>
                  <w:r>
                    <w:rPr>
                      <w:rFonts w:hint="eastAsia"/>
                      <w:color w:val="auto"/>
                      <w:highlight w:val="none"/>
                      <w:lang w:val="en-US" w:eastAsia="zh-CN"/>
                    </w:rPr>
                    <w:t>21</w:t>
                  </w:r>
                </w:p>
              </w:tc>
              <w:tc>
                <w:tcPr>
                  <w:tcW w:w="2054" w:type="dxa"/>
                  <w:shd w:val="clear" w:color="auto" w:fill="auto"/>
                  <w:noWrap w:val="0"/>
                  <w:vAlign w:val="top"/>
                </w:tcPr>
                <w:p w14:paraId="1DE03880">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烘干机</w:t>
                  </w:r>
                </w:p>
              </w:tc>
              <w:tc>
                <w:tcPr>
                  <w:tcW w:w="2055" w:type="dxa"/>
                  <w:shd w:val="clear" w:color="auto" w:fill="auto"/>
                  <w:noWrap w:val="0"/>
                  <w:vAlign w:val="top"/>
                </w:tcPr>
                <w:p w14:paraId="42565B1A">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HG-1.3</w:t>
                  </w:r>
                </w:p>
              </w:tc>
              <w:tc>
                <w:tcPr>
                  <w:tcW w:w="2277" w:type="dxa"/>
                  <w:shd w:val="clear" w:color="auto" w:fill="auto"/>
                  <w:noWrap w:val="0"/>
                  <w:vAlign w:val="top"/>
                </w:tcPr>
                <w:p w14:paraId="615DC27D">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1台</w:t>
                  </w:r>
                </w:p>
              </w:tc>
            </w:tr>
            <w:tr w14:paraId="36DE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444CCD70">
                  <w:pPr>
                    <w:pStyle w:val="49"/>
                    <w:bidi w:val="0"/>
                    <w:rPr>
                      <w:rFonts w:hint="default"/>
                      <w:color w:val="auto"/>
                      <w:highlight w:val="none"/>
                      <w:lang w:val="en-US" w:eastAsia="zh-CN"/>
                    </w:rPr>
                  </w:pPr>
                  <w:r>
                    <w:rPr>
                      <w:rFonts w:hint="eastAsia"/>
                      <w:color w:val="auto"/>
                      <w:highlight w:val="none"/>
                      <w:lang w:val="en-US" w:eastAsia="zh-CN"/>
                    </w:rPr>
                    <w:t>22</w:t>
                  </w:r>
                </w:p>
              </w:tc>
              <w:tc>
                <w:tcPr>
                  <w:tcW w:w="2054" w:type="dxa"/>
                  <w:shd w:val="clear" w:color="auto" w:fill="auto"/>
                  <w:noWrap w:val="0"/>
                  <w:vAlign w:val="top"/>
                </w:tcPr>
                <w:p w14:paraId="486F64B3">
                  <w:pPr>
                    <w:pStyle w:val="49"/>
                    <w:bidi w:val="0"/>
                    <w:ind w:left="0" w:leftChars="0" w:firstLine="0" w:firstLineChars="0"/>
                    <w:rPr>
                      <w:rFonts w:hint="default" w:eastAsia="宋体"/>
                      <w:color w:val="auto"/>
                      <w:highlight w:val="none"/>
                      <w:lang w:val="en-US" w:eastAsia="zh-CN"/>
                    </w:rPr>
                  </w:pPr>
                  <w:r>
                    <w:rPr>
                      <w:rFonts w:hint="eastAsia"/>
                      <w:color w:val="auto"/>
                      <w:highlight w:val="none"/>
                      <w:lang w:val="en-US" w:eastAsia="zh-CN"/>
                    </w:rPr>
                    <w:t>筛分机</w:t>
                  </w:r>
                </w:p>
              </w:tc>
              <w:tc>
                <w:tcPr>
                  <w:tcW w:w="2055" w:type="dxa"/>
                  <w:shd w:val="clear" w:color="auto" w:fill="auto"/>
                  <w:noWrap w:val="0"/>
                  <w:vAlign w:val="top"/>
                </w:tcPr>
                <w:p w14:paraId="5D5EF3B1">
                  <w:pPr>
                    <w:pStyle w:val="49"/>
                    <w:bidi w:val="0"/>
                    <w:ind w:left="0" w:leftChars="0" w:firstLine="0" w:firstLineChars="0"/>
                    <w:rPr>
                      <w:rFonts w:hint="eastAsia" w:eastAsia="宋体"/>
                      <w:color w:val="auto"/>
                      <w:highlight w:val="none"/>
                      <w:lang w:val="en-US" w:eastAsia="zh-CN"/>
                    </w:rPr>
                  </w:pPr>
                  <w:r>
                    <w:rPr>
                      <w:rFonts w:hint="eastAsia"/>
                      <w:color w:val="auto"/>
                      <w:highlight w:val="none"/>
                      <w:lang w:val="en-US" w:eastAsia="zh-CN"/>
                    </w:rPr>
                    <w:t>/</w:t>
                  </w:r>
                </w:p>
              </w:tc>
              <w:tc>
                <w:tcPr>
                  <w:tcW w:w="2277" w:type="dxa"/>
                  <w:shd w:val="clear" w:color="auto" w:fill="auto"/>
                  <w:noWrap w:val="0"/>
                  <w:vAlign w:val="top"/>
                </w:tcPr>
                <w:p w14:paraId="16939E03">
                  <w:pPr>
                    <w:pStyle w:val="49"/>
                    <w:bidi w:val="0"/>
                    <w:ind w:left="0" w:leftChars="0" w:firstLine="0" w:firstLineChars="0"/>
                    <w:rPr>
                      <w:rFonts w:hint="default"/>
                      <w:color w:val="auto"/>
                      <w:highlight w:val="none"/>
                      <w:lang w:val="en-US" w:eastAsia="zh-CN"/>
                    </w:rPr>
                  </w:pPr>
                  <w:r>
                    <w:rPr>
                      <w:rFonts w:hint="eastAsia"/>
                      <w:color w:val="auto"/>
                      <w:highlight w:val="none"/>
                      <w:lang w:val="en-US" w:eastAsia="zh-CN"/>
                    </w:rPr>
                    <w:t>2台</w:t>
                  </w:r>
                </w:p>
              </w:tc>
            </w:tr>
            <w:tr w14:paraId="7026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3EEDED96">
                  <w:pPr>
                    <w:pStyle w:val="49"/>
                    <w:bidi w:val="0"/>
                    <w:rPr>
                      <w:rFonts w:hint="default"/>
                      <w:color w:val="auto"/>
                      <w:highlight w:val="none"/>
                      <w:lang w:val="en-US" w:eastAsia="zh-CN"/>
                    </w:rPr>
                  </w:pPr>
                  <w:r>
                    <w:rPr>
                      <w:rFonts w:hint="eastAsia"/>
                      <w:color w:val="auto"/>
                      <w:highlight w:val="none"/>
                      <w:lang w:val="en-US" w:eastAsia="zh-CN"/>
                    </w:rPr>
                    <w:t>23</w:t>
                  </w:r>
                </w:p>
              </w:tc>
              <w:tc>
                <w:tcPr>
                  <w:tcW w:w="2054" w:type="dxa"/>
                  <w:shd w:val="clear" w:color="auto" w:fill="auto"/>
                  <w:noWrap w:val="0"/>
                  <w:vAlign w:val="top"/>
                </w:tcPr>
                <w:p w14:paraId="1259E038">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皮带输送机</w:t>
                  </w:r>
                </w:p>
              </w:tc>
              <w:tc>
                <w:tcPr>
                  <w:tcW w:w="2055" w:type="dxa"/>
                  <w:shd w:val="clear" w:color="auto" w:fill="auto"/>
                  <w:noWrap w:val="0"/>
                  <w:vAlign w:val="top"/>
                </w:tcPr>
                <w:p w14:paraId="0ECBA465">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TD75-500</w:t>
                  </w:r>
                </w:p>
              </w:tc>
              <w:tc>
                <w:tcPr>
                  <w:tcW w:w="2277" w:type="dxa"/>
                  <w:shd w:val="clear" w:color="auto" w:fill="auto"/>
                  <w:noWrap w:val="0"/>
                  <w:vAlign w:val="top"/>
                </w:tcPr>
                <w:p w14:paraId="4BA5D930">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color w:val="auto"/>
                      <w:highlight w:val="none"/>
                    </w:rPr>
                    <w:t>1</w:t>
                  </w:r>
                  <w:r>
                    <w:rPr>
                      <w:rFonts w:hint="eastAsia"/>
                      <w:color w:val="auto"/>
                      <w:highlight w:val="none"/>
                      <w:lang w:val="en-US" w:eastAsia="zh-CN"/>
                    </w:rPr>
                    <w:t>套</w:t>
                  </w:r>
                </w:p>
              </w:tc>
            </w:tr>
            <w:tr w14:paraId="3B6A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48D84951">
                  <w:pPr>
                    <w:pStyle w:val="49"/>
                    <w:bidi w:val="0"/>
                    <w:rPr>
                      <w:rFonts w:hint="default"/>
                      <w:color w:val="auto"/>
                      <w:highlight w:val="none"/>
                      <w:lang w:val="en-US" w:eastAsia="zh-CN"/>
                    </w:rPr>
                  </w:pPr>
                  <w:r>
                    <w:rPr>
                      <w:rFonts w:hint="eastAsia"/>
                      <w:color w:val="auto"/>
                      <w:highlight w:val="none"/>
                      <w:lang w:val="en-US" w:eastAsia="zh-CN"/>
                    </w:rPr>
                    <w:t>24</w:t>
                  </w:r>
                </w:p>
              </w:tc>
              <w:tc>
                <w:tcPr>
                  <w:tcW w:w="2054" w:type="dxa"/>
                  <w:noWrap w:val="0"/>
                  <w:vAlign w:val="top"/>
                </w:tcPr>
                <w:p w14:paraId="7F75C835">
                  <w:pPr>
                    <w:pStyle w:val="49"/>
                    <w:bidi w:val="0"/>
                    <w:ind w:left="0" w:leftChars="0" w:firstLine="0" w:firstLineChars="0"/>
                    <w:rPr>
                      <w:rFonts w:hint="eastAsia"/>
                      <w:color w:val="auto"/>
                      <w:highlight w:val="none"/>
                      <w:lang w:val="en-US" w:eastAsia="zh-CN"/>
                    </w:rPr>
                  </w:pPr>
                  <w:r>
                    <w:rPr>
                      <w:color w:val="auto"/>
                      <w:highlight w:val="none"/>
                    </w:rPr>
                    <w:t>自动包装机</w:t>
                  </w:r>
                </w:p>
              </w:tc>
              <w:tc>
                <w:tcPr>
                  <w:tcW w:w="2055" w:type="dxa"/>
                  <w:noWrap w:val="0"/>
                  <w:vAlign w:val="top"/>
                </w:tcPr>
                <w:p w14:paraId="5A107309">
                  <w:pPr>
                    <w:pStyle w:val="49"/>
                    <w:bidi w:val="0"/>
                    <w:ind w:left="0" w:leftChars="0" w:firstLine="0" w:firstLineChars="0"/>
                    <w:rPr>
                      <w:rFonts w:hint="eastAsia"/>
                      <w:color w:val="auto"/>
                      <w:highlight w:val="none"/>
                      <w:lang w:val="en-US" w:eastAsia="zh-CN"/>
                    </w:rPr>
                  </w:pPr>
                  <w:r>
                    <w:rPr>
                      <w:color w:val="auto"/>
                      <w:highlight w:val="none"/>
                    </w:rPr>
                    <w:t>/</w:t>
                  </w:r>
                </w:p>
              </w:tc>
              <w:tc>
                <w:tcPr>
                  <w:tcW w:w="2277" w:type="dxa"/>
                  <w:noWrap w:val="0"/>
                  <w:vAlign w:val="top"/>
                </w:tcPr>
                <w:p w14:paraId="43C6FCE0">
                  <w:pPr>
                    <w:pStyle w:val="49"/>
                    <w:bidi w:val="0"/>
                    <w:ind w:left="0" w:leftChars="0" w:firstLine="0" w:firstLineChars="0"/>
                    <w:rPr>
                      <w:rFonts w:hint="eastAsia"/>
                      <w:color w:val="auto"/>
                      <w:highlight w:val="none"/>
                      <w:lang w:val="en-US" w:eastAsia="zh-CN"/>
                    </w:rPr>
                  </w:pPr>
                  <w:r>
                    <w:rPr>
                      <w:color w:val="auto"/>
                      <w:highlight w:val="none"/>
                    </w:rPr>
                    <w:t>1</w:t>
                  </w:r>
                  <w:r>
                    <w:rPr>
                      <w:rFonts w:hint="eastAsia"/>
                      <w:color w:val="auto"/>
                      <w:highlight w:val="none"/>
                      <w:lang w:val="en-US" w:eastAsia="zh-CN"/>
                    </w:rPr>
                    <w:t>台</w:t>
                  </w:r>
                </w:p>
              </w:tc>
            </w:tr>
            <w:tr w14:paraId="4C77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35" w:type="dxa"/>
                  <w:gridSpan w:val="4"/>
                  <w:noWrap w:val="0"/>
                  <w:vAlign w:val="center"/>
                </w:tcPr>
                <w:p w14:paraId="13024C4A">
                  <w:pPr>
                    <w:pStyle w:val="49"/>
                    <w:bidi w:val="0"/>
                    <w:rPr>
                      <w:rFonts w:hint="default"/>
                      <w:color w:val="auto"/>
                      <w:highlight w:val="none"/>
                      <w:lang w:val="en-US" w:eastAsia="zh-CN"/>
                    </w:rPr>
                  </w:pPr>
                  <w:r>
                    <w:rPr>
                      <w:rFonts w:hint="eastAsia"/>
                      <w:color w:val="auto"/>
                      <w:highlight w:val="none"/>
                      <w:lang w:val="en-US" w:eastAsia="zh-CN"/>
                    </w:rPr>
                    <w:t>公用辅助设备</w:t>
                  </w:r>
                </w:p>
              </w:tc>
            </w:tr>
            <w:tr w14:paraId="62D6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549" w:type="dxa"/>
                  <w:noWrap w:val="0"/>
                  <w:vAlign w:val="center"/>
                </w:tcPr>
                <w:p w14:paraId="22D84286">
                  <w:pPr>
                    <w:pStyle w:val="49"/>
                    <w:bidi w:val="0"/>
                    <w:rPr>
                      <w:rFonts w:hint="default"/>
                      <w:color w:val="auto"/>
                      <w:highlight w:val="none"/>
                      <w:lang w:val="en-US" w:eastAsia="zh-CN"/>
                    </w:rPr>
                  </w:pPr>
                  <w:r>
                    <w:rPr>
                      <w:rFonts w:hint="eastAsia"/>
                      <w:color w:val="auto"/>
                      <w:highlight w:val="none"/>
                      <w:lang w:val="en-US" w:eastAsia="zh-CN"/>
                    </w:rPr>
                    <w:t>25</w:t>
                  </w:r>
                </w:p>
              </w:tc>
              <w:tc>
                <w:tcPr>
                  <w:tcW w:w="2054" w:type="dxa"/>
                  <w:noWrap w:val="0"/>
                  <w:vAlign w:val="center"/>
                </w:tcPr>
                <w:p w14:paraId="7591172E">
                  <w:pPr>
                    <w:pStyle w:val="49"/>
                    <w:bidi w:val="0"/>
                    <w:rPr>
                      <w:rFonts w:hint="default"/>
                      <w:color w:val="auto"/>
                      <w:highlight w:val="none"/>
                      <w:lang w:val="en-US" w:eastAsia="zh-CN"/>
                    </w:rPr>
                  </w:pPr>
                  <w:r>
                    <w:rPr>
                      <w:rFonts w:hint="eastAsia"/>
                      <w:color w:val="auto"/>
                      <w:highlight w:val="none"/>
                      <w:lang w:val="en-US" w:eastAsia="zh-CN"/>
                    </w:rPr>
                    <w:t>柴油发电机</w:t>
                  </w:r>
                </w:p>
              </w:tc>
              <w:tc>
                <w:tcPr>
                  <w:tcW w:w="2055" w:type="dxa"/>
                  <w:noWrap w:val="0"/>
                  <w:vAlign w:val="center"/>
                </w:tcPr>
                <w:p w14:paraId="5576F03A">
                  <w:pPr>
                    <w:pStyle w:val="49"/>
                    <w:bidi w:val="0"/>
                    <w:rPr>
                      <w:rFonts w:hint="default"/>
                      <w:color w:val="auto"/>
                      <w:highlight w:val="none"/>
                      <w:lang w:val="en-US" w:eastAsia="zh-CN"/>
                    </w:rPr>
                  </w:pPr>
                  <w:r>
                    <w:rPr>
                      <w:rFonts w:hint="eastAsia"/>
                      <w:color w:val="auto"/>
                      <w:highlight w:val="none"/>
                      <w:lang w:val="en-US" w:eastAsia="zh-CN"/>
                    </w:rPr>
                    <w:t>30kW</w:t>
                  </w:r>
                </w:p>
              </w:tc>
              <w:tc>
                <w:tcPr>
                  <w:tcW w:w="2277" w:type="dxa"/>
                  <w:noWrap w:val="0"/>
                  <w:vAlign w:val="center"/>
                </w:tcPr>
                <w:p w14:paraId="52E4470B">
                  <w:pPr>
                    <w:pStyle w:val="49"/>
                    <w:bidi w:val="0"/>
                    <w:rPr>
                      <w:rFonts w:hint="default"/>
                      <w:color w:val="auto"/>
                      <w:highlight w:val="none"/>
                      <w:lang w:val="en-US" w:eastAsia="zh-CN"/>
                    </w:rPr>
                  </w:pPr>
                  <w:r>
                    <w:rPr>
                      <w:rFonts w:hint="eastAsia"/>
                      <w:color w:val="auto"/>
                      <w:highlight w:val="none"/>
                      <w:lang w:val="en-US" w:eastAsia="zh-CN"/>
                    </w:rPr>
                    <w:t>1台</w:t>
                  </w:r>
                </w:p>
              </w:tc>
            </w:tr>
          </w:tbl>
          <w:p w14:paraId="2AB1F3D7">
            <w:pPr>
              <w:pStyle w:val="11"/>
              <w:numPr>
                <w:ilvl w:val="0"/>
                <w:numId w:val="2"/>
              </w:numPr>
              <w:bidi w:val="0"/>
              <w:rPr>
                <w:b/>
                <w:bCs/>
                <w:color w:val="auto"/>
                <w:highlight w:val="none"/>
              </w:rPr>
            </w:pPr>
            <w:r>
              <w:rPr>
                <w:b/>
                <w:bCs/>
                <w:color w:val="auto"/>
                <w:highlight w:val="none"/>
              </w:rPr>
              <w:t>平面布置合理性分析</w:t>
            </w:r>
          </w:p>
          <w:p w14:paraId="4AEE5E92">
            <w:pPr>
              <w:pStyle w:val="11"/>
              <w:bidi w:val="0"/>
              <w:rPr>
                <w:rFonts w:hint="eastAsia" w:eastAsia="宋体"/>
                <w:color w:val="auto"/>
                <w:highlight w:val="none"/>
                <w:lang w:eastAsia="zh-CN"/>
              </w:rPr>
            </w:pPr>
            <w:r>
              <w:rPr>
                <w:rFonts w:hint="eastAsia"/>
                <w:color w:val="auto"/>
                <w:highlight w:val="none"/>
                <w:lang w:eastAsia="zh-CN"/>
              </w:rPr>
              <w:t>本项目总用地面积约23091.61m²，总建筑面积约5062.57</w:t>
            </w:r>
            <w:r>
              <w:rPr>
                <w:rFonts w:hint="eastAsia"/>
                <w:color w:val="auto"/>
                <w:highlight w:val="none"/>
                <w:lang w:val="en-US" w:eastAsia="zh-CN"/>
              </w:rPr>
              <w:t>m</w:t>
            </w:r>
            <w:r>
              <w:rPr>
                <w:rFonts w:hint="eastAsia"/>
                <w:color w:val="auto"/>
                <w:highlight w:val="none"/>
                <w:vertAlign w:val="superscript"/>
                <w:lang w:val="en-US" w:eastAsia="zh-CN"/>
              </w:rPr>
              <w:t>2</w:t>
            </w:r>
            <w:r>
              <w:rPr>
                <w:rFonts w:hint="eastAsia"/>
                <w:color w:val="auto"/>
                <w:highlight w:val="none"/>
                <w:lang w:eastAsia="zh-CN"/>
              </w:rPr>
              <w:t>。本次布置结合场地地形地貌与项目工艺需求，严格遵循天然气站场相关规范标准与法律法规要求，在明确站房定位、朝向的基础上开展规划，将场地主要划分为四大区块，分别为办公区、装卸区、生产区、生产工艺区。地块整体规划清晰明确、主次分明，顺应场地原有地形地势布置。项目入口设置在场地东</w:t>
            </w:r>
            <w:r>
              <w:rPr>
                <w:rFonts w:hint="eastAsia"/>
                <w:color w:val="auto"/>
                <w:highlight w:val="none"/>
                <w:lang w:val="en-US" w:eastAsia="zh-CN"/>
              </w:rPr>
              <w:t>北侧，厂区外东侧连通乡村道路，物料运输便利，项目平面布置图见附图4。整体布局充分契合生产工艺的流程走向，同时保障了厂内物流畅通。</w:t>
            </w:r>
          </w:p>
          <w:p w14:paraId="14FF1147">
            <w:pPr>
              <w:pStyle w:val="11"/>
              <w:bidi w:val="0"/>
              <w:rPr>
                <w:rFonts w:hint="eastAsia"/>
                <w:color w:val="auto"/>
                <w:highlight w:val="none"/>
                <w:lang w:val="en-US" w:eastAsia="zh-CN"/>
              </w:rPr>
            </w:pPr>
            <w:r>
              <w:rPr>
                <w:rFonts w:hint="eastAsia"/>
                <w:color w:val="auto"/>
                <w:highlight w:val="none"/>
                <w:lang w:val="en-US" w:eastAsia="zh-CN"/>
              </w:rPr>
              <w:t>本项目主要建设内容包括：1栋2层办公楼，1栋秸秆综合利用车间（内设有机肥产线），1栋秸秆原料库房，1栋碳化车间（内设秸秆炭产线），1栋消防泵房及配电室；同时配套建设有机肥生产成套装置、秸秆气化炭化成套装置、项目初期临时CNG卸车成套装置、混气装置、2座200m³秸秆气储罐及紧急放空系统各1套。</w:t>
            </w:r>
          </w:p>
          <w:p w14:paraId="1136BDDA">
            <w:pPr>
              <w:pStyle w:val="11"/>
              <w:bidi w:val="0"/>
              <w:rPr>
                <w:rFonts w:hint="eastAsia"/>
                <w:color w:val="auto"/>
                <w:highlight w:val="none"/>
                <w:lang w:val="en-US" w:eastAsia="zh-CN"/>
              </w:rPr>
            </w:pPr>
            <w:r>
              <w:rPr>
                <w:rFonts w:hint="eastAsia"/>
                <w:color w:val="auto"/>
                <w:highlight w:val="none"/>
                <w:lang w:val="en-US" w:eastAsia="zh-CN"/>
              </w:rPr>
              <w:t>厂区功能分区区位规划：秸秆炭核心炭化车间布置于厂区西侧，秸秆气罐区设置在厂区北侧，有机肥生产线布置于厂区东北角，各生产单元与场地南侧居民点均保持较远安全距离；项目区域常年主导风向为东风，生产废气、异味等污染物对南侧居民区环境影响程度较低，大气防护条件良好，各生产车间平面布置详见附图5。</w:t>
            </w:r>
          </w:p>
          <w:p w14:paraId="494ABAF9">
            <w:pPr>
              <w:pStyle w:val="11"/>
              <w:bidi w:val="0"/>
              <w:rPr>
                <w:rFonts w:hint="eastAsia"/>
                <w:color w:val="auto"/>
                <w:highlight w:val="none"/>
                <w:lang w:val="en-US" w:eastAsia="zh-CN"/>
              </w:rPr>
            </w:pPr>
            <w:r>
              <w:rPr>
                <w:rFonts w:hint="eastAsia"/>
                <w:color w:val="auto"/>
                <w:highlight w:val="none"/>
                <w:lang w:val="en-US" w:eastAsia="zh-CN"/>
              </w:rPr>
              <w:t>结合安全评价相关资料，项目总平面方案编制阶段已综合统筹周边环境现状、功能分区划分、厂区道路规划等要素，并依据各生产单元风险特性配套落实相应安全防护间距、隔离措施。整体总平面布置紧凑集约、功能分区清晰、工艺流程连贯顺畅，待落实本章节补充的安全管控对策措施后，总平面布局可完全满足现行相关法律、法规及规范标准要求。</w:t>
            </w:r>
          </w:p>
          <w:p w14:paraId="6482CDDD">
            <w:pPr>
              <w:pStyle w:val="11"/>
              <w:numPr>
                <w:ilvl w:val="0"/>
                <w:numId w:val="2"/>
              </w:numPr>
              <w:bidi w:val="0"/>
              <w:ind w:left="0" w:leftChars="0" w:right="0" w:rightChars="0" w:firstLine="482" w:firstLineChars="200"/>
              <w:rPr>
                <w:rFonts w:hint="default"/>
                <w:b/>
                <w:bCs/>
                <w:color w:val="auto"/>
                <w:highlight w:val="none"/>
                <w:lang w:val="en-US" w:eastAsia="zh-CN"/>
              </w:rPr>
            </w:pPr>
            <w:r>
              <w:rPr>
                <w:rFonts w:hint="eastAsia"/>
                <w:b/>
                <w:bCs/>
                <w:color w:val="auto"/>
                <w:highlight w:val="none"/>
                <w:lang w:val="en-US" w:eastAsia="zh-CN"/>
              </w:rPr>
              <w:t>劳动定员及工作制度</w:t>
            </w:r>
          </w:p>
          <w:p w14:paraId="4BF51DB8">
            <w:pPr>
              <w:pStyle w:val="11"/>
              <w:bidi w:val="0"/>
              <w:rPr>
                <w:rFonts w:hint="default"/>
                <w:color w:val="auto"/>
                <w:highlight w:val="none"/>
                <w:lang w:val="en-US" w:eastAsia="zh-CN"/>
              </w:rPr>
            </w:pPr>
            <w:r>
              <w:rPr>
                <w:rFonts w:hint="eastAsia"/>
                <w:color w:val="auto"/>
                <w:highlight w:val="none"/>
                <w:lang w:val="en-US" w:eastAsia="zh-CN"/>
              </w:rPr>
              <w:t>建设项目劳动定员12人，年工作300天，每天工作8h。</w:t>
            </w:r>
            <w:r>
              <w:rPr>
                <w:color w:val="auto"/>
                <w:highlight w:val="none"/>
              </w:rPr>
              <w:t>干馏炭化炉</w:t>
            </w:r>
            <w:r>
              <w:rPr>
                <w:rFonts w:hint="eastAsia"/>
                <w:color w:val="auto"/>
                <w:highlight w:val="none"/>
              </w:rPr>
              <w:t>工作时长按</w:t>
            </w:r>
            <w:r>
              <w:rPr>
                <w:rFonts w:hint="eastAsia"/>
                <w:color w:val="auto"/>
                <w:highlight w:val="none"/>
                <w:lang w:val="en-US" w:eastAsia="zh-CN"/>
              </w:rPr>
              <w:t>每天</w:t>
            </w:r>
            <w:r>
              <w:rPr>
                <w:color w:val="auto"/>
                <w:highlight w:val="none"/>
              </w:rPr>
              <w:t>连续</w:t>
            </w:r>
            <w:r>
              <w:rPr>
                <w:rFonts w:hint="eastAsia"/>
                <w:color w:val="auto"/>
                <w:highlight w:val="none"/>
                <w:lang w:val="en-US" w:eastAsia="zh-CN"/>
              </w:rPr>
              <w:t>8</w:t>
            </w:r>
            <w:r>
              <w:rPr>
                <w:color w:val="auto"/>
                <w:highlight w:val="none"/>
              </w:rPr>
              <w:t>小时</w:t>
            </w:r>
            <w:r>
              <w:rPr>
                <w:rFonts w:hint="eastAsia"/>
                <w:color w:val="auto"/>
                <w:highlight w:val="none"/>
              </w:rPr>
              <w:t>计</w:t>
            </w:r>
            <w:r>
              <w:rPr>
                <w:color w:val="auto"/>
                <w:highlight w:val="none"/>
              </w:rPr>
              <w:t>，</w:t>
            </w:r>
            <w:r>
              <w:rPr>
                <w:rFonts w:hint="eastAsia"/>
                <w:color w:val="auto"/>
                <w:highlight w:val="none"/>
              </w:rPr>
              <w:t>粉碎机工作时长按</w:t>
            </w:r>
            <w:r>
              <w:rPr>
                <w:rFonts w:hint="eastAsia"/>
                <w:color w:val="auto"/>
                <w:highlight w:val="none"/>
                <w:lang w:val="en-US" w:eastAsia="zh-CN"/>
              </w:rPr>
              <w:t>每天</w:t>
            </w:r>
            <w:r>
              <w:rPr>
                <w:rFonts w:hint="eastAsia"/>
                <w:color w:val="auto"/>
                <w:highlight w:val="none"/>
              </w:rPr>
              <w:t>连续4</w:t>
            </w:r>
            <w:r>
              <w:rPr>
                <w:color w:val="auto"/>
                <w:highlight w:val="none"/>
              </w:rPr>
              <w:t>小时</w:t>
            </w:r>
            <w:r>
              <w:rPr>
                <w:rFonts w:hint="eastAsia"/>
                <w:color w:val="auto"/>
                <w:highlight w:val="none"/>
              </w:rPr>
              <w:t>计</w:t>
            </w:r>
            <w:r>
              <w:rPr>
                <w:color w:val="auto"/>
                <w:highlight w:val="none"/>
              </w:rPr>
              <w:t>。</w:t>
            </w:r>
          </w:p>
        </w:tc>
      </w:tr>
      <w:tr w14:paraId="0BF068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39" w:hRule="atLeast"/>
          <w:jc w:val="center"/>
        </w:trPr>
        <w:tc>
          <w:tcPr>
            <w:tcW w:w="823" w:type="dxa"/>
            <w:noWrap w:val="0"/>
            <w:vAlign w:val="center"/>
          </w:tcPr>
          <w:p w14:paraId="3E5CDA84">
            <w:pPr>
              <w:pStyle w:val="22"/>
              <w:adjustRightInd w:val="0"/>
              <w:snapToGrid w:val="0"/>
              <w:spacing w:before="0" w:beforeAutospacing="0" w:after="0" w:afterAutospacing="0"/>
              <w:jc w:val="center"/>
              <w:rPr>
                <w:rFonts w:cs="宋体"/>
                <w:color w:val="auto"/>
                <w:sz w:val="24"/>
                <w:szCs w:val="24"/>
                <w:highlight w:val="none"/>
              </w:rPr>
            </w:pPr>
            <w:r>
              <w:rPr>
                <w:rFonts w:hint="eastAsia" w:cs="宋体"/>
                <w:color w:val="auto"/>
                <w:sz w:val="24"/>
                <w:szCs w:val="24"/>
                <w:highlight w:val="none"/>
              </w:rPr>
              <w:t>工艺流程和产排污环节</w:t>
            </w:r>
          </w:p>
        </w:tc>
        <w:tc>
          <w:tcPr>
            <w:tcW w:w="8161" w:type="dxa"/>
            <w:noWrap w:val="0"/>
            <w:vAlign w:val="top"/>
          </w:tcPr>
          <w:p w14:paraId="5F47ECD3">
            <w:pPr>
              <w:pStyle w:val="11"/>
              <w:numPr>
                <w:ilvl w:val="0"/>
                <w:numId w:val="6"/>
              </w:numPr>
              <w:bidi w:val="0"/>
              <w:rPr>
                <w:rFonts w:hint="default"/>
                <w:b/>
                <w:bCs/>
                <w:color w:val="auto"/>
                <w:highlight w:val="none"/>
                <w:lang w:val="en-US" w:eastAsia="zh-CN"/>
              </w:rPr>
            </w:pPr>
            <w:r>
              <w:rPr>
                <w:rFonts w:hint="eastAsia"/>
                <w:b/>
                <w:bCs/>
                <w:color w:val="auto"/>
                <w:highlight w:val="none"/>
                <w:lang w:val="en-US" w:eastAsia="zh-CN"/>
              </w:rPr>
              <w:t>施工期工艺流程与产污环节</w:t>
            </w:r>
          </w:p>
          <w:p w14:paraId="3F9DBFFF">
            <w:pPr>
              <w:pStyle w:val="11"/>
              <w:bidi w:val="0"/>
              <w:rPr>
                <w:color w:val="auto"/>
                <w:highlight w:val="none"/>
              </w:rPr>
            </w:pPr>
            <w:r>
              <w:rPr>
                <w:rFonts w:hint="eastAsia"/>
                <w:color w:val="auto"/>
                <w:highlight w:val="none"/>
              </w:rPr>
              <w:t>项目</w:t>
            </w:r>
            <w:r>
              <w:rPr>
                <w:color w:val="auto"/>
                <w:highlight w:val="none"/>
              </w:rPr>
              <w:t>施工期主要涉及场地清理、土地平整、基础建设、主体施工、设备安装等环节。施工期主要污染源有：机械噪声、扬尘、废水及固体废物，项目施工期工艺流程及产污环节见图2-</w:t>
            </w:r>
            <w:r>
              <w:rPr>
                <w:rFonts w:hint="eastAsia"/>
                <w:color w:val="auto"/>
                <w:highlight w:val="none"/>
              </w:rPr>
              <w:t>2</w:t>
            </w:r>
            <w:r>
              <w:rPr>
                <w:color w:val="auto"/>
                <w:highlight w:val="none"/>
              </w:rPr>
              <w:t>。</w:t>
            </w:r>
          </w:p>
          <w:p w14:paraId="38950E3E">
            <w:pPr>
              <w:adjustRightInd w:val="0"/>
              <w:snapToGrid w:val="0"/>
              <w:spacing w:line="360" w:lineRule="auto"/>
              <w:jc w:val="center"/>
              <w:rPr>
                <w:color w:val="auto"/>
                <w:szCs w:val="21"/>
                <w:highlight w:val="none"/>
              </w:rPr>
            </w:pPr>
            <w:r>
              <w:rPr>
                <w:color w:val="auto"/>
                <w:szCs w:val="21"/>
                <w:highlight w:val="none"/>
              </w:rPr>
              <w:drawing>
                <wp:inline distT="0" distB="0" distL="114300" distR="114300">
                  <wp:extent cx="4191000" cy="2072640"/>
                  <wp:effectExtent l="0" t="0" r="0" b="3810"/>
                  <wp:docPr id="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7"/>
                          <pic:cNvPicPr>
                            <a:picLocks noChangeAspect="1"/>
                          </pic:cNvPicPr>
                        </pic:nvPicPr>
                        <pic:blipFill>
                          <a:blip r:embed="rId15"/>
                          <a:stretch>
                            <a:fillRect/>
                          </a:stretch>
                        </pic:blipFill>
                        <pic:spPr>
                          <a:xfrm>
                            <a:off x="0" y="0"/>
                            <a:ext cx="4191000" cy="2072640"/>
                          </a:xfrm>
                          <a:prstGeom prst="rect">
                            <a:avLst/>
                          </a:prstGeom>
                          <a:noFill/>
                          <a:ln>
                            <a:noFill/>
                          </a:ln>
                        </pic:spPr>
                      </pic:pic>
                    </a:graphicData>
                  </a:graphic>
                </wp:inline>
              </w:drawing>
            </w:r>
          </w:p>
          <w:p w14:paraId="098EA3E7">
            <w:pPr>
              <w:adjustRightInd w:val="0"/>
              <w:snapToGrid w:val="0"/>
              <w:spacing w:line="360" w:lineRule="auto"/>
              <w:jc w:val="center"/>
              <w:rPr>
                <w:rFonts w:hint="default"/>
                <w:color w:val="auto"/>
                <w:highlight w:val="none"/>
                <w:lang w:val="en-US" w:eastAsia="zh-CN"/>
              </w:rPr>
            </w:pPr>
            <w:r>
              <w:rPr>
                <w:b/>
                <w:color w:val="auto"/>
                <w:szCs w:val="21"/>
                <w:highlight w:val="none"/>
              </w:rPr>
              <w:t>图2-</w:t>
            </w:r>
            <w:r>
              <w:rPr>
                <w:rFonts w:hint="eastAsia"/>
                <w:b/>
                <w:color w:val="auto"/>
                <w:szCs w:val="21"/>
                <w:highlight w:val="none"/>
              </w:rPr>
              <w:t>2</w:t>
            </w:r>
            <w:r>
              <w:rPr>
                <w:rFonts w:hint="eastAsia"/>
                <w:color w:val="auto"/>
                <w:highlight w:val="none"/>
                <w:lang w:val="en-US" w:eastAsia="zh-CN"/>
              </w:rPr>
              <w:t xml:space="preserve">     </w:t>
            </w:r>
            <w:r>
              <w:rPr>
                <w:b/>
                <w:color w:val="auto"/>
                <w:szCs w:val="21"/>
                <w:highlight w:val="none"/>
              </w:rPr>
              <w:t>项目施工期工艺流程及产污环节图</w:t>
            </w:r>
          </w:p>
          <w:p w14:paraId="3DC74105">
            <w:pPr>
              <w:pStyle w:val="11"/>
              <w:numPr>
                <w:ilvl w:val="0"/>
                <w:numId w:val="6"/>
              </w:numPr>
              <w:bidi w:val="0"/>
              <w:rPr>
                <w:rFonts w:hint="default"/>
                <w:b/>
                <w:bCs/>
                <w:color w:val="auto"/>
                <w:highlight w:val="none"/>
                <w:lang w:val="en-US" w:eastAsia="zh-CN"/>
              </w:rPr>
            </w:pPr>
            <w:r>
              <w:rPr>
                <w:rFonts w:hint="eastAsia"/>
                <w:b/>
                <w:bCs/>
                <w:color w:val="auto"/>
                <w:highlight w:val="none"/>
                <w:lang w:val="en-US" w:eastAsia="zh-CN"/>
              </w:rPr>
              <w:t>运营期工艺流程与产污环节</w:t>
            </w:r>
          </w:p>
          <w:p w14:paraId="402EFC53">
            <w:pPr>
              <w:adjustRightInd w:val="0"/>
              <w:snapToGrid w:val="0"/>
              <w:spacing w:line="360" w:lineRule="auto"/>
              <w:ind w:firstLine="482" w:firstLineChars="200"/>
              <w:jc w:val="left"/>
              <w:rPr>
                <w:b/>
                <w:bCs/>
                <w:color w:val="auto"/>
                <w:sz w:val="24"/>
                <w:highlight w:val="none"/>
              </w:rPr>
            </w:pPr>
            <w:r>
              <w:rPr>
                <w:rFonts w:hint="eastAsia"/>
                <w:b/>
                <w:bCs/>
                <w:color w:val="auto"/>
                <w:sz w:val="24"/>
                <w:highlight w:val="none"/>
              </w:rPr>
              <w:t>本项目整体工艺流程简述：</w:t>
            </w:r>
          </w:p>
          <w:p w14:paraId="03310AA1">
            <w:pPr>
              <w:pStyle w:val="35"/>
              <w:snapToGrid w:val="0"/>
              <w:spacing w:line="360" w:lineRule="auto"/>
              <w:ind w:firstLine="480" w:firstLineChars="200"/>
              <w:jc w:val="both"/>
              <w:rPr>
                <w:rFonts w:ascii="Times New Roman" w:cs="Times New Roman"/>
                <w:b/>
                <w:bCs/>
                <w:color w:val="auto"/>
                <w:szCs w:val="32"/>
                <w:highlight w:val="none"/>
              </w:rPr>
            </w:pPr>
            <w:r>
              <w:rPr>
                <w:rFonts w:hint="eastAsia" w:ascii="Times New Roman" w:cs="Times New Roman"/>
                <w:color w:val="auto"/>
                <w:szCs w:val="32"/>
                <w:highlight w:val="none"/>
              </w:rPr>
              <w:t>本项目拟在炭化车间内布设年处理秸秆2万吨综合利用生产线1条，主要对外购</w:t>
            </w:r>
            <w:r>
              <w:rPr>
                <w:rFonts w:hint="eastAsia" w:ascii="Times New Roman" w:cs="Times New Roman"/>
                <w:color w:val="auto"/>
                <w:szCs w:val="32"/>
                <w:highlight w:val="none"/>
                <w:lang w:eastAsia="zh-CN"/>
              </w:rPr>
              <w:t>秸秆</w:t>
            </w:r>
            <w:r>
              <w:rPr>
                <w:rFonts w:hint="eastAsia" w:ascii="Times New Roman" w:cs="Times New Roman"/>
                <w:color w:val="auto"/>
                <w:szCs w:val="32"/>
                <w:highlight w:val="none"/>
              </w:rPr>
              <w:t>通过粉碎、烘干、炭化、冷却、混气及包装等生产工序进行加工。形成年产秸秆燃气392.6万m</w:t>
            </w:r>
            <w:r>
              <w:rPr>
                <w:rFonts w:hint="eastAsia" w:ascii="Times New Roman" w:cs="Times New Roman"/>
                <w:color w:val="auto"/>
                <w:szCs w:val="32"/>
                <w:highlight w:val="none"/>
                <w:vertAlign w:val="superscript"/>
              </w:rPr>
              <w:t>3</w:t>
            </w:r>
            <w:r>
              <w:rPr>
                <w:rFonts w:hint="eastAsia" w:ascii="Times New Roman" w:cs="Times New Roman"/>
                <w:color w:val="auto"/>
                <w:szCs w:val="32"/>
                <w:highlight w:val="none"/>
              </w:rPr>
              <w:t>、秸秆炭4941.6t的生产能力</w:t>
            </w:r>
            <w:r>
              <w:rPr>
                <w:rFonts w:hint="eastAsia" w:ascii="Times New Roman" w:cs="Times New Roman"/>
                <w:color w:val="auto"/>
                <w:szCs w:val="32"/>
                <w:highlight w:val="none"/>
                <w:lang w:val="en-US" w:eastAsia="zh-CN"/>
              </w:rPr>
              <w:t>以及有机肥5000t</w:t>
            </w:r>
            <w:r>
              <w:rPr>
                <w:rFonts w:hint="eastAsia" w:ascii="Times New Roman" w:cs="Times New Roman"/>
                <w:color w:val="auto"/>
                <w:szCs w:val="32"/>
                <w:highlight w:val="none"/>
              </w:rPr>
              <w:t>。具体工艺流程及产污节点见图2</w:t>
            </w:r>
            <w:r>
              <w:rPr>
                <w:rFonts w:hint="eastAsia" w:ascii="Times New Roman" w:cs="Times New Roman"/>
                <w:color w:val="auto"/>
                <w:szCs w:val="32"/>
                <w:highlight w:val="none"/>
                <w:lang w:val="en-US" w:eastAsia="zh-CN"/>
              </w:rPr>
              <w:t>-3</w:t>
            </w:r>
            <w:r>
              <w:rPr>
                <w:rFonts w:hint="eastAsia" w:ascii="Times New Roman" w:cs="Times New Roman"/>
                <w:color w:val="auto"/>
                <w:szCs w:val="32"/>
                <w:highlight w:val="none"/>
              </w:rPr>
              <w:t>。本次将单个产品工艺流程分开表述。</w:t>
            </w:r>
          </w:p>
          <w:p w14:paraId="0EFA0064">
            <w:pPr>
              <w:numPr>
                <w:ilvl w:val="0"/>
                <w:numId w:val="7"/>
              </w:numPr>
              <w:adjustRightInd w:val="0"/>
              <w:snapToGrid w:val="0"/>
              <w:spacing w:line="360" w:lineRule="auto"/>
              <w:ind w:firstLine="482" w:firstLineChars="200"/>
              <w:jc w:val="left"/>
              <w:rPr>
                <w:b/>
                <w:bCs/>
                <w:color w:val="auto"/>
                <w:sz w:val="24"/>
                <w:szCs w:val="32"/>
                <w:highlight w:val="none"/>
              </w:rPr>
            </w:pPr>
            <w:r>
              <w:rPr>
                <w:b/>
                <w:bCs/>
                <w:color w:val="auto"/>
                <w:sz w:val="24"/>
                <w:szCs w:val="32"/>
                <w:highlight w:val="none"/>
              </w:rPr>
              <w:t>秸秆炭化工艺</w:t>
            </w:r>
          </w:p>
          <w:p w14:paraId="4BDEC942">
            <w:pPr>
              <w:adjustRightInd w:val="0"/>
              <w:snapToGrid w:val="0"/>
              <w:spacing w:line="360" w:lineRule="auto"/>
              <w:jc w:val="center"/>
              <w:rPr>
                <w:rFonts w:hint="eastAsia" w:eastAsia="宋体"/>
                <w:b/>
                <w:bCs/>
                <w:color w:val="auto"/>
                <w:highlight w:val="none"/>
                <w:lang w:eastAsia="zh-CN"/>
              </w:rPr>
            </w:pPr>
            <w:r>
              <w:rPr>
                <w:rFonts w:hint="eastAsia" w:eastAsia="宋体"/>
                <w:b/>
                <w:bCs/>
                <w:color w:val="auto"/>
                <w:highlight w:val="none"/>
                <w:lang w:eastAsia="zh-CN"/>
              </w:rPr>
              <w:object>
                <v:shape id="_x0000_i1026" o:spt="75" alt="" type="#_x0000_t75" style="height:297.9pt;width:372.9pt;" o:ole="t" filled="f" o:preferrelative="t" stroked="f" coordsize="21600,21600">
                  <v:path/>
                  <v:fill on="f" focussize="0,0"/>
                  <v:stroke on="f"/>
                  <v:imagedata r:id="rId17" o:title=""/>
                  <o:lock v:ext="edit" aspectratio="t"/>
                  <w10:wrap type="none"/>
                  <w10:anchorlock/>
                </v:shape>
                <o:OLEObject Type="Embed" ProgID="Visio.Drawing.15" ShapeID="_x0000_i1026" DrawAspect="Content" ObjectID="_1468075726" r:id="rId16">
                  <o:LockedField>false</o:LockedField>
                </o:OLEObject>
              </w:object>
            </w:r>
          </w:p>
          <w:p w14:paraId="028ED4A7">
            <w:pPr>
              <w:adjustRightInd w:val="0"/>
              <w:snapToGrid w:val="0"/>
              <w:spacing w:line="360" w:lineRule="auto"/>
              <w:jc w:val="center"/>
              <w:rPr>
                <w:color w:val="auto"/>
                <w:sz w:val="24"/>
                <w:highlight w:val="none"/>
              </w:rPr>
            </w:pPr>
            <w:r>
              <w:rPr>
                <w:b/>
                <w:bCs/>
                <w:color w:val="auto"/>
                <w:highlight w:val="none"/>
              </w:rPr>
              <w:t>图</w:t>
            </w:r>
            <w:r>
              <w:rPr>
                <w:rFonts w:hint="eastAsia"/>
                <w:b/>
                <w:bCs/>
                <w:color w:val="auto"/>
                <w:highlight w:val="none"/>
              </w:rPr>
              <w:t>2-3</w:t>
            </w:r>
            <w:r>
              <w:rPr>
                <w:rFonts w:hint="eastAsia"/>
                <w:color w:val="auto"/>
                <w:highlight w:val="none"/>
                <w:lang w:val="en-US" w:eastAsia="zh-CN"/>
              </w:rPr>
              <w:t xml:space="preserve">     </w:t>
            </w:r>
            <w:r>
              <w:rPr>
                <w:b/>
                <w:bCs/>
                <w:color w:val="auto"/>
                <w:highlight w:val="none"/>
              </w:rPr>
              <w:t>秸秆炭化工艺流程及产污环节图</w:t>
            </w:r>
          </w:p>
          <w:p w14:paraId="1CBF1D59">
            <w:pPr>
              <w:pStyle w:val="35"/>
              <w:snapToGrid w:val="0"/>
              <w:spacing w:line="360" w:lineRule="auto"/>
              <w:ind w:firstLine="482" w:firstLineChars="200"/>
              <w:jc w:val="both"/>
              <w:rPr>
                <w:rFonts w:ascii="Times New Roman" w:cs="Times New Roman"/>
                <w:b/>
                <w:bCs/>
                <w:color w:val="auto"/>
                <w:szCs w:val="32"/>
                <w:highlight w:val="none"/>
              </w:rPr>
            </w:pPr>
            <w:r>
              <w:rPr>
                <w:rFonts w:ascii="Times New Roman" w:cs="Times New Roman"/>
                <w:b/>
                <w:bCs/>
                <w:color w:val="auto"/>
                <w:szCs w:val="32"/>
                <w:highlight w:val="none"/>
              </w:rPr>
              <w:t>工艺流程说明</w:t>
            </w:r>
          </w:p>
          <w:p w14:paraId="65ECB4F8">
            <w:pPr>
              <w:pStyle w:val="35"/>
              <w:snapToGrid w:val="0"/>
              <w:spacing w:line="360" w:lineRule="auto"/>
              <w:ind w:firstLine="480" w:firstLineChars="200"/>
              <w:jc w:val="both"/>
              <w:rPr>
                <w:rFonts w:ascii="Times New Roman" w:cs="Times New Roman"/>
                <w:color w:val="auto"/>
                <w:szCs w:val="32"/>
                <w:highlight w:val="none"/>
              </w:rPr>
            </w:pPr>
            <w:r>
              <w:rPr>
                <w:rFonts w:ascii="Times New Roman" w:cs="Times New Roman"/>
                <w:color w:val="auto"/>
                <w:szCs w:val="32"/>
                <w:highlight w:val="none"/>
              </w:rPr>
              <w:t>①粉碎</w:t>
            </w:r>
          </w:p>
          <w:p w14:paraId="453CB0DF">
            <w:pPr>
              <w:pStyle w:val="35"/>
              <w:snapToGrid w:val="0"/>
              <w:spacing w:line="360" w:lineRule="auto"/>
              <w:ind w:firstLine="480" w:firstLineChars="200"/>
              <w:jc w:val="both"/>
              <w:rPr>
                <w:rFonts w:ascii="Times New Roman" w:cs="Times New Roman"/>
                <w:color w:val="auto"/>
                <w:szCs w:val="32"/>
                <w:highlight w:val="none"/>
              </w:rPr>
            </w:pPr>
            <w:r>
              <w:rPr>
                <w:rFonts w:ascii="Times New Roman" w:cs="Times New Roman"/>
                <w:color w:val="auto"/>
                <w:szCs w:val="32"/>
                <w:highlight w:val="none"/>
              </w:rPr>
              <w:t>秸秆经抓料机将打捆的秸秆送至秸秆粉碎机，粉碎至0.5</w:t>
            </w:r>
            <w:r>
              <w:rPr>
                <w:rFonts w:hint="eastAsia" w:ascii="Times New Roman" w:cs="Times New Roman"/>
                <w:color w:val="auto"/>
                <w:szCs w:val="32"/>
                <w:highlight w:val="none"/>
                <w:lang w:eastAsia="zh-CN"/>
              </w:rPr>
              <w:t>～</w:t>
            </w:r>
            <w:r>
              <w:rPr>
                <w:rFonts w:ascii="Times New Roman" w:cs="Times New Roman"/>
                <w:color w:val="auto"/>
                <w:szCs w:val="32"/>
                <w:highlight w:val="none"/>
              </w:rPr>
              <w:t>1厘米长</w:t>
            </w:r>
            <w:r>
              <w:rPr>
                <w:rFonts w:hint="eastAsia" w:ascii="Times New Roman" w:cs="Times New Roman"/>
                <w:color w:val="auto"/>
                <w:szCs w:val="32"/>
                <w:highlight w:val="none"/>
              </w:rPr>
              <w:t>，</w:t>
            </w:r>
            <w:r>
              <w:rPr>
                <w:rFonts w:ascii="Times New Roman" w:cs="Times New Roman"/>
                <w:color w:val="auto"/>
                <w:szCs w:val="32"/>
                <w:highlight w:val="none"/>
              </w:rPr>
              <w:t>此生产过程中会产生</w:t>
            </w:r>
            <w:r>
              <w:rPr>
                <w:rFonts w:hint="eastAsia" w:ascii="Times New Roman" w:cs="Times New Roman"/>
                <w:color w:val="auto"/>
                <w:szCs w:val="32"/>
                <w:highlight w:val="none"/>
              </w:rPr>
              <w:t>噪声和</w:t>
            </w:r>
            <w:r>
              <w:rPr>
                <w:rFonts w:ascii="Times New Roman" w:cs="Times New Roman"/>
                <w:color w:val="auto"/>
                <w:szCs w:val="32"/>
                <w:highlight w:val="none"/>
              </w:rPr>
              <w:t>粉尘</w:t>
            </w:r>
            <w:r>
              <w:rPr>
                <w:rFonts w:hint="eastAsia" w:ascii="Times New Roman" w:cs="Times New Roman"/>
                <w:color w:val="auto"/>
                <w:szCs w:val="32"/>
                <w:highlight w:val="none"/>
              </w:rPr>
              <w:t>；</w:t>
            </w:r>
          </w:p>
          <w:p w14:paraId="6157F812">
            <w:pPr>
              <w:pStyle w:val="35"/>
              <w:snapToGrid w:val="0"/>
              <w:spacing w:line="360" w:lineRule="auto"/>
              <w:ind w:firstLine="480" w:firstLineChars="200"/>
              <w:jc w:val="both"/>
              <w:rPr>
                <w:rFonts w:ascii="Times New Roman" w:cs="Times New Roman"/>
                <w:color w:val="auto"/>
                <w:szCs w:val="32"/>
                <w:highlight w:val="none"/>
              </w:rPr>
            </w:pPr>
            <w:r>
              <w:rPr>
                <w:rFonts w:ascii="Times New Roman" w:cs="Times New Roman"/>
                <w:color w:val="auto"/>
                <w:szCs w:val="32"/>
                <w:highlight w:val="none"/>
              </w:rPr>
              <w:t>②</w:t>
            </w:r>
            <w:r>
              <w:rPr>
                <w:rFonts w:hint="eastAsia" w:ascii="Times New Roman" w:cs="Times New Roman"/>
                <w:color w:val="auto"/>
                <w:szCs w:val="32"/>
                <w:highlight w:val="none"/>
                <w:lang w:val="en-US" w:eastAsia="zh-CN"/>
              </w:rPr>
              <w:t>两级烘干</w:t>
            </w:r>
          </w:p>
          <w:p w14:paraId="11096056">
            <w:pPr>
              <w:pStyle w:val="35"/>
              <w:snapToGrid w:val="0"/>
              <w:spacing w:line="360" w:lineRule="auto"/>
              <w:ind w:firstLine="48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秸秆碎料经粉碎、皮带输送后，由密闭负压系统送入一级HG-1.3滚筒烘干机。进料闭风器采用双层翻板密封，阻断热风与水汽外溢。筒内高速打散扬雾装置将物料</w:t>
            </w:r>
            <w:r>
              <w:rPr>
                <w:rFonts w:hint="eastAsia" w:ascii="Times New Roman" w:hAnsi="Times New Roman" w:cs="Times New Roman"/>
                <w:color w:val="auto"/>
                <w:highlight w:val="none"/>
                <w:lang w:eastAsia="zh-CN"/>
              </w:rPr>
              <w:t>抛撒</w:t>
            </w:r>
            <w:r>
              <w:rPr>
                <w:rFonts w:hint="default" w:ascii="Times New Roman" w:hAnsi="Times New Roman" w:cs="Times New Roman"/>
                <w:color w:val="auto"/>
                <w:highlight w:val="none"/>
              </w:rPr>
              <w:t>为均匀悬浮料幕，与高温热风逆向换热，游离水快速汽化，水汽由引风机负压抽至尾气处理单元。一级烘干后物料含水率降低15%～20%，经密闭螺旋输送至二级烘干机。</w:t>
            </w:r>
          </w:p>
          <w:p w14:paraId="111F7B1F">
            <w:pPr>
              <w:pStyle w:val="11"/>
              <w:bidi w:val="0"/>
              <w:rPr>
                <w:rFonts w:hint="eastAsia"/>
                <w:color w:val="auto"/>
                <w:highlight w:val="none"/>
              </w:rPr>
            </w:pPr>
            <w:r>
              <w:rPr>
                <w:rFonts w:hint="eastAsia"/>
                <w:color w:val="auto"/>
                <w:highlight w:val="none"/>
              </w:rPr>
              <w:t>二级烘干机重复打散、悬浮料幕、逆向换热工艺，进一步脱除结合水，含水率再降8%～15%，满足后续干馏炭化对原料低含水率的要求。二级烘干水汽同样由共用引风机统一收集处置，烘干后干秸秆密闭输送至炭化工序缓冲仓。</w:t>
            </w:r>
          </w:p>
          <w:p w14:paraId="2E929F72">
            <w:pPr>
              <w:pStyle w:val="11"/>
              <w:bidi w:val="0"/>
              <w:rPr>
                <w:rFonts w:hint="eastAsia"/>
                <w:color w:val="auto"/>
                <w:highlight w:val="none"/>
              </w:rPr>
            </w:pPr>
            <w:r>
              <w:rPr>
                <w:rFonts w:hint="eastAsia"/>
                <w:color w:val="auto"/>
                <w:highlight w:val="none"/>
              </w:rPr>
              <w:t>热源方面，利用TH-1000连续滚筒炭化机炉膛高温余热烟气，经专用管道分流引入两台烘干机夹套换热层间接供热。正常连续生产时，炭化余热即可满足烘干负荷，无需补充外来燃料。当秸秆气外销产线临时停产时，炭化产生的富余秸秆气经回流管道引至烘干机配套燃烧器辅助补热，保障烘干工段连续稳定运行。整套烘干工序依托项目自产余热与自产燃气，不消耗外购燃料。</w:t>
            </w:r>
          </w:p>
          <w:p w14:paraId="4BB0F37D">
            <w:pPr>
              <w:pStyle w:val="35"/>
              <w:snapToGrid w:val="0"/>
              <w:spacing w:line="360" w:lineRule="auto"/>
              <w:ind w:firstLine="480" w:firstLineChars="200"/>
              <w:jc w:val="both"/>
              <w:rPr>
                <w:rFonts w:hint="eastAsia" w:ascii="Times New Roman" w:cs="Times New Roman"/>
                <w:color w:val="auto"/>
                <w:szCs w:val="32"/>
                <w:highlight w:val="none"/>
              </w:rPr>
            </w:pPr>
            <w:r>
              <w:rPr>
                <w:rFonts w:ascii="Times New Roman" w:cs="Times New Roman"/>
                <w:color w:val="auto"/>
                <w:szCs w:val="32"/>
                <w:highlight w:val="none"/>
              </w:rPr>
              <w:t>③炭化</w:t>
            </w:r>
            <w:r>
              <w:rPr>
                <w:rFonts w:hint="eastAsia" w:ascii="Times New Roman" w:cs="Times New Roman"/>
                <w:color w:val="auto"/>
                <w:szCs w:val="32"/>
                <w:highlight w:val="none"/>
              </w:rPr>
              <w:t>：</w:t>
            </w:r>
          </w:p>
          <w:p w14:paraId="7FFC3F02">
            <w:pPr>
              <w:pStyle w:val="11"/>
              <w:bidi w:val="0"/>
              <w:rPr>
                <w:rFonts w:hint="eastAsia"/>
                <w:color w:val="auto"/>
                <w:highlight w:val="none"/>
              </w:rPr>
            </w:pPr>
            <w:r>
              <w:rPr>
                <w:rFonts w:hint="eastAsia"/>
                <w:color w:val="auto"/>
                <w:highlight w:val="none"/>
              </w:rPr>
              <w:t>馏炭化工段配套TH-1000连续滚筒炭化机，烘干后的干秸秆密闭送入，物料连续滚动干馏，停留时间约2h。</w:t>
            </w:r>
          </w:p>
          <w:p w14:paraId="6E54A236">
            <w:pPr>
              <w:pStyle w:val="11"/>
              <w:bidi w:val="0"/>
              <w:rPr>
                <w:rFonts w:hint="eastAsia"/>
                <w:color w:val="auto"/>
                <w:highlight w:val="none"/>
              </w:rPr>
            </w:pPr>
            <w:r>
              <w:rPr>
                <w:rFonts w:hint="eastAsia"/>
                <w:b/>
                <w:bCs/>
                <w:color w:val="auto"/>
                <w:highlight w:val="none"/>
              </w:rPr>
              <w:t>温度分区：</w:t>
            </w:r>
            <w:r>
              <w:rPr>
                <w:rFonts w:hint="eastAsia"/>
                <w:color w:val="auto"/>
                <w:highlight w:val="none"/>
              </w:rPr>
              <w:t>内层预热筒250～400℃，脱除残余挥发分；外层高温炭化筒750～800℃，有机质热解产气；热解气出口温度220～280℃；配套烘干机筒体稳定控制在140～160℃。</w:t>
            </w:r>
          </w:p>
          <w:p w14:paraId="76C25528">
            <w:pPr>
              <w:pStyle w:val="11"/>
              <w:bidi w:val="0"/>
              <w:rPr>
                <w:rFonts w:hint="eastAsia"/>
                <w:color w:val="auto"/>
                <w:highlight w:val="none"/>
              </w:rPr>
            </w:pPr>
            <w:r>
              <w:rPr>
                <w:rFonts w:hint="default" w:ascii="Times New Roman" w:hAnsi="Times New Roman" w:cs="Times New Roman"/>
                <w:color w:val="auto"/>
                <w:highlight w:val="none"/>
              </w:rPr>
              <w:t>秸秆高温热解生成含CO、CH₄、H₂的可燃混合气，经冷凝器组净化并分离焦油、木醋液后分为两路：洁净燃气循环回燃烧器，加热炭化筒体与烘干筒体，实现热量自给；富余秸秆气输送至低压储气设备储存，待混配后外供。</w:t>
            </w:r>
          </w:p>
          <w:p w14:paraId="35ED39C5">
            <w:pPr>
              <w:pStyle w:val="11"/>
              <w:bidi w:val="0"/>
              <w:rPr>
                <w:rFonts w:hint="eastAsia"/>
                <w:color w:val="auto"/>
                <w:highlight w:val="none"/>
              </w:rPr>
            </w:pPr>
            <w:r>
              <w:rPr>
                <w:rFonts w:hint="eastAsia"/>
                <w:b/>
                <w:bCs/>
                <w:color w:val="auto"/>
                <w:highlight w:val="none"/>
              </w:rPr>
              <w:t>开车预热：</w:t>
            </w:r>
            <w:r>
              <w:rPr>
                <w:rFonts w:hint="eastAsia"/>
                <w:color w:val="auto"/>
                <w:highlight w:val="none"/>
              </w:rPr>
              <w:t>首次启动时以外购天然气点火预热，筒体升温至700℃后进料；秸秆稳定产气后切断天然气，设备转为自持循环供热，正常工况下无工艺烟气外排。设备循环干馏加热结构涉及专利：ZL201520604382.9、ZL201520604459.2、ZL201520604361.7。</w:t>
            </w:r>
          </w:p>
          <w:p w14:paraId="578D5DF8">
            <w:pPr>
              <w:pStyle w:val="35"/>
              <w:snapToGrid w:val="0"/>
              <w:spacing w:line="360" w:lineRule="auto"/>
              <w:ind w:firstLine="480" w:firstLineChars="200"/>
              <w:jc w:val="both"/>
              <w:rPr>
                <w:rFonts w:hint="eastAsia" w:ascii="Times New Roman" w:cs="Times New Roman"/>
                <w:color w:val="auto"/>
                <w:szCs w:val="32"/>
                <w:highlight w:val="none"/>
              </w:rPr>
            </w:pPr>
            <w:r>
              <w:rPr>
                <w:rFonts w:hint="eastAsia" w:ascii="Times New Roman" w:cs="Times New Roman"/>
                <w:color w:val="auto"/>
                <w:szCs w:val="32"/>
                <w:highlight w:val="none"/>
              </w:rPr>
              <w:t>炭化完成后，高温炭粉经螺旋出料机连续排出，由水冷螺旋</w:t>
            </w:r>
            <w:r>
              <w:rPr>
                <w:rFonts w:hint="eastAsia" w:ascii="Times New Roman" w:cs="Times New Roman"/>
                <w:color w:val="auto"/>
                <w:szCs w:val="32"/>
                <w:highlight w:val="none"/>
                <w:lang w:val="en-US" w:eastAsia="zh-CN"/>
              </w:rPr>
              <w:t>管</w:t>
            </w:r>
            <w:r>
              <w:rPr>
                <w:rFonts w:hint="eastAsia" w:ascii="Times New Roman" w:cs="Times New Roman"/>
                <w:color w:val="auto"/>
                <w:szCs w:val="32"/>
                <w:highlight w:val="none"/>
              </w:rPr>
              <w:t>间接冷却。</w:t>
            </w:r>
          </w:p>
          <w:p w14:paraId="0823C557">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④冷却</w:t>
            </w:r>
          </w:p>
          <w:p w14:paraId="6C8D0E5D">
            <w:pPr>
              <w:pStyle w:val="11"/>
              <w:bidi w:val="0"/>
              <w:rPr>
                <w:rFonts w:hint="eastAsia"/>
                <w:color w:val="auto"/>
                <w:highlight w:val="none"/>
              </w:rPr>
            </w:pPr>
            <w:r>
              <w:rPr>
                <w:color w:val="auto"/>
                <w:highlight w:val="none"/>
              </w:rPr>
              <w:t>高温秸秆炭粉在水冷螺旋设备中间接密闭冷却，冷却时长4～6h，冷却后分为</w:t>
            </w:r>
            <w:r>
              <w:rPr>
                <w:rFonts w:hint="eastAsia"/>
                <w:color w:val="auto"/>
                <w:highlight w:val="none"/>
                <w:lang w:val="en-US" w:eastAsia="zh-CN"/>
              </w:rPr>
              <w:t>部分</w:t>
            </w:r>
            <w:r>
              <w:rPr>
                <w:color w:val="auto"/>
                <w:highlight w:val="none"/>
              </w:rPr>
              <w:t>送至有机肥产线作为原料，剩余炭粉进入包装工段外售；工段产污仅设备噪声。</w:t>
            </w:r>
          </w:p>
          <w:p w14:paraId="2EBCA894">
            <w:pPr>
              <w:adjustRightInd w:val="0"/>
              <w:snapToGrid w:val="0"/>
              <w:spacing w:line="360" w:lineRule="auto"/>
              <w:ind w:firstLine="480" w:firstLineChars="200"/>
              <w:rPr>
                <w:rFonts w:hint="default" w:eastAsia="宋体"/>
                <w:color w:val="auto"/>
                <w:sz w:val="24"/>
                <w:highlight w:val="none"/>
                <w:lang w:val="en-US" w:eastAsia="zh-CN"/>
              </w:rPr>
            </w:pPr>
            <w:r>
              <w:rPr>
                <w:rFonts w:hint="eastAsia"/>
                <w:color w:val="auto"/>
                <w:sz w:val="24"/>
                <w:highlight w:val="none"/>
                <w:lang w:val="en-US" w:eastAsia="zh-CN"/>
              </w:rPr>
              <w:t>⑤秸秆</w:t>
            </w:r>
            <w:r>
              <w:rPr>
                <w:color w:val="auto"/>
                <w:sz w:val="24"/>
                <w:highlight w:val="none"/>
              </w:rPr>
              <w:t>气冷</w:t>
            </w:r>
            <w:r>
              <w:rPr>
                <w:rFonts w:hint="eastAsia"/>
                <w:color w:val="auto"/>
                <w:sz w:val="24"/>
                <w:highlight w:val="none"/>
                <w:lang w:val="en-US" w:eastAsia="zh-CN"/>
              </w:rPr>
              <w:t>凝工段</w:t>
            </w:r>
          </w:p>
          <w:p w14:paraId="259586F8">
            <w:pPr>
              <w:adjustRightInd w:val="0"/>
              <w:snapToGrid w:val="0"/>
              <w:spacing w:line="360" w:lineRule="auto"/>
              <w:ind w:firstLine="480" w:firstLineChars="200"/>
              <w:rPr>
                <w:rFonts w:hint="eastAsia" w:eastAsia="宋体"/>
                <w:color w:val="auto"/>
                <w:sz w:val="24"/>
                <w:highlight w:val="none"/>
                <w:lang w:eastAsia="zh-CN"/>
              </w:rPr>
            </w:pPr>
            <w:r>
              <w:rPr>
                <w:color w:val="auto"/>
                <w:sz w:val="24"/>
                <w:highlight w:val="none"/>
              </w:rPr>
              <w:t>从炭化炉顶端引出的热解气体（含部分可燃性气体），进入冷凝器，冷凝器采用循环水</w:t>
            </w:r>
            <w:r>
              <w:rPr>
                <w:rFonts w:ascii="宋体" w:hAnsi="宋体" w:eastAsia="宋体" w:cs="宋体"/>
                <w:color w:val="auto"/>
                <w:sz w:val="24"/>
                <w:szCs w:val="24"/>
                <w:highlight w:val="none"/>
              </w:rPr>
              <w:t>间接冷却，实现气液两相分离</w:t>
            </w:r>
            <w:r>
              <w:rPr>
                <w:rFonts w:hint="eastAsia" w:ascii="宋体" w:hAnsi="宋体" w:eastAsia="宋体" w:cs="宋体"/>
                <w:color w:val="auto"/>
                <w:sz w:val="24"/>
                <w:szCs w:val="24"/>
                <w:highlight w:val="none"/>
                <w:lang w:eastAsia="zh-CN"/>
              </w:rPr>
              <w:t>。</w:t>
            </w:r>
          </w:p>
          <w:p w14:paraId="5AFFEEB3">
            <w:pPr>
              <w:pStyle w:val="11"/>
              <w:bidi w:val="0"/>
              <w:rPr>
                <w:color w:val="auto"/>
                <w:highlight w:val="none"/>
              </w:rPr>
            </w:pPr>
            <w:r>
              <w:rPr>
                <w:color w:val="auto"/>
                <w:highlight w:val="none"/>
              </w:rPr>
              <w:t>液相：冷凝器底部产出粗木焦油、粗木醋液混合液；</w:t>
            </w:r>
          </w:p>
          <w:p w14:paraId="4C6EF3CC">
            <w:pPr>
              <w:pStyle w:val="11"/>
              <w:bidi w:val="0"/>
              <w:rPr>
                <w:color w:val="auto"/>
                <w:highlight w:val="none"/>
              </w:rPr>
            </w:pPr>
            <w:r>
              <w:rPr>
                <w:color w:val="auto"/>
                <w:highlight w:val="none"/>
              </w:rPr>
              <w:t>气相：净</w:t>
            </w:r>
            <w:r>
              <w:rPr>
                <w:rFonts w:hint="eastAsia"/>
                <w:color w:val="auto"/>
                <w:highlight w:val="none"/>
                <w:lang w:val="en-US" w:eastAsia="zh-CN"/>
              </w:rPr>
              <w:t>化</w:t>
            </w:r>
            <w:r>
              <w:rPr>
                <w:color w:val="auto"/>
                <w:highlight w:val="none"/>
              </w:rPr>
              <w:t>秸秆气</w:t>
            </w:r>
            <w:r>
              <w:rPr>
                <w:rFonts w:hint="eastAsia"/>
                <w:color w:val="auto"/>
                <w:highlight w:val="none"/>
                <w:lang w:eastAsia="zh-CN"/>
              </w:rPr>
              <w:t>，</w:t>
            </w:r>
            <w:r>
              <w:rPr>
                <w:rFonts w:hint="eastAsia"/>
                <w:color w:val="auto"/>
                <w:highlight w:val="none"/>
                <w:lang w:val="en-US" w:eastAsia="zh-CN"/>
              </w:rPr>
              <w:t>部分</w:t>
            </w:r>
            <w:r>
              <w:rPr>
                <w:color w:val="auto"/>
                <w:highlight w:val="none"/>
              </w:rPr>
              <w:t>引回炭化机夹套循环供热</w:t>
            </w:r>
            <w:r>
              <w:rPr>
                <w:rFonts w:hint="eastAsia"/>
                <w:color w:val="auto"/>
                <w:highlight w:val="none"/>
                <w:lang w:eastAsia="zh-CN"/>
              </w:rPr>
              <w:t>，</w:t>
            </w:r>
            <w:r>
              <w:rPr>
                <w:rFonts w:hint="eastAsia"/>
                <w:color w:val="auto"/>
                <w:highlight w:val="none"/>
                <w:lang w:val="en-US" w:eastAsia="zh-CN"/>
              </w:rPr>
              <w:t>其余输送至配气工段</w:t>
            </w:r>
            <w:r>
              <w:rPr>
                <w:color w:val="auto"/>
                <w:highlight w:val="none"/>
              </w:rPr>
              <w:t>。</w:t>
            </w:r>
          </w:p>
          <w:p w14:paraId="1D7752CF">
            <w:pPr>
              <w:pStyle w:val="11"/>
              <w:bidi w:val="0"/>
              <w:rPr>
                <w:rFonts w:hint="default"/>
                <w:color w:val="auto"/>
                <w:highlight w:val="none"/>
                <w:lang w:val="en-US" w:eastAsia="zh-CN"/>
              </w:rPr>
            </w:pPr>
            <w:r>
              <w:rPr>
                <w:rFonts w:hint="eastAsia"/>
                <w:color w:val="auto"/>
                <w:highlight w:val="none"/>
                <w:lang w:val="en-US" w:eastAsia="zh-CN"/>
              </w:rPr>
              <w:t>根据企业提供资料，净化秸秆其中主要成分有：甲烷34.5%，一氧化碳12.5%，氮气48%，焦油1.5%，水分3.5%，二氧化碳4.5%等，具有较高的热值。</w:t>
            </w:r>
          </w:p>
          <w:p w14:paraId="6CFCC8CD">
            <w:pPr>
              <w:adjustRightInd w:val="0"/>
              <w:snapToGrid w:val="0"/>
              <w:spacing w:line="360" w:lineRule="auto"/>
              <w:ind w:firstLine="480" w:firstLineChars="200"/>
              <w:rPr>
                <w:color w:val="auto"/>
                <w:sz w:val="24"/>
                <w:highlight w:val="none"/>
              </w:rPr>
            </w:pPr>
            <w:r>
              <w:rPr>
                <w:rFonts w:hint="eastAsia"/>
                <w:color w:val="auto"/>
                <w:sz w:val="24"/>
                <w:highlight w:val="none"/>
                <w:lang w:val="en-US" w:eastAsia="zh-CN"/>
              </w:rPr>
              <w:t>⑥</w:t>
            </w:r>
            <w:r>
              <w:rPr>
                <w:color w:val="auto"/>
                <w:sz w:val="24"/>
                <w:highlight w:val="none"/>
              </w:rPr>
              <w:t>静置分离</w:t>
            </w:r>
          </w:p>
          <w:p w14:paraId="00A025C6">
            <w:pPr>
              <w:pStyle w:val="11"/>
              <w:bidi w:val="0"/>
              <w:rPr>
                <w:color w:val="auto"/>
                <w:highlight w:val="none"/>
              </w:rPr>
            </w:pPr>
            <w:r>
              <w:rPr>
                <w:color w:val="auto"/>
                <w:highlight w:val="none"/>
              </w:rPr>
              <w:t>冷凝回收器下端得到的粗木焦油和粗木醋液混合液（液相）</w:t>
            </w:r>
            <w:r>
              <w:rPr>
                <w:rFonts w:hint="eastAsia"/>
                <w:color w:val="auto"/>
                <w:highlight w:val="none"/>
                <w:lang w:eastAsia="zh-CN"/>
              </w:rPr>
              <w:t>，</w:t>
            </w:r>
            <w:r>
              <w:rPr>
                <w:color w:val="auto"/>
                <w:highlight w:val="none"/>
              </w:rPr>
              <w:t>进入</w:t>
            </w:r>
            <w:r>
              <w:rPr>
                <w:rFonts w:hint="eastAsia"/>
                <w:color w:val="auto"/>
                <w:highlight w:val="none"/>
              </w:rPr>
              <w:t>静置分离罐，依靠密度差自然分层：上层为粗木醋液，下层为粗木焦油。分层后通过溢流与泵吸分别输送至木醋液储罐和木焦油储罐密闭储存。产品不在厂内分装，直接由罐车外运销售，全程密闭，抑制恶臭挥发。</w:t>
            </w:r>
          </w:p>
          <w:p w14:paraId="4B432D70">
            <w:pPr>
              <w:pStyle w:val="11"/>
              <w:bidi w:val="0"/>
              <w:rPr>
                <w:rFonts w:hint="eastAsia"/>
                <w:color w:val="auto"/>
                <w:highlight w:val="none"/>
                <w:lang w:val="en-US" w:eastAsia="zh-CN"/>
              </w:rPr>
            </w:pPr>
            <w:r>
              <w:rPr>
                <w:rFonts w:hint="eastAsia"/>
                <w:color w:val="auto"/>
                <w:highlight w:val="none"/>
                <w:lang w:val="en-US" w:eastAsia="zh-CN"/>
              </w:rPr>
              <w:t>⑦将炭化好的秸秆炭在厂区内通过计量包装机打包后，作为产品入库待售。</w:t>
            </w:r>
          </w:p>
          <w:p w14:paraId="735BCDF3">
            <w:pPr>
              <w:pStyle w:val="11"/>
              <w:bidi w:val="0"/>
              <w:rPr>
                <w:rFonts w:hint="eastAsia"/>
                <w:b/>
                <w:bCs/>
                <w:color w:val="auto"/>
                <w:highlight w:val="none"/>
              </w:rPr>
            </w:pPr>
            <w:r>
              <w:rPr>
                <w:rFonts w:hint="eastAsia"/>
                <w:b/>
                <w:bCs/>
                <w:color w:val="auto"/>
                <w:highlight w:val="none"/>
                <w:lang w:eastAsia="zh-CN"/>
              </w:rPr>
              <w:t>（</w:t>
            </w:r>
            <w:r>
              <w:rPr>
                <w:rFonts w:hint="eastAsia"/>
                <w:b/>
                <w:bCs/>
                <w:color w:val="auto"/>
                <w:highlight w:val="none"/>
                <w:lang w:val="en-US" w:eastAsia="zh-CN"/>
              </w:rPr>
              <w:t>2</w:t>
            </w:r>
            <w:r>
              <w:rPr>
                <w:rFonts w:hint="eastAsia"/>
                <w:b/>
                <w:bCs/>
                <w:color w:val="auto"/>
                <w:highlight w:val="none"/>
                <w:lang w:eastAsia="zh-CN"/>
              </w:rPr>
              <w:t>）</w:t>
            </w:r>
            <w:r>
              <w:rPr>
                <w:rFonts w:hint="eastAsia"/>
                <w:b/>
                <w:bCs/>
                <w:color w:val="auto"/>
                <w:highlight w:val="none"/>
              </w:rPr>
              <w:t>配气生产工艺</w:t>
            </w:r>
          </w:p>
          <w:p w14:paraId="013F850F">
            <w:pPr>
              <w:pStyle w:val="11"/>
              <w:bidi w:val="0"/>
              <w:rPr>
                <w:color w:val="auto"/>
                <w:highlight w:val="none"/>
              </w:rPr>
            </w:pPr>
            <w:r>
              <w:rPr>
                <w:color w:val="auto"/>
                <w:highlight w:val="none"/>
              </w:rPr>
              <w:t>本项目配气生产工艺见图</w:t>
            </w:r>
            <w:r>
              <w:rPr>
                <w:rFonts w:hint="eastAsia"/>
                <w:color w:val="auto"/>
                <w:highlight w:val="none"/>
                <w:lang w:val="en-US" w:eastAsia="zh-CN"/>
              </w:rPr>
              <w:t>2-4</w:t>
            </w:r>
            <w:r>
              <w:rPr>
                <w:color w:val="auto"/>
                <w:highlight w:val="none"/>
              </w:rPr>
              <w:t>。</w:t>
            </w:r>
          </w:p>
          <w:p w14:paraId="3B05F360">
            <w:pPr>
              <w:pStyle w:val="65"/>
              <w:ind w:left="797"/>
              <w:rPr>
                <w:rFonts w:ascii="Times New Roman"/>
                <w:color w:val="auto"/>
                <w:sz w:val="20"/>
                <w:highlight w:val="none"/>
              </w:rPr>
            </w:pPr>
            <w:r>
              <w:rPr>
                <w:rFonts w:ascii="Times New Roman"/>
                <w:color w:val="auto"/>
                <w:sz w:val="20"/>
                <w:highlight w:val="none"/>
              </w:rPr>
              <w:drawing>
                <wp:inline distT="0" distB="0" distL="0" distR="0">
                  <wp:extent cx="4157980" cy="2434590"/>
                  <wp:effectExtent l="0" t="0" r="13970" b="3810"/>
                  <wp:docPr id="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a:picLocks noChangeAspect="1"/>
                          </pic:cNvPicPr>
                        </pic:nvPicPr>
                        <pic:blipFill>
                          <a:blip r:embed="rId18"/>
                          <a:stretch>
                            <a:fillRect/>
                          </a:stretch>
                        </pic:blipFill>
                        <pic:spPr>
                          <a:xfrm>
                            <a:off x="0" y="0"/>
                            <a:ext cx="4157980" cy="2434971"/>
                          </a:xfrm>
                          <a:prstGeom prst="rect">
                            <a:avLst/>
                          </a:prstGeom>
                        </pic:spPr>
                      </pic:pic>
                    </a:graphicData>
                  </a:graphic>
                </wp:inline>
              </w:drawing>
            </w:r>
          </w:p>
          <w:p w14:paraId="4E197F7A">
            <w:pPr>
              <w:pStyle w:val="32"/>
              <w:bidi w:val="0"/>
              <w:rPr>
                <w:color w:val="auto"/>
                <w:highlight w:val="none"/>
              </w:rPr>
            </w:pPr>
            <w:r>
              <w:rPr>
                <w:color w:val="auto"/>
                <w:highlight w:val="none"/>
              </w:rPr>
              <w:t>图</w:t>
            </w:r>
            <w:r>
              <w:rPr>
                <w:rFonts w:hint="eastAsia"/>
                <w:color w:val="auto"/>
                <w:highlight w:val="none"/>
                <w:lang w:val="en-US" w:eastAsia="zh-CN"/>
              </w:rPr>
              <w:t xml:space="preserve">2-4     </w:t>
            </w:r>
            <w:r>
              <w:rPr>
                <w:color w:val="auto"/>
                <w:highlight w:val="none"/>
              </w:rPr>
              <w:t>项目配气生产工艺流程及产污环图</w:t>
            </w:r>
          </w:p>
          <w:p w14:paraId="0376C77A">
            <w:pPr>
              <w:pStyle w:val="11"/>
              <w:bidi w:val="0"/>
              <w:rPr>
                <w:color w:val="auto"/>
                <w:highlight w:val="none"/>
              </w:rPr>
            </w:pPr>
            <w:r>
              <w:rPr>
                <w:color w:val="auto"/>
                <w:highlight w:val="none"/>
              </w:rPr>
              <w:t>工艺流程简述如下：</w:t>
            </w:r>
          </w:p>
          <w:p w14:paraId="30D6B50F">
            <w:pPr>
              <w:pStyle w:val="11"/>
              <w:bidi w:val="0"/>
              <w:rPr>
                <w:rFonts w:hint="eastAsia"/>
                <w:color w:val="auto"/>
                <w:highlight w:val="none"/>
              </w:rPr>
            </w:pPr>
            <w:r>
              <w:rPr>
                <w:rFonts w:hint="eastAsia"/>
                <w:color w:val="auto"/>
                <w:highlight w:val="none"/>
              </w:rPr>
              <w:t>该项目的工艺流</w:t>
            </w:r>
            <w:r>
              <w:rPr>
                <w:rFonts w:hint="eastAsia"/>
                <w:color w:val="auto"/>
                <w:highlight w:val="none"/>
                <w:lang w:eastAsia="zh-CN"/>
              </w:rPr>
              <w:t>程有</w:t>
            </w:r>
            <w:r>
              <w:rPr>
                <w:rFonts w:hint="eastAsia"/>
                <w:color w:val="auto"/>
                <w:highlight w:val="none"/>
              </w:rPr>
              <w:t>调压</w:t>
            </w:r>
            <w:r>
              <w:rPr>
                <w:rFonts w:hint="eastAsia"/>
                <w:color w:val="auto"/>
                <w:highlight w:val="none"/>
                <w:lang w:eastAsia="zh-CN"/>
              </w:rPr>
              <w:t>流程</w:t>
            </w:r>
            <w:r>
              <w:rPr>
                <w:rFonts w:hint="eastAsia"/>
                <w:color w:val="auto"/>
                <w:highlight w:val="none"/>
              </w:rPr>
              <w:t>和混气流程</w:t>
            </w:r>
            <w:r>
              <w:rPr>
                <w:rFonts w:hint="eastAsia"/>
                <w:color w:val="auto"/>
                <w:highlight w:val="none"/>
                <w:lang w:val="en-US" w:eastAsia="zh-CN"/>
              </w:rPr>
              <w:t>两</w:t>
            </w:r>
            <w:r>
              <w:rPr>
                <w:rFonts w:hint="eastAsia"/>
                <w:color w:val="auto"/>
                <w:highlight w:val="none"/>
              </w:rPr>
              <w:t>部分。</w:t>
            </w:r>
          </w:p>
          <w:p w14:paraId="0600408D">
            <w:pPr>
              <w:pStyle w:val="11"/>
              <w:bidi w:val="0"/>
              <w:rPr>
                <w:rFonts w:hint="eastAsia"/>
                <w:color w:val="auto"/>
                <w:highlight w:val="none"/>
              </w:rPr>
            </w:pPr>
            <w:r>
              <w:rPr>
                <w:rFonts w:hint="eastAsia"/>
                <w:color w:val="auto"/>
                <w:highlight w:val="none"/>
                <w:lang w:val="en-US" w:eastAsia="zh-CN"/>
              </w:rPr>
              <w:t>①</w:t>
            </w:r>
            <w:r>
              <w:rPr>
                <w:rFonts w:hint="eastAsia"/>
                <w:color w:val="auto"/>
                <w:highlight w:val="none"/>
              </w:rPr>
              <w:t>调压流程</w:t>
            </w:r>
          </w:p>
          <w:p w14:paraId="75FACDAC">
            <w:pPr>
              <w:pStyle w:val="11"/>
              <w:bidi w:val="0"/>
              <w:rPr>
                <w:rFonts w:hint="eastAsia"/>
                <w:color w:val="auto"/>
                <w:highlight w:val="none"/>
              </w:rPr>
            </w:pPr>
            <w:r>
              <w:rPr>
                <w:rFonts w:hint="eastAsia"/>
                <w:color w:val="auto"/>
                <w:highlight w:val="none"/>
              </w:rPr>
              <w:t>管道天然气进站后，进入调压计量加臭撬，经过滤、调压、计量及加臭后进入混气工艺区。由于上游天然气管道建设周期较长，项目运行初期采用CNG方式提供天然气：CNG通过CNG拖车运输到本气站，通过卸气柱、CNG减压装置（带电加热）将压力调至0.36MPa临时代替管道天然气。中后期可以将CNG气源作为应急调峰气源。</w:t>
            </w:r>
          </w:p>
          <w:p w14:paraId="2B4A13A6">
            <w:pPr>
              <w:pStyle w:val="11"/>
              <w:bidi w:val="0"/>
              <w:rPr>
                <w:rFonts w:hint="eastAsia"/>
                <w:color w:val="auto"/>
                <w:highlight w:val="none"/>
              </w:rPr>
            </w:pPr>
            <w:r>
              <w:rPr>
                <w:rFonts w:hint="eastAsia"/>
                <w:color w:val="auto"/>
                <w:highlight w:val="none"/>
                <w:lang w:val="en-US" w:eastAsia="zh-CN"/>
              </w:rPr>
              <w:t>②秸秆气增压</w:t>
            </w:r>
          </w:p>
          <w:p w14:paraId="03003ACE">
            <w:pPr>
              <w:pStyle w:val="11"/>
              <w:bidi w:val="0"/>
              <w:rPr>
                <w:rFonts w:hint="eastAsia" w:eastAsia="宋体"/>
                <w:color w:val="auto"/>
                <w:highlight w:val="none"/>
                <w:lang w:eastAsia="zh-CN"/>
              </w:rPr>
            </w:pPr>
            <w:r>
              <w:rPr>
                <w:rFonts w:hint="eastAsia"/>
                <w:color w:val="auto"/>
                <w:highlight w:val="none"/>
                <w:lang w:val="en-US" w:eastAsia="zh-CN"/>
              </w:rPr>
              <w:t>净化后的秸秆气送入秸秆气增压撬加压至</w:t>
            </w:r>
            <w:r>
              <w:rPr>
                <w:rFonts w:hint="eastAsia"/>
                <w:color w:val="auto"/>
                <w:highlight w:val="none"/>
              </w:rPr>
              <w:t>0.36MPa，</w:t>
            </w:r>
            <w:r>
              <w:rPr>
                <w:color w:val="auto"/>
                <w:highlight w:val="none"/>
              </w:rPr>
              <w:t>暂存至低压钢制秸秆气储罐</w:t>
            </w:r>
            <w:r>
              <w:rPr>
                <w:rFonts w:hint="eastAsia"/>
                <w:color w:val="auto"/>
                <w:highlight w:val="none"/>
                <w:lang w:eastAsia="zh-CN"/>
              </w:rPr>
              <w:t>。</w:t>
            </w:r>
          </w:p>
          <w:p w14:paraId="355B006D">
            <w:pPr>
              <w:pStyle w:val="11"/>
              <w:bidi w:val="0"/>
              <w:rPr>
                <w:rFonts w:hint="default" w:eastAsia="宋体"/>
                <w:color w:val="auto"/>
                <w:highlight w:val="none"/>
                <w:lang w:val="en-US" w:eastAsia="zh-CN"/>
              </w:rPr>
            </w:pPr>
            <w:r>
              <w:rPr>
                <w:rFonts w:hint="eastAsia"/>
                <w:color w:val="auto"/>
                <w:highlight w:val="none"/>
                <w:lang w:val="en-US" w:eastAsia="zh-CN"/>
              </w:rPr>
              <w:t>③混气外输</w:t>
            </w:r>
          </w:p>
          <w:p w14:paraId="6DA3E5D5">
            <w:pPr>
              <w:pStyle w:val="11"/>
              <w:bidi w:val="0"/>
              <w:rPr>
                <w:rFonts w:hint="eastAsia"/>
                <w:color w:val="auto"/>
                <w:highlight w:val="none"/>
              </w:rPr>
            </w:pPr>
            <w:r>
              <w:rPr>
                <w:rFonts w:hint="eastAsia"/>
                <w:color w:val="auto"/>
                <w:highlight w:val="none"/>
              </w:rPr>
              <w:t>秸秆气与调压后天然气同步进入混气撬，分别计量后按体积1:1比例均质混合；混合气先进入混合气缓冲罐稳压，再送入混合气储罐储存；超压工况下燃气通过DN50、H=15m混合气放散立管高空放散，立管配套阻火器。</w:t>
            </w:r>
          </w:p>
          <w:p w14:paraId="4520ACDA">
            <w:pPr>
              <w:pStyle w:val="11"/>
              <w:bidi w:val="0"/>
              <w:rPr>
                <w:rFonts w:hint="eastAsia"/>
                <w:color w:val="auto"/>
                <w:highlight w:val="none"/>
              </w:rPr>
            </w:pPr>
            <w:r>
              <w:rPr>
                <w:rFonts w:hint="eastAsia"/>
                <w:color w:val="auto"/>
                <w:highlight w:val="none"/>
              </w:rPr>
              <w:t>合格混合气通过中压管网输送至乡镇用户。</w:t>
            </w:r>
          </w:p>
          <w:p w14:paraId="07DFEFA3">
            <w:pPr>
              <w:pStyle w:val="11"/>
              <w:bidi w:val="0"/>
              <w:rPr>
                <w:rFonts w:hint="eastAsia"/>
                <w:color w:val="auto"/>
                <w:highlight w:val="none"/>
                <w:lang w:val="en-US"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lang w:val="en-US" w:eastAsia="zh-CN"/>
              </w:rPr>
              <w:t>肥料工艺</w:t>
            </w:r>
          </w:p>
          <w:p w14:paraId="5F187BB2">
            <w:pPr>
              <w:adjustRightInd w:val="0"/>
              <w:snapToGrid w:val="0"/>
              <w:spacing w:line="360" w:lineRule="auto"/>
              <w:ind w:firstLine="480" w:firstLineChars="200"/>
              <w:jc w:val="center"/>
              <w:rPr>
                <w:rFonts w:hint="eastAsia" w:eastAsia="宋体"/>
                <w:color w:val="auto"/>
                <w:sz w:val="24"/>
                <w:highlight w:val="none"/>
                <w:lang w:eastAsia="zh-CN"/>
              </w:rPr>
            </w:pPr>
            <w:r>
              <w:rPr>
                <w:rFonts w:hint="eastAsia" w:eastAsia="宋体"/>
                <w:color w:val="auto"/>
                <w:sz w:val="24"/>
                <w:highlight w:val="none"/>
                <w:lang w:eastAsia="zh-CN"/>
              </w:rPr>
              <w:object>
                <v:shape id="_x0000_i1027" o:spt="75" type="#_x0000_t75" style="height:355.5pt;width:342.1pt;" o:ole="t" filled="f" o:preferrelative="t" stroked="f" coordsize="21600,21600">
                  <v:path/>
                  <v:fill on="f" focussize="0,0"/>
                  <v:stroke on="f"/>
                  <v:imagedata r:id="rId20" o:title=""/>
                  <o:lock v:ext="edit" aspectratio="t"/>
                  <w10:wrap type="none"/>
                  <w10:anchorlock/>
                </v:shape>
                <o:OLEObject Type="Embed" ProgID="Visio.Drawing.15" ShapeID="_x0000_i1027" DrawAspect="Content" ObjectID="_1468075727" r:id="rId19">
                  <o:LockedField>false</o:LockedField>
                </o:OLEObject>
              </w:object>
            </w:r>
          </w:p>
          <w:p w14:paraId="3EEBFE23">
            <w:pPr>
              <w:pStyle w:val="32"/>
              <w:bidi w:val="0"/>
              <w:rPr>
                <w:rFonts w:hint="default"/>
                <w:color w:val="auto"/>
                <w:highlight w:val="none"/>
                <w:lang w:val="en-US" w:eastAsia="zh-CN"/>
              </w:rPr>
            </w:pPr>
            <w:r>
              <w:rPr>
                <w:color w:val="auto"/>
                <w:highlight w:val="none"/>
              </w:rPr>
              <w:t>图</w:t>
            </w:r>
            <w:r>
              <w:rPr>
                <w:rFonts w:hint="eastAsia"/>
                <w:color w:val="auto"/>
                <w:highlight w:val="none"/>
                <w:lang w:val="en-US" w:eastAsia="zh-CN"/>
              </w:rPr>
              <w:t xml:space="preserve">2-5      </w:t>
            </w:r>
            <w:r>
              <w:rPr>
                <w:color w:val="auto"/>
                <w:highlight w:val="none"/>
              </w:rPr>
              <w:t>项目</w:t>
            </w:r>
            <w:r>
              <w:rPr>
                <w:rFonts w:hint="eastAsia"/>
                <w:color w:val="auto"/>
                <w:highlight w:val="none"/>
                <w:lang w:val="en-US" w:eastAsia="zh-CN"/>
              </w:rPr>
              <w:t>肥料</w:t>
            </w:r>
            <w:r>
              <w:rPr>
                <w:color w:val="auto"/>
                <w:highlight w:val="none"/>
              </w:rPr>
              <w:t>生产工艺流程及产污环图</w:t>
            </w:r>
          </w:p>
          <w:p w14:paraId="46BAFC1D">
            <w:pPr>
              <w:pStyle w:val="11"/>
              <w:bidi w:val="0"/>
              <w:rPr>
                <w:rFonts w:hint="default"/>
                <w:color w:val="auto"/>
                <w:highlight w:val="none"/>
                <w:lang w:val="en-US" w:eastAsia="zh-CN"/>
              </w:rPr>
            </w:pPr>
            <w:r>
              <w:rPr>
                <w:rFonts w:hint="eastAsia"/>
                <w:color w:val="auto"/>
                <w:highlight w:val="none"/>
                <w:lang w:val="en-US" w:eastAsia="zh-CN"/>
              </w:rPr>
              <w:t>①预混</w:t>
            </w:r>
          </w:p>
          <w:p w14:paraId="660A972E">
            <w:pPr>
              <w:pStyle w:val="11"/>
              <w:bidi w:val="0"/>
              <w:rPr>
                <w:rFonts w:hint="default"/>
                <w:color w:val="auto"/>
                <w:highlight w:val="none"/>
                <w:lang w:val="en-US" w:eastAsia="zh-CN"/>
              </w:rPr>
            </w:pPr>
            <w:r>
              <w:rPr>
                <w:rFonts w:hint="eastAsia"/>
                <w:color w:val="auto"/>
                <w:highlight w:val="none"/>
                <w:lang w:val="en-US" w:eastAsia="zh-CN"/>
              </w:rPr>
              <w:t>将</w:t>
            </w:r>
            <w:r>
              <w:rPr>
                <w:rFonts w:hint="default"/>
                <w:color w:val="auto"/>
                <w:highlight w:val="none"/>
                <w:lang w:val="en-US" w:eastAsia="zh-CN"/>
              </w:rPr>
              <w:t>畜禽粪便</w:t>
            </w:r>
            <w:r>
              <w:rPr>
                <w:rFonts w:hint="eastAsia"/>
                <w:color w:val="auto"/>
                <w:highlight w:val="none"/>
                <w:lang w:val="en-US" w:eastAsia="zh-CN"/>
              </w:rPr>
              <w:t>、</w:t>
            </w:r>
            <w:r>
              <w:rPr>
                <w:rFonts w:hint="default"/>
                <w:color w:val="auto"/>
                <w:highlight w:val="none"/>
                <w:lang w:val="en-US" w:eastAsia="zh-CN"/>
              </w:rPr>
              <w:t>氮磷钾浓缩乳液</w:t>
            </w:r>
            <w:r>
              <w:rPr>
                <w:rFonts w:hint="eastAsia"/>
                <w:color w:val="auto"/>
                <w:highlight w:val="none"/>
                <w:lang w:val="en-US" w:eastAsia="zh-CN"/>
              </w:rPr>
              <w:t>与</w:t>
            </w:r>
            <w:r>
              <w:rPr>
                <w:rFonts w:hint="default"/>
                <w:color w:val="auto"/>
                <w:highlight w:val="none"/>
                <w:lang w:val="en-US" w:eastAsia="zh-CN"/>
              </w:rPr>
              <w:t>自产秸秆炭粉复配</w:t>
            </w:r>
            <w:r>
              <w:rPr>
                <w:rFonts w:hint="eastAsia"/>
                <w:color w:val="auto"/>
                <w:highlight w:val="none"/>
                <w:lang w:val="en-US" w:eastAsia="zh-CN"/>
              </w:rPr>
              <w:t>进行预混，预混过程中无粉尘产生。</w:t>
            </w:r>
          </w:p>
          <w:p w14:paraId="04DBB96C">
            <w:pPr>
              <w:pStyle w:val="11"/>
              <w:bidi w:val="0"/>
              <w:rPr>
                <w:rFonts w:hint="default"/>
                <w:color w:val="auto"/>
                <w:highlight w:val="none"/>
                <w:lang w:val="en-US" w:eastAsia="zh-CN"/>
              </w:rPr>
            </w:pPr>
            <w:r>
              <w:rPr>
                <w:rFonts w:hint="eastAsia"/>
                <w:color w:val="auto"/>
                <w:highlight w:val="none"/>
                <w:lang w:val="en-US" w:eastAsia="zh-CN"/>
              </w:rPr>
              <w:t>②发酵</w:t>
            </w:r>
          </w:p>
          <w:p w14:paraId="305676EE">
            <w:pPr>
              <w:pStyle w:val="11"/>
              <w:bidi w:val="0"/>
              <w:rPr>
                <w:rFonts w:hint="eastAsia"/>
                <w:color w:val="auto"/>
                <w:highlight w:val="none"/>
                <w:lang w:val="en-US" w:eastAsia="zh-CN"/>
              </w:rPr>
            </w:pPr>
            <w:r>
              <w:rPr>
                <w:rFonts w:hint="eastAsia"/>
                <w:color w:val="auto"/>
                <w:highlight w:val="none"/>
                <w:lang w:val="en-US" w:eastAsia="zh-CN"/>
              </w:rPr>
              <w:t>将预混后的混合物，投入立式发酵罐中，物料进入发酵罐后，内部设有搅拌装置使物料进一步混合均匀，风机发酵提供氧气，好氧微生物迅速增殖，堆体温度迅速升高，有机物被分解。当温度达到60℃进行翻抛，定期进行抛翻，控制发酵温度在50~65℃，发酵过程含水率一般保持在45%-50%左右。</w:t>
            </w:r>
          </w:p>
          <w:p w14:paraId="74667C19">
            <w:pPr>
              <w:pStyle w:val="11"/>
              <w:bidi w:val="0"/>
              <w:rPr>
                <w:rFonts w:hint="default"/>
                <w:color w:val="auto"/>
                <w:highlight w:val="none"/>
                <w:lang w:val="en-US" w:eastAsia="zh-CN"/>
              </w:rPr>
            </w:pPr>
            <w:r>
              <w:rPr>
                <w:rFonts w:hint="eastAsia"/>
                <w:color w:val="auto"/>
                <w:highlight w:val="none"/>
                <w:lang w:val="en-US" w:eastAsia="zh-CN"/>
              </w:rPr>
              <w:t>发酵完成后，物料中大部分有机物已被降解，由于有机物的减少及代谢产物的累积，微生物的生长及有机物的分解速度减缓，堆肥温度开始降低，微生物进入减数生长期。需对物料进行进一步的翻拌发酵。进一步分解纤维素、半纤维素和前期尚未完全发酵的有机物质。使发酵中尚未完全分解的易分解的、较难分解的有机物质继续分解，并将其逐渐转化为比较稳定和腐熟的堆肥，此时含水率约35%。</w:t>
            </w:r>
          </w:p>
          <w:p w14:paraId="0ACEF080">
            <w:pPr>
              <w:pStyle w:val="11"/>
              <w:bidi w:val="0"/>
              <w:rPr>
                <w:rFonts w:hint="eastAsia"/>
                <w:color w:val="auto"/>
                <w:highlight w:val="none"/>
                <w:lang w:eastAsia="zh-CN"/>
              </w:rPr>
            </w:pPr>
            <w:r>
              <w:rPr>
                <w:color w:val="auto"/>
                <w:highlight w:val="none"/>
              </w:rPr>
              <w:t>该工序产生的污染物主要为恶臭和设备运行噪声</w:t>
            </w:r>
            <w:r>
              <w:rPr>
                <w:rFonts w:hint="eastAsia"/>
                <w:color w:val="auto"/>
                <w:highlight w:val="none"/>
                <w:lang w:eastAsia="zh-CN"/>
              </w:rPr>
              <w:t>。</w:t>
            </w:r>
          </w:p>
          <w:p w14:paraId="6A4F30A8">
            <w:pPr>
              <w:pStyle w:val="11"/>
              <w:bidi w:val="0"/>
              <w:rPr>
                <w:rFonts w:hint="eastAsia"/>
                <w:color w:val="auto"/>
                <w:highlight w:val="none"/>
                <w:lang w:val="en-US" w:eastAsia="zh-CN"/>
              </w:rPr>
            </w:pPr>
            <w:r>
              <w:rPr>
                <w:rFonts w:hint="eastAsia"/>
                <w:color w:val="auto"/>
                <w:highlight w:val="none"/>
                <w:lang w:val="en-US" w:eastAsia="zh-CN"/>
              </w:rPr>
              <w:t>③破碎、筛分</w:t>
            </w:r>
          </w:p>
          <w:p w14:paraId="59C5A40C">
            <w:pPr>
              <w:pStyle w:val="11"/>
              <w:bidi w:val="0"/>
              <w:rPr>
                <w:rFonts w:hint="default"/>
                <w:color w:val="auto"/>
                <w:highlight w:val="none"/>
                <w:lang w:val="en-US" w:eastAsia="zh-CN"/>
              </w:rPr>
            </w:pPr>
            <w:r>
              <w:rPr>
                <w:rFonts w:hint="default"/>
                <w:color w:val="auto"/>
                <w:highlight w:val="none"/>
                <w:lang w:val="en-US" w:eastAsia="zh-CN"/>
              </w:rPr>
              <w:t>发酵好的物料</w:t>
            </w:r>
            <w:r>
              <w:rPr>
                <w:rFonts w:hint="eastAsia"/>
                <w:color w:val="auto"/>
                <w:highlight w:val="none"/>
                <w:lang w:val="en-US" w:eastAsia="zh-CN"/>
              </w:rPr>
              <w:t>中含有块状体，为了便于后续加工，将物料投入</w:t>
            </w:r>
            <w:r>
              <w:rPr>
                <w:rFonts w:hint="default"/>
                <w:color w:val="auto"/>
                <w:highlight w:val="none"/>
                <w:lang w:val="en-US" w:eastAsia="zh-CN"/>
              </w:rPr>
              <w:t>输送至粉碎设备对结块物料进行打散粉碎，并通过粉碎机配套搅拌系统对粉碎后物料混合搅拌，搅拌混合后的物料经皮带输送机输送至</w:t>
            </w:r>
            <w:r>
              <w:rPr>
                <w:rFonts w:hint="eastAsia"/>
                <w:color w:val="auto"/>
                <w:highlight w:val="none"/>
                <w:lang w:val="en-US" w:eastAsia="zh-CN"/>
              </w:rPr>
              <w:t>筛分装置</w:t>
            </w:r>
            <w:r>
              <w:rPr>
                <w:rFonts w:hint="default"/>
                <w:color w:val="auto"/>
                <w:highlight w:val="none"/>
                <w:lang w:val="en-US" w:eastAsia="zh-CN"/>
              </w:rPr>
              <w:t>，过滤少部分未达到要求的未完全粉碎的有机肥返回至破碎工序再次破碎，</w:t>
            </w:r>
            <w:r>
              <w:rPr>
                <w:rFonts w:hint="eastAsia"/>
                <w:color w:val="auto"/>
                <w:highlight w:val="none"/>
                <w:lang w:val="en-US" w:eastAsia="zh-CN"/>
              </w:rPr>
              <w:t>直到</w:t>
            </w:r>
            <w:r>
              <w:rPr>
                <w:rFonts w:hint="default"/>
                <w:color w:val="auto"/>
                <w:highlight w:val="none"/>
                <w:lang w:val="en-US" w:eastAsia="zh-CN"/>
              </w:rPr>
              <w:t>达到</w:t>
            </w:r>
            <w:r>
              <w:rPr>
                <w:rFonts w:hint="eastAsia"/>
                <w:color w:val="auto"/>
                <w:highlight w:val="none"/>
                <w:lang w:val="en-US" w:eastAsia="zh-CN"/>
              </w:rPr>
              <w:t>破碎要求，物料粒径在1.5mm以下的物料进行后续加工。</w:t>
            </w:r>
          </w:p>
          <w:p w14:paraId="5A04D3E9">
            <w:pPr>
              <w:pStyle w:val="11"/>
              <w:bidi w:val="0"/>
              <w:rPr>
                <w:rFonts w:hint="eastAsia"/>
                <w:color w:val="auto"/>
                <w:highlight w:val="none"/>
                <w:lang w:val="en-US" w:eastAsia="zh-CN"/>
              </w:rPr>
            </w:pPr>
            <w:r>
              <w:rPr>
                <w:rFonts w:hint="eastAsia"/>
                <w:color w:val="auto"/>
                <w:highlight w:val="none"/>
                <w:lang w:val="en-US" w:eastAsia="zh-CN"/>
              </w:rPr>
              <w:t>④造粒</w:t>
            </w:r>
          </w:p>
          <w:p w14:paraId="6D21922F">
            <w:pPr>
              <w:pStyle w:val="11"/>
              <w:bidi w:val="0"/>
              <w:rPr>
                <w:rFonts w:hint="default"/>
                <w:color w:val="auto"/>
                <w:highlight w:val="none"/>
                <w:lang w:val="en-US" w:eastAsia="zh-CN"/>
              </w:rPr>
            </w:pPr>
            <w:r>
              <w:rPr>
                <w:rFonts w:hint="eastAsia"/>
                <w:color w:val="auto"/>
                <w:highlight w:val="none"/>
                <w:lang w:val="en-US" w:eastAsia="zh-CN"/>
              </w:rPr>
              <w:t>经筛分合格后的物料，经密闭皮带及输入造粒机进行挤压造粒。造粒机工作原理：通过不断旋转对撞造粒新技术，使有机物料在造粒区可获得连续、高速、往复的揉合与剪切，从而形成高压力学流态的对撞流，物料温度在 20s 内升至 60℃以上，迅速改变物料的分子结构和造粒性，使物料间的传热、流化、挤压过程得以显著强化。该工序产生的污染物主要为颗粒物和设备噪声。</w:t>
            </w:r>
          </w:p>
          <w:p w14:paraId="05AEC89C">
            <w:pPr>
              <w:pStyle w:val="11"/>
              <w:bidi w:val="0"/>
              <w:rPr>
                <w:rFonts w:hint="eastAsia"/>
                <w:color w:val="auto"/>
                <w:highlight w:val="none"/>
                <w:lang w:val="en-US" w:eastAsia="zh-CN"/>
              </w:rPr>
            </w:pPr>
            <w:r>
              <w:rPr>
                <w:rFonts w:hint="eastAsia"/>
                <w:color w:val="auto"/>
                <w:highlight w:val="none"/>
                <w:lang w:val="en-US" w:eastAsia="zh-CN"/>
              </w:rPr>
              <w:t>⑤烘干</w:t>
            </w:r>
          </w:p>
          <w:p w14:paraId="51CB7A04">
            <w:pPr>
              <w:pStyle w:val="11"/>
              <w:bidi w:val="0"/>
              <w:rPr>
                <w:rFonts w:hint="eastAsia"/>
                <w:color w:val="auto"/>
                <w:highlight w:val="none"/>
                <w:lang w:val="en-US" w:eastAsia="zh-CN"/>
              </w:rPr>
            </w:pPr>
            <w:r>
              <w:rPr>
                <w:rFonts w:hint="default"/>
                <w:color w:val="auto"/>
                <w:highlight w:val="none"/>
                <w:lang w:val="en-US" w:eastAsia="zh-CN"/>
              </w:rPr>
              <w:t>造粒后的颗粒物料经密闭皮带机输送至回转式烘干机内去除多余的水分，烘干后颗粒水分降到 30%及以下，</w:t>
            </w:r>
            <w:r>
              <w:rPr>
                <w:rFonts w:hint="eastAsia"/>
                <w:color w:val="auto"/>
                <w:highlight w:val="none"/>
                <w:lang w:val="en-US" w:eastAsia="zh-CN"/>
              </w:rPr>
              <w:t>再</w:t>
            </w:r>
            <w:r>
              <w:rPr>
                <w:rFonts w:hint="default"/>
                <w:color w:val="auto"/>
                <w:highlight w:val="none"/>
                <w:lang w:val="en-US" w:eastAsia="zh-CN"/>
              </w:rPr>
              <w:t>进入冷却机。烘干机热源来自电烘干炉，以电直接加热，其产生的热风全部用于烘干机，烘干机热风温度约 500℃，物料烘干时间约 20min。电炉无废气产生，此工序污染物主要为物料烘干过程产生的恶臭和设备噪声</w:t>
            </w:r>
            <w:r>
              <w:rPr>
                <w:rFonts w:hint="eastAsia"/>
                <w:color w:val="auto"/>
                <w:highlight w:val="none"/>
                <w:lang w:val="en-US" w:eastAsia="zh-CN"/>
              </w:rPr>
              <w:t>。</w:t>
            </w:r>
          </w:p>
          <w:p w14:paraId="00FBB431">
            <w:pPr>
              <w:pStyle w:val="11"/>
              <w:bidi w:val="0"/>
              <w:rPr>
                <w:rFonts w:hint="eastAsia"/>
                <w:color w:val="auto"/>
                <w:highlight w:val="none"/>
                <w:lang w:val="en-US" w:eastAsia="zh-CN"/>
              </w:rPr>
            </w:pPr>
            <w:r>
              <w:rPr>
                <w:rFonts w:hint="eastAsia"/>
                <w:color w:val="auto"/>
                <w:highlight w:val="none"/>
                <w:lang w:val="en-US" w:eastAsia="zh-CN"/>
              </w:rPr>
              <w:t>⑥冷却</w:t>
            </w:r>
          </w:p>
          <w:p w14:paraId="4366C491">
            <w:pPr>
              <w:pStyle w:val="11"/>
              <w:bidi w:val="0"/>
              <w:rPr>
                <w:rFonts w:hint="default"/>
                <w:color w:val="auto"/>
                <w:highlight w:val="none"/>
                <w:lang w:val="en-US" w:eastAsia="zh-CN"/>
              </w:rPr>
            </w:pPr>
            <w:r>
              <w:rPr>
                <w:rFonts w:hint="default"/>
                <w:color w:val="auto"/>
                <w:highlight w:val="none"/>
                <w:lang w:val="en-US" w:eastAsia="zh-CN"/>
              </w:rPr>
              <w:t>经烘干后的物料，经皮带输出带密闭输送至回转式冷却机密闭冷却。</w:t>
            </w:r>
          </w:p>
          <w:p w14:paraId="73EBE8BA">
            <w:pPr>
              <w:pStyle w:val="11"/>
              <w:bidi w:val="0"/>
              <w:rPr>
                <w:rFonts w:hint="eastAsia"/>
                <w:color w:val="auto"/>
                <w:highlight w:val="none"/>
                <w:lang w:val="en-US" w:eastAsia="zh-CN"/>
              </w:rPr>
            </w:pPr>
            <w:r>
              <w:rPr>
                <w:rFonts w:hint="eastAsia"/>
                <w:color w:val="auto"/>
                <w:highlight w:val="none"/>
                <w:lang w:val="en-US" w:eastAsia="zh-CN"/>
              </w:rPr>
              <w:t>⑦二次筛分</w:t>
            </w:r>
          </w:p>
          <w:p w14:paraId="341690AE">
            <w:pPr>
              <w:pStyle w:val="11"/>
              <w:bidi w:val="0"/>
              <w:rPr>
                <w:rFonts w:hint="default"/>
                <w:color w:val="auto"/>
                <w:highlight w:val="none"/>
                <w:lang w:val="en-US" w:eastAsia="zh-CN"/>
              </w:rPr>
            </w:pPr>
            <w:r>
              <w:rPr>
                <w:rFonts w:hint="default"/>
                <w:color w:val="auto"/>
                <w:highlight w:val="none"/>
                <w:lang w:val="en-US" w:eastAsia="zh-CN"/>
              </w:rPr>
              <w:t>经冷却后的颗粒状有机肥料进行二次筛分，筛网孔径一般在 5mm，不符合要求的颗粒状有机肥料返回双轴高湿物料粉碎机重新破碎造粒，符合要求的颗粒状有机肥进入下一步工序。</w:t>
            </w:r>
          </w:p>
          <w:p w14:paraId="196F485A">
            <w:pPr>
              <w:pStyle w:val="11"/>
              <w:bidi w:val="0"/>
              <w:rPr>
                <w:rFonts w:hint="eastAsia"/>
                <w:color w:val="auto"/>
                <w:highlight w:val="none"/>
                <w:lang w:val="en-US" w:eastAsia="zh-CN"/>
              </w:rPr>
            </w:pPr>
            <w:r>
              <w:rPr>
                <w:rFonts w:hint="eastAsia"/>
                <w:color w:val="auto"/>
                <w:highlight w:val="none"/>
                <w:lang w:val="en-US" w:eastAsia="zh-CN"/>
              </w:rPr>
              <w:t>⑧包装</w:t>
            </w:r>
          </w:p>
          <w:p w14:paraId="2E39B55D">
            <w:pPr>
              <w:pStyle w:val="11"/>
              <w:bidi w:val="0"/>
              <w:rPr>
                <w:rFonts w:hint="default"/>
                <w:color w:val="auto"/>
                <w:highlight w:val="none"/>
                <w:lang w:val="en-US" w:eastAsia="zh-CN"/>
              </w:rPr>
            </w:pPr>
            <w:r>
              <w:rPr>
                <w:rFonts w:hint="default"/>
                <w:color w:val="auto"/>
                <w:highlight w:val="none"/>
                <w:lang w:val="en-US" w:eastAsia="zh-CN"/>
              </w:rPr>
              <w:t>经筛分合格的有机肥经包装机计量包装成品，堆放在成品</w:t>
            </w:r>
            <w:r>
              <w:rPr>
                <w:rFonts w:hint="eastAsia"/>
                <w:color w:val="auto"/>
                <w:highlight w:val="none"/>
                <w:lang w:val="en-US" w:eastAsia="zh-CN"/>
              </w:rPr>
              <w:t>区</w:t>
            </w:r>
            <w:r>
              <w:rPr>
                <w:rFonts w:hint="default"/>
                <w:color w:val="auto"/>
                <w:highlight w:val="none"/>
                <w:lang w:val="en-US" w:eastAsia="zh-CN"/>
              </w:rPr>
              <w:t>内待售</w:t>
            </w:r>
            <w:r>
              <w:rPr>
                <w:rFonts w:hint="eastAsia"/>
                <w:color w:val="auto"/>
                <w:highlight w:val="none"/>
                <w:lang w:val="en-US" w:eastAsia="zh-CN"/>
              </w:rPr>
              <w:t>。</w:t>
            </w:r>
          </w:p>
        </w:tc>
      </w:tr>
      <w:tr w14:paraId="43A534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43" w:hRule="atLeast"/>
          <w:jc w:val="center"/>
        </w:trPr>
        <w:tc>
          <w:tcPr>
            <w:tcW w:w="823" w:type="dxa"/>
            <w:noWrap w:val="0"/>
            <w:vAlign w:val="center"/>
          </w:tcPr>
          <w:p w14:paraId="79321AAB">
            <w:pPr>
              <w:pStyle w:val="22"/>
              <w:adjustRightInd w:val="0"/>
              <w:snapToGrid w:val="0"/>
              <w:spacing w:before="0" w:beforeAutospacing="0" w:after="0" w:afterAutospacing="0"/>
              <w:jc w:val="center"/>
              <w:rPr>
                <w:rFonts w:cs="宋体"/>
                <w:color w:val="auto"/>
                <w:sz w:val="24"/>
                <w:szCs w:val="24"/>
                <w:highlight w:val="none"/>
              </w:rPr>
            </w:pPr>
            <w:r>
              <w:rPr>
                <w:rFonts w:hint="eastAsia" w:cs="宋体"/>
                <w:bCs/>
                <w:color w:val="auto"/>
                <w:kern w:val="2"/>
                <w:sz w:val="24"/>
                <w:szCs w:val="24"/>
                <w:highlight w:val="none"/>
              </w:rPr>
              <w:t>与项目有关的原有环境污染问题</w:t>
            </w:r>
          </w:p>
        </w:tc>
        <w:tc>
          <w:tcPr>
            <w:tcW w:w="8161" w:type="dxa"/>
            <w:noWrap w:val="0"/>
            <w:vAlign w:val="center"/>
          </w:tcPr>
          <w:p w14:paraId="1C9FD104">
            <w:pPr>
              <w:pStyle w:val="11"/>
              <w:bidi w:val="0"/>
              <w:rPr>
                <w:rFonts w:hint="eastAsia"/>
                <w:color w:val="auto"/>
                <w:highlight w:val="none"/>
              </w:rPr>
            </w:pPr>
            <w:r>
              <w:rPr>
                <w:rFonts w:hint="eastAsia"/>
                <w:color w:val="auto"/>
                <w:highlight w:val="none"/>
              </w:rPr>
              <w:t>根据现场调查，项目已建设一座钢架厂房，其余区域为空地。项目用地原为全丰村砖厂用地，砖厂运行期间未发生过污染事件，现场地块无污染痕迹。因此，本项目不存在原有环境污染问题。</w:t>
            </w:r>
          </w:p>
        </w:tc>
      </w:tr>
    </w:tbl>
    <w:p w14:paraId="01AE702B">
      <w:pPr>
        <w:pStyle w:val="22"/>
        <w:jc w:val="center"/>
        <w:rPr>
          <w:rFonts w:ascii="黑体" w:hAnsi="黑体" w:eastAsia="黑体"/>
          <w:snapToGrid w:val="0"/>
          <w:color w:val="auto"/>
          <w:sz w:val="36"/>
          <w:szCs w:val="36"/>
          <w:highlight w:val="none"/>
        </w:rPr>
        <w:sectPr>
          <w:footerReference r:id="rId8" w:type="default"/>
          <w:pgSz w:w="11906" w:h="16838"/>
          <w:pgMar w:top="1701" w:right="1531" w:bottom="1701" w:left="1531" w:header="851" w:footer="851" w:gutter="0"/>
          <w:pgNumType w:fmt="decimal"/>
          <w:cols w:space="720" w:num="1"/>
          <w:docGrid w:linePitch="312" w:charSpace="0"/>
        </w:sectPr>
      </w:pPr>
    </w:p>
    <w:p w14:paraId="78DC65E8">
      <w:pPr>
        <w:pStyle w:val="22"/>
        <w:adjustRightInd w:val="0"/>
        <w:snapToGrid w:val="0"/>
        <w:spacing w:before="0" w:beforeAutospacing="0" w:after="0" w:afterAutospacing="0" w:line="14" w:lineRule="auto"/>
        <w:jc w:val="center"/>
        <w:outlineLvl w:val="0"/>
        <w:rPr>
          <w:rFonts w:hint="eastAsia" w:ascii="黑体" w:hAnsi="黑体" w:eastAsia="黑体"/>
          <w:snapToGrid w:val="0"/>
          <w:color w:val="auto"/>
          <w:sz w:val="30"/>
          <w:szCs w:val="30"/>
          <w:highlight w:val="none"/>
        </w:rPr>
      </w:pPr>
    </w:p>
    <w:p w14:paraId="3A327F34">
      <w:pPr>
        <w:pStyle w:val="22"/>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三、区域环境质量现状、环境保护目标及评价标准</w:t>
      </w:r>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6"/>
        <w:gridCol w:w="8225"/>
      </w:tblGrid>
      <w:tr w14:paraId="16BCDF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9" w:type="dxa"/>
            <w:noWrap w:val="0"/>
            <w:vAlign w:val="center"/>
          </w:tcPr>
          <w:p w14:paraId="36B73CC5">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区域</w:t>
            </w:r>
          </w:p>
          <w:p w14:paraId="1F60BFD2">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环境</w:t>
            </w:r>
          </w:p>
          <w:p w14:paraId="0BC1858D">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质量</w:t>
            </w:r>
          </w:p>
          <w:p w14:paraId="1EF5BB30">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现状</w:t>
            </w:r>
          </w:p>
        </w:tc>
        <w:tc>
          <w:tcPr>
            <w:tcW w:w="8161" w:type="dxa"/>
            <w:noWrap w:val="0"/>
            <w:vAlign w:val="center"/>
          </w:tcPr>
          <w:p w14:paraId="3E2CDE5C">
            <w:pPr>
              <w:pStyle w:val="11"/>
              <w:bidi w:val="0"/>
              <w:rPr>
                <w:b/>
                <w:bCs/>
                <w:color w:val="auto"/>
                <w:highlight w:val="none"/>
              </w:rPr>
            </w:pPr>
            <w:r>
              <w:rPr>
                <w:b/>
                <w:bCs/>
                <w:color w:val="auto"/>
                <w:highlight w:val="none"/>
              </w:rPr>
              <w:t>1、大气环境质量现状</w:t>
            </w:r>
          </w:p>
          <w:p w14:paraId="493357C4">
            <w:pPr>
              <w:pStyle w:val="11"/>
              <w:bidi w:val="0"/>
              <w:rPr>
                <w:color w:val="auto"/>
                <w:highlight w:val="none"/>
              </w:rPr>
            </w:pPr>
            <w:bookmarkStart w:id="2" w:name="_Toc255802213"/>
            <w:bookmarkStart w:id="3" w:name="_Toc419232626"/>
            <w:r>
              <w:rPr>
                <w:color w:val="auto"/>
                <w:highlight w:val="none"/>
              </w:rPr>
              <w:t>（1）区域环境空气质量达标判定</w:t>
            </w:r>
          </w:p>
          <w:bookmarkEnd w:id="2"/>
          <w:p w14:paraId="61B164A8">
            <w:pPr>
              <w:pStyle w:val="11"/>
              <w:bidi w:val="0"/>
              <w:rPr>
                <w:color w:val="auto"/>
                <w:highlight w:val="none"/>
              </w:rPr>
            </w:pPr>
            <w:r>
              <w:rPr>
                <w:color w:val="auto"/>
                <w:highlight w:val="none"/>
              </w:rPr>
              <w:t>根据环境影响评价技术导则大气环境（HJ2.2-2018），基本污染物环境质量现状数据优先采用国家或地方生态环境主管部门公开发布的评价基准年环境质量公告或环境质量报告中的数据或结论</w:t>
            </w:r>
            <w:bookmarkStart w:id="4" w:name="_Hlk108535044"/>
            <w:r>
              <w:rPr>
                <w:rFonts w:hint="eastAsia"/>
                <w:color w:val="auto"/>
                <w:highlight w:val="none"/>
                <w:lang w:eastAsia="zh-CN"/>
              </w:rPr>
              <w:t>。</w:t>
            </w:r>
            <w:r>
              <w:rPr>
                <w:color w:val="auto"/>
                <w:highlight w:val="none"/>
              </w:rPr>
              <w:t>根据陕西省生态环境厅202</w:t>
            </w:r>
            <w:r>
              <w:rPr>
                <w:rFonts w:hint="eastAsia"/>
                <w:color w:val="auto"/>
                <w:highlight w:val="none"/>
                <w:lang w:val="en-US" w:eastAsia="zh-CN"/>
              </w:rPr>
              <w:t>5</w:t>
            </w:r>
            <w:r>
              <w:rPr>
                <w:color w:val="auto"/>
                <w:highlight w:val="none"/>
              </w:rPr>
              <w:t>年1月</w:t>
            </w:r>
            <w:r>
              <w:rPr>
                <w:rFonts w:hint="eastAsia"/>
                <w:color w:val="auto"/>
                <w:highlight w:val="none"/>
                <w:lang w:val="en-US" w:eastAsia="zh-CN"/>
              </w:rPr>
              <w:t>21</w:t>
            </w:r>
            <w:r>
              <w:rPr>
                <w:color w:val="auto"/>
                <w:highlight w:val="none"/>
              </w:rPr>
              <w:t>日发布的《202</w:t>
            </w:r>
            <w:r>
              <w:rPr>
                <w:rFonts w:hint="eastAsia"/>
                <w:color w:val="auto"/>
                <w:highlight w:val="none"/>
                <w:lang w:val="en-US" w:eastAsia="zh-CN"/>
              </w:rPr>
              <w:t>4</w:t>
            </w:r>
            <w:r>
              <w:rPr>
                <w:color w:val="auto"/>
                <w:highlight w:val="none"/>
              </w:rPr>
              <w:t>年12月及1~12月全省环境空气质量状况》附表</w:t>
            </w:r>
            <w:r>
              <w:rPr>
                <w:rFonts w:hint="eastAsia"/>
                <w:color w:val="auto"/>
                <w:highlight w:val="none"/>
                <w:lang w:val="en-US" w:eastAsia="zh-CN"/>
              </w:rPr>
              <w:t>6</w:t>
            </w:r>
            <w:r>
              <w:rPr>
                <w:color w:val="auto"/>
                <w:highlight w:val="none"/>
              </w:rPr>
              <w:t>中202</w:t>
            </w:r>
            <w:r>
              <w:rPr>
                <w:rFonts w:hint="eastAsia"/>
                <w:color w:val="auto"/>
                <w:highlight w:val="none"/>
                <w:lang w:val="en-US" w:eastAsia="zh-CN"/>
              </w:rPr>
              <w:t>4</w:t>
            </w:r>
            <w:r>
              <w:rPr>
                <w:color w:val="auto"/>
                <w:highlight w:val="none"/>
              </w:rPr>
              <w:t>年1月~12月陕南地区32个县（区）空气质量状况统计表中汉中市洋县数据，统计结果见下表3-1。</w:t>
            </w:r>
          </w:p>
          <w:bookmarkEnd w:id="4"/>
          <w:p w14:paraId="491F9114">
            <w:pPr>
              <w:pStyle w:val="32"/>
              <w:bidi w:val="0"/>
              <w:rPr>
                <w:color w:val="auto"/>
                <w:highlight w:val="none"/>
              </w:rPr>
            </w:pPr>
            <w:bookmarkStart w:id="5" w:name="_Hlk108535078"/>
            <w:r>
              <w:rPr>
                <w:color w:val="auto"/>
                <w:highlight w:val="none"/>
              </w:rPr>
              <w:t>表3-1</w:t>
            </w:r>
            <w:r>
              <w:rPr>
                <w:rFonts w:hint="eastAsia"/>
                <w:color w:val="auto"/>
                <w:highlight w:val="none"/>
                <w:lang w:val="en-US" w:eastAsia="zh-CN"/>
              </w:rPr>
              <w:t xml:space="preserve">     </w:t>
            </w:r>
            <w:r>
              <w:rPr>
                <w:color w:val="auto"/>
                <w:highlight w:val="none"/>
              </w:rPr>
              <w:t>区域空气质量现状评级表单位：μg/m3</w:t>
            </w:r>
          </w:p>
          <w:tbl>
            <w:tblPr>
              <w:tblStyle w:val="26"/>
              <w:tblW w:w="491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243"/>
              <w:gridCol w:w="1428"/>
              <w:gridCol w:w="1296"/>
              <w:gridCol w:w="997"/>
            </w:tblGrid>
            <w:tr w14:paraId="4832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29F7F236">
                  <w:pPr>
                    <w:adjustRightInd w:val="0"/>
                    <w:snapToGrid w:val="0"/>
                    <w:jc w:val="center"/>
                    <w:rPr>
                      <w:b/>
                      <w:bCs/>
                      <w:color w:val="auto"/>
                      <w:highlight w:val="none"/>
                    </w:rPr>
                  </w:pPr>
                  <w:r>
                    <w:rPr>
                      <w:b/>
                      <w:bCs/>
                      <w:color w:val="auto"/>
                      <w:highlight w:val="none"/>
                    </w:rPr>
                    <w:t>污染物</w:t>
                  </w:r>
                </w:p>
              </w:tc>
              <w:tc>
                <w:tcPr>
                  <w:tcW w:w="2064" w:type="pct"/>
                  <w:noWrap w:val="0"/>
                  <w:vAlign w:val="center"/>
                </w:tcPr>
                <w:p w14:paraId="2BD00308">
                  <w:pPr>
                    <w:adjustRightInd w:val="0"/>
                    <w:snapToGrid w:val="0"/>
                    <w:jc w:val="center"/>
                    <w:rPr>
                      <w:b/>
                      <w:bCs/>
                      <w:color w:val="auto"/>
                      <w:highlight w:val="none"/>
                    </w:rPr>
                  </w:pPr>
                  <w:r>
                    <w:rPr>
                      <w:b/>
                      <w:bCs/>
                      <w:color w:val="auto"/>
                      <w:highlight w:val="none"/>
                    </w:rPr>
                    <w:t>年评价指标</w:t>
                  </w:r>
                </w:p>
              </w:tc>
              <w:tc>
                <w:tcPr>
                  <w:tcW w:w="909" w:type="pct"/>
                  <w:noWrap w:val="0"/>
                  <w:vAlign w:val="center"/>
                </w:tcPr>
                <w:p w14:paraId="5932A50E">
                  <w:pPr>
                    <w:adjustRightInd w:val="0"/>
                    <w:snapToGrid w:val="0"/>
                    <w:jc w:val="center"/>
                    <w:rPr>
                      <w:b/>
                      <w:bCs/>
                      <w:color w:val="auto"/>
                      <w:highlight w:val="none"/>
                    </w:rPr>
                  </w:pPr>
                  <w:r>
                    <w:rPr>
                      <w:b/>
                      <w:bCs/>
                      <w:color w:val="auto"/>
                      <w:highlight w:val="none"/>
                    </w:rPr>
                    <w:t>现状浓度</w:t>
                  </w:r>
                </w:p>
              </w:tc>
              <w:tc>
                <w:tcPr>
                  <w:tcW w:w="825" w:type="pct"/>
                  <w:noWrap w:val="0"/>
                  <w:vAlign w:val="center"/>
                </w:tcPr>
                <w:p w14:paraId="176265ED">
                  <w:pPr>
                    <w:adjustRightInd w:val="0"/>
                    <w:snapToGrid w:val="0"/>
                    <w:jc w:val="center"/>
                    <w:rPr>
                      <w:b/>
                      <w:bCs/>
                      <w:color w:val="auto"/>
                      <w:highlight w:val="none"/>
                    </w:rPr>
                  </w:pPr>
                  <w:r>
                    <w:rPr>
                      <w:b/>
                      <w:bCs/>
                      <w:color w:val="auto"/>
                      <w:highlight w:val="none"/>
                    </w:rPr>
                    <w:t>标准值</w:t>
                  </w:r>
                </w:p>
              </w:tc>
              <w:tc>
                <w:tcPr>
                  <w:tcW w:w="635" w:type="pct"/>
                  <w:noWrap w:val="0"/>
                  <w:vAlign w:val="center"/>
                </w:tcPr>
                <w:p w14:paraId="3B5C0AC1">
                  <w:pPr>
                    <w:adjustRightInd w:val="0"/>
                    <w:snapToGrid w:val="0"/>
                    <w:jc w:val="center"/>
                    <w:rPr>
                      <w:b/>
                      <w:bCs/>
                      <w:color w:val="auto"/>
                      <w:highlight w:val="none"/>
                    </w:rPr>
                  </w:pPr>
                  <w:r>
                    <w:rPr>
                      <w:b/>
                      <w:bCs/>
                      <w:color w:val="auto"/>
                      <w:highlight w:val="none"/>
                    </w:rPr>
                    <w:t>达标情况</w:t>
                  </w:r>
                </w:p>
              </w:tc>
            </w:tr>
            <w:tr w14:paraId="4242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15D06B5E">
                  <w:pPr>
                    <w:adjustRightInd w:val="0"/>
                    <w:snapToGrid w:val="0"/>
                    <w:jc w:val="center"/>
                    <w:rPr>
                      <w:color w:val="auto"/>
                      <w:highlight w:val="none"/>
                    </w:rPr>
                  </w:pPr>
                  <w:r>
                    <w:rPr>
                      <w:color w:val="auto"/>
                      <w:highlight w:val="none"/>
                    </w:rPr>
                    <w:t>SO</w:t>
                  </w:r>
                  <w:r>
                    <w:rPr>
                      <w:color w:val="auto"/>
                      <w:highlight w:val="none"/>
                      <w:vertAlign w:val="subscript"/>
                    </w:rPr>
                    <w:t>2</w:t>
                  </w:r>
                </w:p>
              </w:tc>
              <w:tc>
                <w:tcPr>
                  <w:tcW w:w="2064" w:type="pct"/>
                  <w:noWrap w:val="0"/>
                  <w:vAlign w:val="center"/>
                </w:tcPr>
                <w:p w14:paraId="3B6B9BF7">
                  <w:pPr>
                    <w:adjustRightInd w:val="0"/>
                    <w:snapToGrid w:val="0"/>
                    <w:jc w:val="center"/>
                    <w:rPr>
                      <w:color w:val="auto"/>
                      <w:highlight w:val="none"/>
                    </w:rPr>
                  </w:pPr>
                  <w:r>
                    <w:rPr>
                      <w:color w:val="auto"/>
                      <w:highlight w:val="none"/>
                    </w:rPr>
                    <w:t>年平均质量浓度</w:t>
                  </w:r>
                </w:p>
              </w:tc>
              <w:tc>
                <w:tcPr>
                  <w:tcW w:w="909" w:type="pct"/>
                  <w:noWrap w:val="0"/>
                  <w:vAlign w:val="center"/>
                </w:tcPr>
                <w:p w14:paraId="73CE21FB">
                  <w:pPr>
                    <w:adjustRightInd w:val="0"/>
                    <w:snapToGrid w:val="0"/>
                    <w:jc w:val="center"/>
                    <w:rPr>
                      <w:rFonts w:hint="eastAsia"/>
                      <w:color w:val="auto"/>
                      <w:highlight w:val="none"/>
                      <w:lang w:val="en-US" w:eastAsia="zh-CN"/>
                    </w:rPr>
                  </w:pPr>
                  <w:r>
                    <w:rPr>
                      <w:rFonts w:hint="eastAsia"/>
                      <w:color w:val="auto"/>
                      <w:highlight w:val="none"/>
                      <w:lang w:val="en-US" w:eastAsia="zh-CN"/>
                    </w:rPr>
                    <w:t>7</w:t>
                  </w:r>
                </w:p>
              </w:tc>
              <w:tc>
                <w:tcPr>
                  <w:tcW w:w="825" w:type="pct"/>
                  <w:noWrap w:val="0"/>
                  <w:vAlign w:val="center"/>
                </w:tcPr>
                <w:p w14:paraId="677CA092">
                  <w:pPr>
                    <w:adjustRightInd w:val="0"/>
                    <w:snapToGrid w:val="0"/>
                    <w:jc w:val="center"/>
                    <w:rPr>
                      <w:color w:val="auto"/>
                      <w:highlight w:val="none"/>
                    </w:rPr>
                  </w:pPr>
                  <w:r>
                    <w:rPr>
                      <w:color w:val="auto"/>
                      <w:highlight w:val="none"/>
                    </w:rPr>
                    <w:t>60</w:t>
                  </w:r>
                </w:p>
              </w:tc>
              <w:tc>
                <w:tcPr>
                  <w:tcW w:w="635" w:type="pct"/>
                  <w:noWrap w:val="0"/>
                  <w:vAlign w:val="center"/>
                </w:tcPr>
                <w:p w14:paraId="1B1386C7">
                  <w:pPr>
                    <w:adjustRightInd w:val="0"/>
                    <w:snapToGrid w:val="0"/>
                    <w:jc w:val="center"/>
                    <w:rPr>
                      <w:color w:val="auto"/>
                      <w:highlight w:val="none"/>
                    </w:rPr>
                  </w:pPr>
                  <w:r>
                    <w:rPr>
                      <w:color w:val="auto"/>
                      <w:highlight w:val="none"/>
                    </w:rPr>
                    <w:t>达标</w:t>
                  </w:r>
                </w:p>
              </w:tc>
            </w:tr>
            <w:tr w14:paraId="7B99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042851A9">
                  <w:pPr>
                    <w:adjustRightInd w:val="0"/>
                    <w:snapToGrid w:val="0"/>
                    <w:jc w:val="center"/>
                    <w:rPr>
                      <w:color w:val="auto"/>
                      <w:highlight w:val="none"/>
                    </w:rPr>
                  </w:pPr>
                  <w:r>
                    <w:rPr>
                      <w:color w:val="auto"/>
                      <w:highlight w:val="none"/>
                    </w:rPr>
                    <w:t>NO</w:t>
                  </w:r>
                  <w:r>
                    <w:rPr>
                      <w:color w:val="auto"/>
                      <w:highlight w:val="none"/>
                      <w:vertAlign w:val="subscript"/>
                    </w:rPr>
                    <w:t>2</w:t>
                  </w:r>
                </w:p>
              </w:tc>
              <w:tc>
                <w:tcPr>
                  <w:tcW w:w="2064" w:type="pct"/>
                  <w:noWrap w:val="0"/>
                  <w:vAlign w:val="center"/>
                </w:tcPr>
                <w:p w14:paraId="2BB4B9B3">
                  <w:pPr>
                    <w:adjustRightInd w:val="0"/>
                    <w:snapToGrid w:val="0"/>
                    <w:jc w:val="center"/>
                    <w:rPr>
                      <w:color w:val="auto"/>
                      <w:highlight w:val="none"/>
                    </w:rPr>
                  </w:pPr>
                  <w:r>
                    <w:rPr>
                      <w:color w:val="auto"/>
                      <w:highlight w:val="none"/>
                    </w:rPr>
                    <w:t>年平均质量浓度</w:t>
                  </w:r>
                </w:p>
              </w:tc>
              <w:tc>
                <w:tcPr>
                  <w:tcW w:w="909" w:type="pct"/>
                  <w:noWrap w:val="0"/>
                  <w:vAlign w:val="center"/>
                </w:tcPr>
                <w:p w14:paraId="41756A4B">
                  <w:pPr>
                    <w:adjustRightInd w:val="0"/>
                    <w:snapToGrid w:val="0"/>
                    <w:jc w:val="center"/>
                    <w:rPr>
                      <w:rFonts w:hint="default"/>
                      <w:color w:val="auto"/>
                      <w:highlight w:val="none"/>
                      <w:lang w:val="en-US" w:eastAsia="zh-CN"/>
                    </w:rPr>
                  </w:pPr>
                  <w:r>
                    <w:rPr>
                      <w:rFonts w:hint="eastAsia"/>
                      <w:color w:val="auto"/>
                      <w:highlight w:val="none"/>
                      <w:lang w:val="en-US" w:eastAsia="zh-CN"/>
                    </w:rPr>
                    <w:t>14</w:t>
                  </w:r>
                </w:p>
              </w:tc>
              <w:tc>
                <w:tcPr>
                  <w:tcW w:w="825" w:type="pct"/>
                  <w:noWrap w:val="0"/>
                  <w:vAlign w:val="center"/>
                </w:tcPr>
                <w:p w14:paraId="77C4B22A">
                  <w:pPr>
                    <w:adjustRightInd w:val="0"/>
                    <w:snapToGrid w:val="0"/>
                    <w:jc w:val="center"/>
                    <w:rPr>
                      <w:color w:val="auto"/>
                      <w:highlight w:val="none"/>
                    </w:rPr>
                  </w:pPr>
                  <w:r>
                    <w:rPr>
                      <w:color w:val="auto"/>
                      <w:highlight w:val="none"/>
                    </w:rPr>
                    <w:t>40</w:t>
                  </w:r>
                </w:p>
              </w:tc>
              <w:tc>
                <w:tcPr>
                  <w:tcW w:w="635" w:type="pct"/>
                  <w:noWrap w:val="0"/>
                  <w:vAlign w:val="center"/>
                </w:tcPr>
                <w:p w14:paraId="36286944">
                  <w:pPr>
                    <w:adjustRightInd w:val="0"/>
                    <w:snapToGrid w:val="0"/>
                    <w:jc w:val="center"/>
                    <w:rPr>
                      <w:color w:val="auto"/>
                      <w:highlight w:val="none"/>
                    </w:rPr>
                  </w:pPr>
                  <w:r>
                    <w:rPr>
                      <w:color w:val="auto"/>
                      <w:highlight w:val="none"/>
                    </w:rPr>
                    <w:t>达标</w:t>
                  </w:r>
                </w:p>
              </w:tc>
            </w:tr>
            <w:tr w14:paraId="69F55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6CCE0EF0">
                  <w:pPr>
                    <w:adjustRightInd w:val="0"/>
                    <w:snapToGrid w:val="0"/>
                    <w:jc w:val="center"/>
                    <w:rPr>
                      <w:color w:val="auto"/>
                      <w:highlight w:val="none"/>
                    </w:rPr>
                  </w:pPr>
                  <w:r>
                    <w:rPr>
                      <w:color w:val="auto"/>
                      <w:highlight w:val="none"/>
                    </w:rPr>
                    <w:t>PM</w:t>
                  </w:r>
                  <w:r>
                    <w:rPr>
                      <w:color w:val="auto"/>
                      <w:highlight w:val="none"/>
                      <w:vertAlign w:val="subscript"/>
                    </w:rPr>
                    <w:t>10</w:t>
                  </w:r>
                </w:p>
              </w:tc>
              <w:tc>
                <w:tcPr>
                  <w:tcW w:w="2064" w:type="pct"/>
                  <w:noWrap w:val="0"/>
                  <w:vAlign w:val="center"/>
                </w:tcPr>
                <w:p w14:paraId="0E36FA62">
                  <w:pPr>
                    <w:adjustRightInd w:val="0"/>
                    <w:snapToGrid w:val="0"/>
                    <w:jc w:val="center"/>
                    <w:rPr>
                      <w:color w:val="auto"/>
                      <w:highlight w:val="none"/>
                    </w:rPr>
                  </w:pPr>
                  <w:r>
                    <w:rPr>
                      <w:color w:val="auto"/>
                      <w:highlight w:val="none"/>
                    </w:rPr>
                    <w:t>年平均质量浓度</w:t>
                  </w:r>
                </w:p>
              </w:tc>
              <w:tc>
                <w:tcPr>
                  <w:tcW w:w="909" w:type="pct"/>
                  <w:noWrap w:val="0"/>
                  <w:vAlign w:val="center"/>
                </w:tcPr>
                <w:p w14:paraId="4FCF4507">
                  <w:pPr>
                    <w:adjustRightInd w:val="0"/>
                    <w:snapToGrid w:val="0"/>
                    <w:jc w:val="center"/>
                    <w:rPr>
                      <w:rFonts w:hint="default"/>
                      <w:color w:val="auto"/>
                      <w:highlight w:val="none"/>
                      <w:lang w:val="en-US" w:eastAsia="zh-CN"/>
                    </w:rPr>
                  </w:pPr>
                  <w:r>
                    <w:rPr>
                      <w:rFonts w:hint="eastAsia"/>
                      <w:color w:val="auto"/>
                      <w:highlight w:val="none"/>
                      <w:lang w:val="en-US" w:eastAsia="zh-CN"/>
                    </w:rPr>
                    <w:t>40</w:t>
                  </w:r>
                </w:p>
              </w:tc>
              <w:tc>
                <w:tcPr>
                  <w:tcW w:w="825" w:type="pct"/>
                  <w:noWrap w:val="0"/>
                  <w:vAlign w:val="center"/>
                </w:tcPr>
                <w:p w14:paraId="1A0482C8">
                  <w:pPr>
                    <w:adjustRightInd w:val="0"/>
                    <w:snapToGrid w:val="0"/>
                    <w:jc w:val="center"/>
                    <w:rPr>
                      <w:rFonts w:hint="default" w:eastAsia="宋体"/>
                      <w:color w:val="auto"/>
                      <w:highlight w:val="none"/>
                      <w:lang w:val="en-US" w:eastAsia="zh-CN"/>
                    </w:rPr>
                  </w:pPr>
                  <w:r>
                    <w:rPr>
                      <w:rFonts w:hint="eastAsia"/>
                      <w:color w:val="auto"/>
                      <w:highlight w:val="none"/>
                      <w:lang w:val="en-US" w:eastAsia="zh-CN"/>
                    </w:rPr>
                    <w:t>60</w:t>
                  </w:r>
                </w:p>
              </w:tc>
              <w:tc>
                <w:tcPr>
                  <w:tcW w:w="635" w:type="pct"/>
                  <w:noWrap w:val="0"/>
                  <w:vAlign w:val="center"/>
                </w:tcPr>
                <w:p w14:paraId="0F21F9AE">
                  <w:pPr>
                    <w:adjustRightInd w:val="0"/>
                    <w:snapToGrid w:val="0"/>
                    <w:jc w:val="center"/>
                    <w:rPr>
                      <w:color w:val="auto"/>
                      <w:highlight w:val="none"/>
                    </w:rPr>
                  </w:pPr>
                  <w:r>
                    <w:rPr>
                      <w:color w:val="auto"/>
                      <w:highlight w:val="none"/>
                    </w:rPr>
                    <w:t>达标</w:t>
                  </w:r>
                </w:p>
              </w:tc>
            </w:tr>
            <w:tr w14:paraId="4DA92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1B52D7BE">
                  <w:pPr>
                    <w:adjustRightInd w:val="0"/>
                    <w:snapToGrid w:val="0"/>
                    <w:jc w:val="center"/>
                    <w:rPr>
                      <w:color w:val="auto"/>
                      <w:highlight w:val="none"/>
                    </w:rPr>
                  </w:pPr>
                  <w:r>
                    <w:rPr>
                      <w:color w:val="auto"/>
                      <w:highlight w:val="none"/>
                    </w:rPr>
                    <w:t>PM</w:t>
                  </w:r>
                  <w:r>
                    <w:rPr>
                      <w:color w:val="auto"/>
                      <w:highlight w:val="none"/>
                      <w:vertAlign w:val="subscript"/>
                    </w:rPr>
                    <w:t>2.5</w:t>
                  </w:r>
                </w:p>
              </w:tc>
              <w:tc>
                <w:tcPr>
                  <w:tcW w:w="2064" w:type="pct"/>
                  <w:noWrap w:val="0"/>
                  <w:vAlign w:val="center"/>
                </w:tcPr>
                <w:p w14:paraId="13C9C194">
                  <w:pPr>
                    <w:adjustRightInd w:val="0"/>
                    <w:snapToGrid w:val="0"/>
                    <w:jc w:val="center"/>
                    <w:rPr>
                      <w:color w:val="auto"/>
                      <w:highlight w:val="none"/>
                    </w:rPr>
                  </w:pPr>
                  <w:r>
                    <w:rPr>
                      <w:color w:val="auto"/>
                      <w:highlight w:val="none"/>
                    </w:rPr>
                    <w:t>年平均质量浓度</w:t>
                  </w:r>
                </w:p>
              </w:tc>
              <w:tc>
                <w:tcPr>
                  <w:tcW w:w="909" w:type="pct"/>
                  <w:noWrap w:val="0"/>
                  <w:vAlign w:val="center"/>
                </w:tcPr>
                <w:p w14:paraId="2709CB74">
                  <w:pPr>
                    <w:adjustRightInd w:val="0"/>
                    <w:snapToGrid w:val="0"/>
                    <w:jc w:val="center"/>
                    <w:rPr>
                      <w:rFonts w:hint="default"/>
                      <w:color w:val="auto"/>
                      <w:highlight w:val="none"/>
                      <w:lang w:val="en-US" w:eastAsia="zh-CN"/>
                    </w:rPr>
                  </w:pPr>
                  <w:r>
                    <w:rPr>
                      <w:rFonts w:hint="eastAsia"/>
                      <w:color w:val="auto"/>
                      <w:highlight w:val="none"/>
                      <w:lang w:val="en-US" w:eastAsia="zh-CN"/>
                    </w:rPr>
                    <w:t>27</w:t>
                  </w:r>
                </w:p>
              </w:tc>
              <w:tc>
                <w:tcPr>
                  <w:tcW w:w="825" w:type="pct"/>
                  <w:noWrap w:val="0"/>
                  <w:vAlign w:val="center"/>
                </w:tcPr>
                <w:p w14:paraId="1AB903E0">
                  <w:pPr>
                    <w:adjustRightInd w:val="0"/>
                    <w:snapToGrid w:val="0"/>
                    <w:jc w:val="center"/>
                    <w:rPr>
                      <w:rFonts w:hint="default" w:eastAsia="宋体"/>
                      <w:color w:val="auto"/>
                      <w:highlight w:val="none"/>
                      <w:lang w:val="en-US" w:eastAsia="zh-CN"/>
                    </w:rPr>
                  </w:pPr>
                  <w:r>
                    <w:rPr>
                      <w:rFonts w:hint="eastAsia"/>
                      <w:color w:val="auto"/>
                      <w:highlight w:val="none"/>
                      <w:lang w:val="en-US" w:eastAsia="zh-CN"/>
                    </w:rPr>
                    <w:t>30</w:t>
                  </w:r>
                </w:p>
              </w:tc>
              <w:tc>
                <w:tcPr>
                  <w:tcW w:w="635" w:type="pct"/>
                  <w:noWrap w:val="0"/>
                  <w:vAlign w:val="center"/>
                </w:tcPr>
                <w:p w14:paraId="23215229">
                  <w:pPr>
                    <w:adjustRightInd w:val="0"/>
                    <w:snapToGrid w:val="0"/>
                    <w:jc w:val="center"/>
                    <w:rPr>
                      <w:color w:val="auto"/>
                      <w:highlight w:val="none"/>
                    </w:rPr>
                  </w:pPr>
                  <w:r>
                    <w:rPr>
                      <w:color w:val="auto"/>
                      <w:highlight w:val="none"/>
                    </w:rPr>
                    <w:t>达标</w:t>
                  </w:r>
                </w:p>
              </w:tc>
            </w:tr>
            <w:tr w14:paraId="0D9E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4E9A9C09">
                  <w:pPr>
                    <w:adjustRightInd w:val="0"/>
                    <w:snapToGrid w:val="0"/>
                    <w:jc w:val="center"/>
                    <w:rPr>
                      <w:color w:val="auto"/>
                      <w:highlight w:val="none"/>
                    </w:rPr>
                  </w:pPr>
                  <w:r>
                    <w:rPr>
                      <w:color w:val="auto"/>
                      <w:highlight w:val="none"/>
                    </w:rPr>
                    <w:t>CO</w:t>
                  </w:r>
                </w:p>
              </w:tc>
              <w:tc>
                <w:tcPr>
                  <w:tcW w:w="2064" w:type="pct"/>
                  <w:noWrap w:val="0"/>
                  <w:vAlign w:val="center"/>
                </w:tcPr>
                <w:p w14:paraId="231E79AB">
                  <w:pPr>
                    <w:adjustRightInd w:val="0"/>
                    <w:snapToGrid w:val="0"/>
                    <w:jc w:val="center"/>
                    <w:rPr>
                      <w:color w:val="auto"/>
                      <w:highlight w:val="none"/>
                    </w:rPr>
                  </w:pPr>
                  <w:r>
                    <w:rPr>
                      <w:color w:val="auto"/>
                      <w:highlight w:val="none"/>
                    </w:rPr>
                    <w:t>日平均第95百分位浓度</w:t>
                  </w:r>
                </w:p>
              </w:tc>
              <w:tc>
                <w:tcPr>
                  <w:tcW w:w="909" w:type="pct"/>
                  <w:noWrap w:val="0"/>
                  <w:vAlign w:val="center"/>
                </w:tcPr>
                <w:p w14:paraId="33383620">
                  <w:pPr>
                    <w:adjustRightInd w:val="0"/>
                    <w:snapToGrid w:val="0"/>
                    <w:jc w:val="center"/>
                    <w:rPr>
                      <w:rFonts w:hint="default"/>
                      <w:color w:val="auto"/>
                      <w:highlight w:val="none"/>
                      <w:lang w:val="en-US" w:eastAsia="zh-CN"/>
                    </w:rPr>
                  </w:pPr>
                  <w:r>
                    <w:rPr>
                      <w:rFonts w:hint="eastAsia"/>
                      <w:color w:val="auto"/>
                      <w:highlight w:val="none"/>
                      <w:lang w:val="en-US" w:eastAsia="zh-CN"/>
                    </w:rPr>
                    <w:t>1200</w:t>
                  </w:r>
                </w:p>
              </w:tc>
              <w:tc>
                <w:tcPr>
                  <w:tcW w:w="825" w:type="pct"/>
                  <w:noWrap w:val="0"/>
                  <w:vAlign w:val="center"/>
                </w:tcPr>
                <w:p w14:paraId="596E999B">
                  <w:pPr>
                    <w:adjustRightInd w:val="0"/>
                    <w:snapToGrid w:val="0"/>
                    <w:jc w:val="center"/>
                    <w:rPr>
                      <w:color w:val="auto"/>
                      <w:highlight w:val="none"/>
                    </w:rPr>
                  </w:pPr>
                  <w:r>
                    <w:rPr>
                      <w:color w:val="auto"/>
                      <w:highlight w:val="none"/>
                    </w:rPr>
                    <w:t>4000</w:t>
                  </w:r>
                </w:p>
              </w:tc>
              <w:tc>
                <w:tcPr>
                  <w:tcW w:w="635" w:type="pct"/>
                  <w:noWrap w:val="0"/>
                  <w:vAlign w:val="center"/>
                </w:tcPr>
                <w:p w14:paraId="02BCD9B8">
                  <w:pPr>
                    <w:adjustRightInd w:val="0"/>
                    <w:snapToGrid w:val="0"/>
                    <w:jc w:val="center"/>
                    <w:rPr>
                      <w:color w:val="auto"/>
                      <w:highlight w:val="none"/>
                    </w:rPr>
                  </w:pPr>
                  <w:r>
                    <w:rPr>
                      <w:color w:val="auto"/>
                      <w:highlight w:val="none"/>
                    </w:rPr>
                    <w:t>达标</w:t>
                  </w:r>
                </w:p>
              </w:tc>
            </w:tr>
            <w:tr w14:paraId="35355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67" w:type="pct"/>
                  <w:noWrap w:val="0"/>
                  <w:vAlign w:val="center"/>
                </w:tcPr>
                <w:p w14:paraId="5E62FB8F">
                  <w:pPr>
                    <w:adjustRightInd w:val="0"/>
                    <w:snapToGrid w:val="0"/>
                    <w:jc w:val="center"/>
                    <w:rPr>
                      <w:color w:val="auto"/>
                      <w:highlight w:val="none"/>
                    </w:rPr>
                  </w:pPr>
                  <w:r>
                    <w:rPr>
                      <w:color w:val="auto"/>
                      <w:highlight w:val="none"/>
                    </w:rPr>
                    <w:t>O</w:t>
                  </w:r>
                  <w:r>
                    <w:rPr>
                      <w:color w:val="auto"/>
                      <w:highlight w:val="none"/>
                      <w:vertAlign w:val="subscript"/>
                    </w:rPr>
                    <w:t>3</w:t>
                  </w:r>
                </w:p>
              </w:tc>
              <w:tc>
                <w:tcPr>
                  <w:tcW w:w="2064" w:type="pct"/>
                  <w:noWrap w:val="0"/>
                  <w:vAlign w:val="center"/>
                </w:tcPr>
                <w:p w14:paraId="08D4FEBC">
                  <w:pPr>
                    <w:adjustRightInd w:val="0"/>
                    <w:snapToGrid w:val="0"/>
                    <w:jc w:val="center"/>
                    <w:rPr>
                      <w:color w:val="auto"/>
                      <w:highlight w:val="none"/>
                    </w:rPr>
                  </w:pPr>
                  <w:r>
                    <w:rPr>
                      <w:color w:val="auto"/>
                      <w:highlight w:val="none"/>
                    </w:rPr>
                    <w:t>日最大8小时平均第90百分位浓度</w:t>
                  </w:r>
                </w:p>
              </w:tc>
              <w:tc>
                <w:tcPr>
                  <w:tcW w:w="909" w:type="pct"/>
                  <w:noWrap w:val="0"/>
                  <w:vAlign w:val="center"/>
                </w:tcPr>
                <w:p w14:paraId="39B98A23">
                  <w:pPr>
                    <w:adjustRightInd w:val="0"/>
                    <w:snapToGrid w:val="0"/>
                    <w:jc w:val="center"/>
                    <w:rPr>
                      <w:rFonts w:hint="default"/>
                      <w:color w:val="auto"/>
                      <w:highlight w:val="none"/>
                      <w:lang w:val="en-US" w:eastAsia="zh-CN"/>
                    </w:rPr>
                  </w:pPr>
                  <w:r>
                    <w:rPr>
                      <w:rFonts w:hint="eastAsia"/>
                      <w:color w:val="auto"/>
                      <w:highlight w:val="none"/>
                      <w:lang w:val="en-US" w:eastAsia="zh-CN"/>
                    </w:rPr>
                    <w:t>118</w:t>
                  </w:r>
                </w:p>
              </w:tc>
              <w:tc>
                <w:tcPr>
                  <w:tcW w:w="825" w:type="pct"/>
                  <w:noWrap w:val="0"/>
                  <w:vAlign w:val="center"/>
                </w:tcPr>
                <w:p w14:paraId="54DF7C1F">
                  <w:pPr>
                    <w:adjustRightInd w:val="0"/>
                    <w:snapToGrid w:val="0"/>
                    <w:jc w:val="center"/>
                    <w:rPr>
                      <w:color w:val="auto"/>
                      <w:highlight w:val="none"/>
                    </w:rPr>
                  </w:pPr>
                  <w:r>
                    <w:rPr>
                      <w:color w:val="auto"/>
                      <w:highlight w:val="none"/>
                    </w:rPr>
                    <w:t>160</w:t>
                  </w:r>
                </w:p>
              </w:tc>
              <w:tc>
                <w:tcPr>
                  <w:tcW w:w="635" w:type="pct"/>
                  <w:noWrap w:val="0"/>
                  <w:vAlign w:val="center"/>
                </w:tcPr>
                <w:p w14:paraId="170FD576">
                  <w:pPr>
                    <w:adjustRightInd w:val="0"/>
                    <w:snapToGrid w:val="0"/>
                    <w:jc w:val="center"/>
                    <w:rPr>
                      <w:color w:val="auto"/>
                      <w:highlight w:val="none"/>
                    </w:rPr>
                  </w:pPr>
                  <w:r>
                    <w:rPr>
                      <w:color w:val="auto"/>
                      <w:highlight w:val="none"/>
                    </w:rPr>
                    <w:t>达标</w:t>
                  </w:r>
                </w:p>
              </w:tc>
            </w:tr>
            <w:bookmarkEnd w:id="5"/>
          </w:tbl>
          <w:p w14:paraId="7BD23563">
            <w:pPr>
              <w:pStyle w:val="11"/>
              <w:bidi w:val="0"/>
              <w:rPr>
                <w:color w:val="auto"/>
                <w:highlight w:val="none"/>
              </w:rPr>
            </w:pPr>
            <w:r>
              <w:rPr>
                <w:rFonts w:hint="eastAsia"/>
                <w:color w:val="auto"/>
                <w:highlight w:val="none"/>
              </w:rPr>
              <w:t>由上表可知，</w:t>
            </w:r>
            <w:r>
              <w:rPr>
                <w:rFonts w:hint="eastAsia"/>
                <w:color w:val="auto"/>
                <w:highlight w:val="none"/>
                <w:lang w:val="en-US" w:eastAsia="zh-CN"/>
              </w:rPr>
              <w:t>洋县</w:t>
            </w:r>
            <w:r>
              <w:rPr>
                <w:rFonts w:hint="eastAsia"/>
                <w:color w:val="auto"/>
                <w:highlight w:val="none"/>
              </w:rPr>
              <w:t>SO</w:t>
            </w:r>
            <w:r>
              <w:rPr>
                <w:rFonts w:hint="eastAsia"/>
                <w:color w:val="auto"/>
                <w:highlight w:val="none"/>
                <w:vertAlign w:val="subscript"/>
              </w:rPr>
              <w:t>2</w:t>
            </w:r>
            <w:r>
              <w:rPr>
                <w:rFonts w:hint="eastAsia"/>
                <w:color w:val="auto"/>
                <w:highlight w:val="none"/>
              </w:rPr>
              <w:t>、NO</w:t>
            </w:r>
            <w:r>
              <w:rPr>
                <w:rFonts w:hint="eastAsia"/>
                <w:color w:val="auto"/>
                <w:highlight w:val="none"/>
                <w:vertAlign w:val="subscript"/>
              </w:rPr>
              <w:t>2</w:t>
            </w:r>
            <w:r>
              <w:rPr>
                <w:rFonts w:hint="eastAsia"/>
                <w:color w:val="auto"/>
                <w:highlight w:val="none"/>
              </w:rPr>
              <w:t>、PM</w:t>
            </w:r>
            <w:r>
              <w:rPr>
                <w:rFonts w:hint="eastAsia"/>
                <w:color w:val="auto"/>
                <w:highlight w:val="none"/>
                <w:vertAlign w:val="subscript"/>
              </w:rPr>
              <w:t>10</w:t>
            </w:r>
            <w:r>
              <w:rPr>
                <w:rFonts w:hint="eastAsia"/>
                <w:color w:val="auto"/>
                <w:highlight w:val="none"/>
              </w:rPr>
              <w:t>、PM</w:t>
            </w:r>
            <w:r>
              <w:rPr>
                <w:rFonts w:hint="eastAsia"/>
                <w:color w:val="auto"/>
                <w:highlight w:val="none"/>
                <w:vertAlign w:val="subscript"/>
              </w:rPr>
              <w:t>2.5</w:t>
            </w:r>
            <w:r>
              <w:rPr>
                <w:rFonts w:hint="eastAsia"/>
                <w:color w:val="auto"/>
                <w:highlight w:val="none"/>
              </w:rPr>
              <w:t>年平均质量浓度、CO第95百分位数日平均质量浓度和O</w:t>
            </w:r>
            <w:r>
              <w:rPr>
                <w:rFonts w:hint="eastAsia"/>
                <w:color w:val="auto"/>
                <w:highlight w:val="none"/>
                <w:vertAlign w:val="subscript"/>
              </w:rPr>
              <w:t>3</w:t>
            </w:r>
            <w:r>
              <w:rPr>
                <w:rFonts w:hint="eastAsia"/>
                <w:color w:val="auto"/>
                <w:highlight w:val="none"/>
              </w:rPr>
              <w:t>第90百分位数日最大8小时平均质量浓度满足《环境空气质量标准》（GB3095-20</w:t>
            </w:r>
            <w:r>
              <w:rPr>
                <w:rFonts w:hint="eastAsia"/>
                <w:color w:val="auto"/>
                <w:highlight w:val="none"/>
                <w:lang w:val="en-US" w:eastAsia="zh-CN"/>
              </w:rPr>
              <w:t>26</w:t>
            </w:r>
            <w:r>
              <w:rPr>
                <w:rFonts w:hint="eastAsia"/>
                <w:color w:val="auto"/>
                <w:highlight w:val="none"/>
              </w:rPr>
              <w:t>）</w:t>
            </w:r>
            <w:r>
              <w:rPr>
                <w:rFonts w:hint="eastAsia"/>
                <w:color w:val="auto"/>
                <w:highlight w:val="none"/>
                <w:lang w:val="en-US" w:eastAsia="zh-CN"/>
              </w:rPr>
              <w:t>中</w:t>
            </w:r>
            <w:r>
              <w:rPr>
                <w:rFonts w:hint="eastAsia"/>
                <w:color w:val="auto"/>
                <w:highlight w:val="none"/>
              </w:rPr>
              <w:t>过渡阶段二级标准的浓度限值要求。</w:t>
            </w:r>
            <w:r>
              <w:rPr>
                <w:color w:val="auto"/>
                <w:highlight w:val="none"/>
              </w:rPr>
              <w:t>因此，项目所在区域为环境空气质量达标区。</w:t>
            </w:r>
          </w:p>
          <w:p w14:paraId="71832145">
            <w:pPr>
              <w:pStyle w:val="11"/>
              <w:bidi w:val="0"/>
              <w:rPr>
                <w:color w:val="auto"/>
                <w:highlight w:val="none"/>
              </w:rPr>
            </w:pPr>
            <w:r>
              <w:rPr>
                <w:color w:val="auto"/>
                <w:highlight w:val="none"/>
              </w:rPr>
              <w:t>（2）特征污染物监测</w:t>
            </w:r>
          </w:p>
          <w:p w14:paraId="11CB3E3B">
            <w:pPr>
              <w:pStyle w:val="11"/>
              <w:bidi w:val="0"/>
              <w:rPr>
                <w:rFonts w:hint="default" w:eastAsia="宋体"/>
                <w:color w:val="auto"/>
                <w:highlight w:val="none"/>
                <w:lang w:val="en-US" w:eastAsia="zh-CN"/>
              </w:rPr>
            </w:pPr>
            <w:r>
              <w:rPr>
                <w:color w:val="auto"/>
                <w:sz w:val="24"/>
                <w:highlight w:val="none"/>
              </w:rPr>
              <w:t>本项目运营期主要</w:t>
            </w:r>
            <w:r>
              <w:rPr>
                <w:color w:val="auto"/>
                <w:highlight w:val="none"/>
              </w:rPr>
              <w:t>特征污染物</w:t>
            </w:r>
            <w:r>
              <w:rPr>
                <w:color w:val="auto"/>
                <w:sz w:val="24"/>
                <w:highlight w:val="none"/>
              </w:rPr>
              <w:t>为</w:t>
            </w:r>
            <w:r>
              <w:rPr>
                <w:rFonts w:hint="eastAsia"/>
                <w:color w:val="auto"/>
                <w:sz w:val="24"/>
                <w:highlight w:val="none"/>
              </w:rPr>
              <w:t>总悬浮颗粒物</w:t>
            </w:r>
            <w:r>
              <w:rPr>
                <w:rFonts w:hint="eastAsia"/>
                <w:color w:val="auto"/>
                <w:sz w:val="24"/>
                <w:highlight w:val="none"/>
                <w:lang w:val="en-US" w:eastAsia="zh-CN"/>
              </w:rPr>
              <w:t>，数据引用《30万吨天然彩砂加工项目（重大变动）环境影响报告表》中的数据，本项目距引用监测点位直线距离约2.7km，监测时间为2025年1月6日至1月8日。监测同时记录风速、风向、气温、气压和天气状况等常规气象要素。监测结果如下。</w:t>
            </w:r>
          </w:p>
          <w:bookmarkEnd w:id="3"/>
          <w:p w14:paraId="1C2B8F5F">
            <w:pPr>
              <w:pStyle w:val="32"/>
              <w:bidi w:val="0"/>
              <w:rPr>
                <w:color w:val="auto"/>
                <w:highlight w:val="none"/>
              </w:rPr>
            </w:pPr>
          </w:p>
          <w:p w14:paraId="73332AF2">
            <w:pPr>
              <w:pStyle w:val="32"/>
              <w:bidi w:val="0"/>
              <w:rPr>
                <w:color w:val="auto"/>
                <w:highlight w:val="none"/>
              </w:rPr>
            </w:pPr>
          </w:p>
          <w:p w14:paraId="2AE90D44">
            <w:pPr>
              <w:pStyle w:val="32"/>
              <w:bidi w:val="0"/>
              <w:rPr>
                <w:color w:val="auto"/>
                <w:highlight w:val="none"/>
              </w:rPr>
            </w:pPr>
            <w:r>
              <w:rPr>
                <w:color w:val="auto"/>
                <w:highlight w:val="none"/>
              </w:rPr>
              <w:t>表3-2</w:t>
            </w:r>
            <w:r>
              <w:rPr>
                <w:rFonts w:hint="eastAsia"/>
                <w:color w:val="auto"/>
                <w:highlight w:val="none"/>
                <w:lang w:val="en-US" w:eastAsia="zh-CN"/>
              </w:rPr>
              <w:t xml:space="preserve">     </w:t>
            </w:r>
            <w:r>
              <w:rPr>
                <w:color w:val="auto"/>
                <w:highlight w:val="none"/>
              </w:rPr>
              <w:t>特征污染物监测值单位：mg/m</w:t>
            </w:r>
            <w:r>
              <w:rPr>
                <w:color w:val="auto"/>
                <w:highlight w:val="none"/>
                <w:vertAlign w:val="superscript"/>
              </w:rPr>
              <w:t>3</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670"/>
              <w:gridCol w:w="1521"/>
              <w:gridCol w:w="1264"/>
              <w:gridCol w:w="1174"/>
              <w:gridCol w:w="1133"/>
            </w:tblGrid>
            <w:tr w14:paraId="3491C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pct"/>
                  <w:tcBorders>
                    <w:top w:val="single" w:color="auto" w:sz="4" w:space="0"/>
                    <w:left w:val="single" w:color="auto" w:sz="4" w:space="0"/>
                    <w:bottom w:val="single" w:color="auto" w:sz="4" w:space="0"/>
                    <w:right w:val="single" w:color="auto" w:sz="4" w:space="0"/>
                  </w:tcBorders>
                  <w:noWrap w:val="0"/>
                  <w:vAlign w:val="center"/>
                </w:tcPr>
                <w:p w14:paraId="0A9B90D7">
                  <w:pPr>
                    <w:pStyle w:val="49"/>
                    <w:bidi w:val="0"/>
                    <w:rPr>
                      <w:b/>
                      <w:bCs/>
                      <w:color w:val="auto"/>
                      <w:highlight w:val="none"/>
                    </w:rPr>
                  </w:pPr>
                  <w:r>
                    <w:rPr>
                      <w:b/>
                      <w:bCs/>
                      <w:color w:val="auto"/>
                      <w:highlight w:val="none"/>
                    </w:rPr>
                    <w:t>分析项目</w:t>
                  </w:r>
                </w:p>
              </w:tc>
              <w:tc>
                <w:tcPr>
                  <w:tcW w:w="1044" w:type="pct"/>
                  <w:tcBorders>
                    <w:top w:val="single" w:color="auto" w:sz="4" w:space="0"/>
                    <w:left w:val="single" w:color="auto" w:sz="4" w:space="0"/>
                    <w:bottom w:val="single" w:color="auto" w:sz="4" w:space="0"/>
                    <w:right w:val="single" w:color="auto" w:sz="4" w:space="0"/>
                  </w:tcBorders>
                  <w:noWrap w:val="0"/>
                  <w:vAlign w:val="center"/>
                </w:tcPr>
                <w:p w14:paraId="511B01DA">
                  <w:pPr>
                    <w:pStyle w:val="49"/>
                    <w:bidi w:val="0"/>
                    <w:rPr>
                      <w:b/>
                      <w:bCs/>
                      <w:color w:val="auto"/>
                      <w:highlight w:val="none"/>
                    </w:rPr>
                  </w:pPr>
                  <w:r>
                    <w:rPr>
                      <w:b/>
                      <w:bCs/>
                      <w:color w:val="auto"/>
                      <w:highlight w:val="none"/>
                    </w:rPr>
                    <w:t>采样日期</w:t>
                  </w:r>
                </w:p>
              </w:tc>
              <w:tc>
                <w:tcPr>
                  <w:tcW w:w="950" w:type="pct"/>
                  <w:tcBorders>
                    <w:top w:val="single" w:color="auto" w:sz="4" w:space="0"/>
                    <w:left w:val="single" w:color="auto" w:sz="4" w:space="0"/>
                    <w:bottom w:val="single" w:color="auto" w:sz="4" w:space="0"/>
                    <w:right w:val="single" w:color="auto" w:sz="4" w:space="0"/>
                  </w:tcBorders>
                  <w:noWrap w:val="0"/>
                  <w:vAlign w:val="center"/>
                </w:tcPr>
                <w:p w14:paraId="717454E6">
                  <w:pPr>
                    <w:pStyle w:val="49"/>
                    <w:bidi w:val="0"/>
                    <w:rPr>
                      <w:b/>
                      <w:bCs/>
                      <w:color w:val="auto"/>
                      <w:highlight w:val="none"/>
                    </w:rPr>
                  </w:pPr>
                  <w:r>
                    <w:rPr>
                      <w:b/>
                      <w:bCs/>
                      <w:color w:val="auto"/>
                      <w:highlight w:val="none"/>
                    </w:rPr>
                    <w:t>监测浓度</w:t>
                  </w:r>
                </w:p>
              </w:tc>
              <w:tc>
                <w:tcPr>
                  <w:tcW w:w="789" w:type="pct"/>
                  <w:tcBorders>
                    <w:top w:val="single" w:color="auto" w:sz="4" w:space="0"/>
                    <w:left w:val="single" w:color="auto" w:sz="4" w:space="0"/>
                    <w:bottom w:val="single" w:color="auto" w:sz="4" w:space="0"/>
                    <w:right w:val="single" w:color="auto" w:sz="4" w:space="0"/>
                  </w:tcBorders>
                  <w:noWrap w:val="0"/>
                  <w:vAlign w:val="center"/>
                </w:tcPr>
                <w:p w14:paraId="2982527D">
                  <w:pPr>
                    <w:pStyle w:val="49"/>
                    <w:bidi w:val="0"/>
                    <w:rPr>
                      <w:b/>
                      <w:bCs/>
                      <w:color w:val="auto"/>
                      <w:highlight w:val="none"/>
                    </w:rPr>
                  </w:pPr>
                  <w:r>
                    <w:rPr>
                      <w:b/>
                      <w:bCs/>
                      <w:color w:val="auto"/>
                      <w:highlight w:val="none"/>
                    </w:rPr>
                    <w:t>标准限值</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3C56EE36">
                  <w:pPr>
                    <w:pStyle w:val="49"/>
                    <w:bidi w:val="0"/>
                    <w:rPr>
                      <w:b/>
                      <w:bCs/>
                      <w:color w:val="auto"/>
                      <w:highlight w:val="none"/>
                    </w:rPr>
                  </w:pPr>
                  <w:r>
                    <w:rPr>
                      <w:b/>
                      <w:bCs/>
                      <w:color w:val="auto"/>
                      <w:highlight w:val="none"/>
                    </w:rPr>
                    <w:t>最大占标率</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7AF97B03">
                  <w:pPr>
                    <w:pStyle w:val="49"/>
                    <w:bidi w:val="0"/>
                    <w:rPr>
                      <w:rFonts w:hint="eastAsia" w:eastAsia="宋体"/>
                      <w:b/>
                      <w:bCs/>
                      <w:color w:val="auto"/>
                      <w:highlight w:val="none"/>
                      <w:lang w:val="en-US" w:eastAsia="zh-CN"/>
                    </w:rPr>
                  </w:pPr>
                  <w:r>
                    <w:rPr>
                      <w:b/>
                      <w:bCs/>
                      <w:color w:val="auto"/>
                      <w:highlight w:val="none"/>
                    </w:rPr>
                    <w:t>达标</w:t>
                  </w:r>
                  <w:r>
                    <w:rPr>
                      <w:rFonts w:hint="eastAsia"/>
                      <w:b/>
                      <w:bCs/>
                      <w:color w:val="auto"/>
                      <w:highlight w:val="none"/>
                      <w:lang w:val="en-US" w:eastAsia="zh-CN"/>
                    </w:rPr>
                    <w:t>情况</w:t>
                  </w:r>
                </w:p>
              </w:tc>
            </w:tr>
            <w:tr w14:paraId="7CB52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72" w:type="pct"/>
                  <w:tcBorders>
                    <w:top w:val="single" w:color="auto" w:sz="4" w:space="0"/>
                    <w:left w:val="single" w:color="auto" w:sz="4" w:space="0"/>
                    <w:bottom w:val="single" w:color="auto" w:sz="4" w:space="0"/>
                    <w:right w:val="single" w:color="auto" w:sz="4" w:space="0"/>
                  </w:tcBorders>
                  <w:noWrap w:val="0"/>
                  <w:vAlign w:val="center"/>
                </w:tcPr>
                <w:p w14:paraId="4CE785BA">
                  <w:pPr>
                    <w:pStyle w:val="49"/>
                    <w:bidi w:val="0"/>
                    <w:rPr>
                      <w:rFonts w:hint="default" w:eastAsia="宋体"/>
                      <w:color w:val="auto"/>
                      <w:highlight w:val="none"/>
                      <w:lang w:val="en-US" w:eastAsia="zh-CN"/>
                    </w:rPr>
                  </w:pPr>
                  <w:r>
                    <w:rPr>
                      <w:rFonts w:hint="eastAsia"/>
                      <w:color w:val="auto"/>
                      <w:highlight w:val="none"/>
                      <w:lang w:val="en-US" w:eastAsia="zh-CN"/>
                    </w:rPr>
                    <w:t>TSP（引用）</w:t>
                  </w:r>
                </w:p>
              </w:tc>
              <w:tc>
                <w:tcPr>
                  <w:tcW w:w="1044" w:type="pct"/>
                  <w:tcBorders>
                    <w:top w:val="single" w:color="auto" w:sz="4" w:space="0"/>
                    <w:left w:val="single" w:color="auto" w:sz="4" w:space="0"/>
                    <w:bottom w:val="single" w:color="auto" w:sz="4" w:space="0"/>
                    <w:right w:val="single" w:color="auto" w:sz="4" w:space="0"/>
                  </w:tcBorders>
                  <w:noWrap w:val="0"/>
                  <w:vAlign w:val="center"/>
                </w:tcPr>
                <w:p w14:paraId="6C62BBE6">
                  <w:pPr>
                    <w:pStyle w:val="49"/>
                    <w:bidi w:val="0"/>
                    <w:rPr>
                      <w:color w:val="auto"/>
                      <w:highlight w:val="none"/>
                    </w:rPr>
                  </w:pPr>
                  <w:r>
                    <w:rPr>
                      <w:rFonts w:hint="eastAsia"/>
                      <w:bCs w:val="0"/>
                      <w:color w:val="auto"/>
                      <w:sz w:val="21"/>
                      <w:szCs w:val="24"/>
                      <w:highlight w:val="none"/>
                    </w:rPr>
                    <w:t>2025.1.6-1.8</w:t>
                  </w:r>
                </w:p>
              </w:tc>
              <w:tc>
                <w:tcPr>
                  <w:tcW w:w="950" w:type="pct"/>
                  <w:tcBorders>
                    <w:top w:val="single" w:color="auto" w:sz="4" w:space="0"/>
                    <w:left w:val="single" w:color="auto" w:sz="4" w:space="0"/>
                    <w:bottom w:val="single" w:color="auto" w:sz="4" w:space="0"/>
                    <w:right w:val="single" w:color="auto" w:sz="4" w:space="0"/>
                  </w:tcBorders>
                  <w:noWrap w:val="0"/>
                  <w:vAlign w:val="center"/>
                </w:tcPr>
                <w:p w14:paraId="765D7B6B">
                  <w:pPr>
                    <w:pStyle w:val="49"/>
                    <w:bidi w:val="0"/>
                    <w:rPr>
                      <w:color w:val="auto"/>
                      <w:highlight w:val="none"/>
                    </w:rPr>
                  </w:pPr>
                  <w:r>
                    <w:rPr>
                      <w:color w:val="auto"/>
                      <w:sz w:val="21"/>
                      <w:szCs w:val="24"/>
                      <w:highlight w:val="none"/>
                    </w:rPr>
                    <w:t>0.1</w:t>
                  </w:r>
                  <w:r>
                    <w:rPr>
                      <w:rFonts w:hint="eastAsia"/>
                      <w:color w:val="auto"/>
                      <w:sz w:val="21"/>
                      <w:szCs w:val="24"/>
                      <w:highlight w:val="none"/>
                    </w:rPr>
                    <w:t>03~0.108</w:t>
                  </w:r>
                </w:p>
              </w:tc>
              <w:tc>
                <w:tcPr>
                  <w:tcW w:w="789" w:type="pct"/>
                  <w:tcBorders>
                    <w:left w:val="single" w:color="auto" w:sz="4" w:space="0"/>
                    <w:bottom w:val="single" w:color="auto" w:sz="4" w:space="0"/>
                    <w:right w:val="single" w:color="auto" w:sz="4" w:space="0"/>
                  </w:tcBorders>
                  <w:noWrap w:val="0"/>
                  <w:vAlign w:val="center"/>
                </w:tcPr>
                <w:p w14:paraId="02A1090B">
                  <w:pPr>
                    <w:pStyle w:val="49"/>
                    <w:bidi w:val="0"/>
                    <w:rPr>
                      <w:rFonts w:hint="default" w:eastAsia="宋体"/>
                      <w:color w:val="auto"/>
                      <w:highlight w:val="none"/>
                      <w:lang w:val="en-US" w:eastAsia="zh-CN"/>
                    </w:rPr>
                  </w:pPr>
                  <w:r>
                    <w:rPr>
                      <w:rFonts w:hint="eastAsia"/>
                      <w:color w:val="auto"/>
                      <w:highlight w:val="none"/>
                      <w:lang w:val="en-US" w:eastAsia="zh-CN"/>
                    </w:rPr>
                    <w:t>0.3</w:t>
                  </w:r>
                </w:p>
              </w:tc>
              <w:tc>
                <w:tcPr>
                  <w:tcW w:w="734" w:type="pct"/>
                  <w:tcBorders>
                    <w:top w:val="single" w:color="auto" w:sz="4" w:space="0"/>
                    <w:left w:val="single" w:color="auto" w:sz="4" w:space="0"/>
                    <w:bottom w:val="single" w:color="auto" w:sz="4" w:space="0"/>
                    <w:right w:val="single" w:color="auto" w:sz="4" w:space="0"/>
                  </w:tcBorders>
                  <w:noWrap w:val="0"/>
                  <w:vAlign w:val="center"/>
                </w:tcPr>
                <w:p w14:paraId="1807E492">
                  <w:pPr>
                    <w:pStyle w:val="49"/>
                    <w:bidi w:val="0"/>
                    <w:rPr>
                      <w:rFonts w:hint="default" w:eastAsia="宋体"/>
                      <w:color w:val="auto"/>
                      <w:highlight w:val="none"/>
                      <w:lang w:val="en-US" w:eastAsia="zh-CN"/>
                    </w:rPr>
                  </w:pPr>
                  <w:r>
                    <w:rPr>
                      <w:rFonts w:hint="eastAsia"/>
                      <w:color w:val="auto"/>
                      <w:highlight w:val="none"/>
                      <w:lang w:val="en-US" w:eastAsia="zh-CN"/>
                    </w:rPr>
                    <w:t>36%</w:t>
                  </w:r>
                </w:p>
              </w:tc>
              <w:tc>
                <w:tcPr>
                  <w:tcW w:w="708" w:type="pct"/>
                  <w:tcBorders>
                    <w:top w:val="single" w:color="auto" w:sz="4" w:space="0"/>
                    <w:left w:val="single" w:color="auto" w:sz="4" w:space="0"/>
                    <w:bottom w:val="single" w:color="auto" w:sz="4" w:space="0"/>
                    <w:right w:val="single" w:color="auto" w:sz="4" w:space="0"/>
                  </w:tcBorders>
                  <w:noWrap w:val="0"/>
                  <w:vAlign w:val="center"/>
                </w:tcPr>
                <w:p w14:paraId="216E2C26">
                  <w:pPr>
                    <w:pStyle w:val="49"/>
                    <w:bidi w:val="0"/>
                    <w:rPr>
                      <w:rFonts w:hint="eastAsia" w:eastAsia="宋体"/>
                      <w:color w:val="auto"/>
                      <w:highlight w:val="none"/>
                      <w:lang w:val="en-US" w:eastAsia="zh-CN"/>
                    </w:rPr>
                  </w:pPr>
                  <w:r>
                    <w:rPr>
                      <w:rFonts w:hint="eastAsia"/>
                      <w:color w:val="auto"/>
                      <w:highlight w:val="none"/>
                      <w:lang w:val="en-US" w:eastAsia="zh-CN"/>
                    </w:rPr>
                    <w:t>达标</w:t>
                  </w:r>
                </w:p>
              </w:tc>
            </w:tr>
          </w:tbl>
          <w:p w14:paraId="6F686641">
            <w:pPr>
              <w:pStyle w:val="11"/>
              <w:bidi w:val="0"/>
              <w:rPr>
                <w:rFonts w:hint="eastAsia"/>
                <w:color w:val="auto"/>
                <w:highlight w:val="none"/>
              </w:rPr>
            </w:pPr>
            <w:r>
              <w:rPr>
                <w:color w:val="auto"/>
                <w:highlight w:val="none"/>
              </w:rPr>
              <w:t>监测结果表明：</w:t>
            </w:r>
            <w:r>
              <w:rPr>
                <w:rFonts w:hint="eastAsia"/>
                <w:color w:val="auto"/>
                <w:highlight w:val="none"/>
              </w:rPr>
              <w:t>项目地下风向环境空气中TSP24h平均值满足《环境空气质量标准》（GB3095-2012）二级标准0.3mg/m</w:t>
            </w:r>
            <w:r>
              <w:rPr>
                <w:rFonts w:hint="eastAsia"/>
                <w:color w:val="auto"/>
                <w:highlight w:val="none"/>
                <w:vertAlign w:val="superscript"/>
              </w:rPr>
              <w:t>3</w:t>
            </w:r>
            <w:r>
              <w:rPr>
                <w:rFonts w:hint="eastAsia"/>
                <w:color w:val="auto"/>
                <w:highlight w:val="none"/>
              </w:rPr>
              <w:t>。</w:t>
            </w:r>
          </w:p>
          <w:p w14:paraId="255FBA6F">
            <w:pPr>
              <w:pStyle w:val="11"/>
              <w:bidi w:val="0"/>
              <w:rPr>
                <w:rFonts w:hint="eastAsia"/>
                <w:b/>
                <w:bCs/>
                <w:color w:val="auto"/>
                <w:highlight w:val="none"/>
                <w:lang w:val="en-US" w:eastAsia="zh-CN"/>
              </w:rPr>
            </w:pPr>
            <w:r>
              <w:rPr>
                <w:rFonts w:hint="eastAsia"/>
                <w:b/>
                <w:bCs/>
                <w:color w:val="auto"/>
                <w:highlight w:val="none"/>
                <w:lang w:val="en-US" w:eastAsia="zh-CN"/>
              </w:rPr>
              <w:t>2、声环境质量现状</w:t>
            </w:r>
          </w:p>
          <w:p w14:paraId="23DB9848">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为了了解项目所在区域声环境质量现状，建设单位委托</w:t>
            </w:r>
            <w:r>
              <w:rPr>
                <w:rFonts w:hint="eastAsia" w:hAnsi="宋体" w:cs="宋体"/>
                <w:color w:val="auto"/>
                <w:sz w:val="24"/>
                <w:highlight w:val="none"/>
                <w:lang w:val="en-US" w:eastAsia="zh-CN"/>
              </w:rPr>
              <w:t>陕西云检分析检测科技有限公司</w:t>
            </w:r>
            <w:r>
              <w:rPr>
                <w:rFonts w:hint="eastAsia"/>
                <w:color w:val="auto"/>
                <w:sz w:val="24"/>
                <w:highlight w:val="none"/>
              </w:rPr>
              <w:t>进行监测。</w:t>
            </w:r>
          </w:p>
          <w:p w14:paraId="57E4C643">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（1）声环境现状监测</w:t>
            </w:r>
          </w:p>
          <w:p w14:paraId="6B26FFCD">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于项目周边敏感点处</w:t>
            </w:r>
            <w:r>
              <w:rPr>
                <w:rFonts w:hint="eastAsia" w:ascii="Times New Roman" w:hAnsi="Times New Roman" w:eastAsia="宋体" w:cs="Times New Roman"/>
                <w:color w:val="auto"/>
                <w:sz w:val="24"/>
                <w:highlight w:val="none"/>
              </w:rPr>
              <w:t>布置</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rPr>
              <w:t>个监测点位。</w:t>
            </w:r>
          </w:p>
          <w:p w14:paraId="19230DFD">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监测项目：连续等效A声级；</w:t>
            </w:r>
          </w:p>
          <w:p w14:paraId="1791CF68">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监测频次：监测</w:t>
            </w:r>
            <w:r>
              <w:rPr>
                <w:rFonts w:hint="eastAsia" w:ascii="Times New Roman" w:hAnsi="Times New Roman" w:eastAsia="宋体" w:cs="Times New Roman"/>
                <w:color w:val="auto"/>
                <w:sz w:val="24"/>
                <w:highlight w:val="none"/>
                <w:lang w:val="en-US" w:eastAsia="zh-CN"/>
              </w:rPr>
              <w:t>1</w:t>
            </w:r>
            <w:r>
              <w:rPr>
                <w:rFonts w:hint="eastAsia" w:ascii="Times New Roman" w:hAnsi="Times New Roman" w:eastAsia="宋体" w:cs="Times New Roman"/>
                <w:color w:val="auto"/>
                <w:sz w:val="24"/>
                <w:highlight w:val="none"/>
              </w:rPr>
              <w:t>日，每日昼夜各一次。</w:t>
            </w:r>
          </w:p>
          <w:p w14:paraId="43A98FA6">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（2）声环境现状监测结果</w:t>
            </w:r>
          </w:p>
          <w:p w14:paraId="3D36A235">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监测时间为20</w:t>
            </w:r>
            <w:r>
              <w:rPr>
                <w:rFonts w:hint="eastAsia" w:ascii="Times New Roman" w:hAnsi="Times New Roman" w:eastAsia="宋体" w:cs="Times New Roman"/>
                <w:color w:val="auto"/>
                <w:sz w:val="24"/>
                <w:highlight w:val="none"/>
                <w:lang w:val="en-US" w:eastAsia="zh-CN"/>
              </w:rPr>
              <w:t>25</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8</w:t>
            </w:r>
            <w:r>
              <w:rPr>
                <w:rFonts w:hint="eastAsia" w:ascii="Times New Roman" w:hAnsi="Times New Roman" w:eastAsia="宋体" w:cs="Times New Roman"/>
                <w:color w:val="auto"/>
                <w:sz w:val="24"/>
                <w:highlight w:val="none"/>
              </w:rPr>
              <w:t>月</w:t>
            </w:r>
            <w:r>
              <w:rPr>
                <w:rFonts w:hint="eastAsia" w:cs="Times New Roman"/>
                <w:color w:val="auto"/>
                <w:sz w:val="24"/>
                <w:highlight w:val="none"/>
                <w:lang w:val="en-US" w:eastAsia="zh-CN"/>
              </w:rPr>
              <w:t>22</w:t>
            </w:r>
            <w:r>
              <w:rPr>
                <w:rFonts w:hint="eastAsia" w:ascii="Times New Roman" w:hAnsi="Times New Roman" w:eastAsia="宋体" w:cs="Times New Roman"/>
                <w:color w:val="auto"/>
                <w:sz w:val="24"/>
                <w:highlight w:val="none"/>
              </w:rPr>
              <w:t>日，监测结果见下表</w:t>
            </w:r>
            <w:r>
              <w:rPr>
                <w:rFonts w:hint="eastAsia" w:ascii="Times New Roman" w:hAnsi="Times New Roman" w:eastAsia="宋体" w:cs="Times New Roman"/>
                <w:color w:val="auto"/>
                <w:sz w:val="24"/>
                <w:highlight w:val="none"/>
                <w:lang w:val="en-US" w:eastAsia="zh-CN"/>
              </w:rPr>
              <w:t>3-3</w:t>
            </w:r>
            <w:r>
              <w:rPr>
                <w:rFonts w:hint="eastAsia" w:ascii="Times New Roman" w:hAnsi="Times New Roman" w:eastAsia="宋体" w:cs="Times New Roman"/>
                <w:color w:val="auto"/>
                <w:sz w:val="24"/>
                <w:highlight w:val="none"/>
              </w:rPr>
              <w:t>。</w:t>
            </w:r>
          </w:p>
          <w:p w14:paraId="77137E5C">
            <w:pPr>
              <w:pStyle w:val="32"/>
              <w:bidi w:val="0"/>
              <w:rPr>
                <w:rFonts w:hint="eastAsia"/>
                <w:color w:val="auto"/>
                <w:highlight w:val="none"/>
                <w:lang w:val="zh-CN"/>
              </w:rPr>
            </w:pPr>
            <w:r>
              <w:rPr>
                <w:rFonts w:hint="eastAsia"/>
                <w:color w:val="auto"/>
                <w:highlight w:val="none"/>
                <w:lang w:val="zh-CN"/>
              </w:rPr>
              <w:t>表</w:t>
            </w:r>
            <w:r>
              <w:rPr>
                <w:rFonts w:hint="eastAsia"/>
                <w:color w:val="auto"/>
                <w:highlight w:val="none"/>
                <w:lang w:val="en-US" w:eastAsia="zh-CN"/>
              </w:rPr>
              <w:t xml:space="preserve">3-3     </w:t>
            </w:r>
            <w:r>
              <w:rPr>
                <w:rFonts w:hint="eastAsia"/>
                <w:color w:val="auto"/>
                <w:highlight w:val="none"/>
                <w:lang w:val="zh-CN"/>
              </w:rPr>
              <w:t>环境噪声现状监测结果单位：dB（A）</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0"/>
              <w:gridCol w:w="1926"/>
              <w:gridCol w:w="1122"/>
              <w:gridCol w:w="1292"/>
              <w:gridCol w:w="1266"/>
              <w:gridCol w:w="1229"/>
            </w:tblGrid>
            <w:tr w14:paraId="30256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25" w:type="pct"/>
                  <w:vMerge w:val="restart"/>
                  <w:noWrap w:val="0"/>
                  <w:vAlign w:val="center"/>
                </w:tcPr>
                <w:p w14:paraId="7BD2F51E">
                  <w:pPr>
                    <w:adjustRightInd w:val="0"/>
                    <w:snapToGrid w:val="0"/>
                    <w:jc w:val="center"/>
                    <w:rPr>
                      <w:rFonts w:hint="eastAsia" w:cs="宋体"/>
                      <w:b/>
                      <w:bCs/>
                      <w:color w:val="auto"/>
                      <w:szCs w:val="21"/>
                      <w:highlight w:val="none"/>
                    </w:rPr>
                  </w:pPr>
                  <w:r>
                    <w:rPr>
                      <w:rFonts w:hint="eastAsia" w:cs="宋体"/>
                      <w:b/>
                      <w:bCs/>
                      <w:color w:val="auto"/>
                      <w:szCs w:val="21"/>
                      <w:highlight w:val="none"/>
                    </w:rPr>
                    <w:t>监测日期</w:t>
                  </w:r>
                </w:p>
              </w:tc>
              <w:tc>
                <w:tcPr>
                  <w:tcW w:w="1204" w:type="pct"/>
                  <w:vMerge w:val="restart"/>
                  <w:noWrap w:val="0"/>
                  <w:vAlign w:val="center"/>
                </w:tcPr>
                <w:p w14:paraId="5AE60B9B">
                  <w:pPr>
                    <w:adjustRightInd w:val="0"/>
                    <w:snapToGrid w:val="0"/>
                    <w:jc w:val="center"/>
                    <w:rPr>
                      <w:rFonts w:hint="eastAsia" w:cs="宋体"/>
                      <w:b/>
                      <w:bCs/>
                      <w:color w:val="auto"/>
                      <w:szCs w:val="21"/>
                      <w:highlight w:val="none"/>
                    </w:rPr>
                  </w:pPr>
                  <w:r>
                    <w:rPr>
                      <w:rFonts w:hint="eastAsia" w:cs="宋体"/>
                      <w:b/>
                      <w:bCs/>
                      <w:color w:val="auto"/>
                      <w:szCs w:val="21"/>
                      <w:highlight w:val="none"/>
                    </w:rPr>
                    <w:t>监测点</w:t>
                  </w:r>
                </w:p>
              </w:tc>
              <w:tc>
                <w:tcPr>
                  <w:tcW w:w="1509" w:type="pct"/>
                  <w:gridSpan w:val="2"/>
                  <w:noWrap w:val="0"/>
                  <w:vAlign w:val="center"/>
                </w:tcPr>
                <w:p w14:paraId="2BC06FA5">
                  <w:pPr>
                    <w:adjustRightInd w:val="0"/>
                    <w:snapToGrid w:val="0"/>
                    <w:jc w:val="center"/>
                    <w:rPr>
                      <w:rFonts w:hint="eastAsia" w:cs="宋体"/>
                      <w:b/>
                      <w:bCs/>
                      <w:color w:val="auto"/>
                      <w:szCs w:val="21"/>
                      <w:highlight w:val="none"/>
                    </w:rPr>
                  </w:pPr>
                  <w:r>
                    <w:rPr>
                      <w:rFonts w:hint="eastAsia" w:cs="宋体"/>
                      <w:b/>
                      <w:bCs/>
                      <w:color w:val="auto"/>
                      <w:szCs w:val="21"/>
                      <w:highlight w:val="none"/>
                    </w:rPr>
                    <w:t>昼间</w:t>
                  </w:r>
                </w:p>
              </w:tc>
              <w:tc>
                <w:tcPr>
                  <w:tcW w:w="1559" w:type="pct"/>
                  <w:gridSpan w:val="2"/>
                  <w:noWrap w:val="0"/>
                  <w:vAlign w:val="center"/>
                </w:tcPr>
                <w:p w14:paraId="40A02AE5">
                  <w:pPr>
                    <w:adjustRightInd w:val="0"/>
                    <w:snapToGrid w:val="0"/>
                    <w:jc w:val="center"/>
                    <w:rPr>
                      <w:rFonts w:hint="eastAsia" w:cs="宋体"/>
                      <w:b/>
                      <w:bCs/>
                      <w:color w:val="auto"/>
                      <w:szCs w:val="21"/>
                      <w:highlight w:val="none"/>
                    </w:rPr>
                  </w:pPr>
                  <w:r>
                    <w:rPr>
                      <w:rFonts w:hint="eastAsia" w:cs="宋体"/>
                      <w:b/>
                      <w:bCs/>
                      <w:color w:val="auto"/>
                      <w:szCs w:val="21"/>
                      <w:highlight w:val="none"/>
                    </w:rPr>
                    <w:t>夜间</w:t>
                  </w:r>
                </w:p>
              </w:tc>
            </w:tr>
            <w:tr w14:paraId="5F1B0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25" w:type="pct"/>
                  <w:vMerge w:val="continue"/>
                  <w:noWrap w:val="0"/>
                  <w:vAlign w:val="center"/>
                </w:tcPr>
                <w:p w14:paraId="00892847">
                  <w:pPr>
                    <w:adjustRightInd w:val="0"/>
                    <w:snapToGrid w:val="0"/>
                    <w:jc w:val="center"/>
                    <w:rPr>
                      <w:rFonts w:hint="eastAsia" w:cs="宋体"/>
                      <w:b/>
                      <w:bCs/>
                      <w:color w:val="auto"/>
                      <w:szCs w:val="21"/>
                      <w:highlight w:val="none"/>
                    </w:rPr>
                  </w:pPr>
                </w:p>
              </w:tc>
              <w:tc>
                <w:tcPr>
                  <w:tcW w:w="1204" w:type="pct"/>
                  <w:vMerge w:val="continue"/>
                  <w:noWrap w:val="0"/>
                  <w:vAlign w:val="center"/>
                </w:tcPr>
                <w:p w14:paraId="6AD5F671">
                  <w:pPr>
                    <w:adjustRightInd w:val="0"/>
                    <w:snapToGrid w:val="0"/>
                    <w:jc w:val="center"/>
                    <w:rPr>
                      <w:rFonts w:hint="eastAsia" w:cs="宋体"/>
                      <w:b/>
                      <w:bCs/>
                      <w:color w:val="auto"/>
                      <w:szCs w:val="21"/>
                      <w:highlight w:val="none"/>
                    </w:rPr>
                  </w:pPr>
                </w:p>
              </w:tc>
              <w:tc>
                <w:tcPr>
                  <w:tcW w:w="701" w:type="pct"/>
                  <w:noWrap w:val="0"/>
                  <w:vAlign w:val="center"/>
                </w:tcPr>
                <w:p w14:paraId="4B3B42D6">
                  <w:pPr>
                    <w:adjustRightInd w:val="0"/>
                    <w:snapToGrid w:val="0"/>
                    <w:jc w:val="center"/>
                    <w:rPr>
                      <w:rFonts w:hint="eastAsia" w:cs="宋体"/>
                      <w:b/>
                      <w:bCs/>
                      <w:color w:val="auto"/>
                      <w:szCs w:val="21"/>
                      <w:highlight w:val="none"/>
                    </w:rPr>
                  </w:pPr>
                  <w:r>
                    <w:rPr>
                      <w:rFonts w:hint="eastAsia" w:cs="宋体"/>
                      <w:b/>
                      <w:bCs/>
                      <w:color w:val="auto"/>
                      <w:szCs w:val="21"/>
                      <w:highlight w:val="none"/>
                    </w:rPr>
                    <w:t>监测值</w:t>
                  </w:r>
                </w:p>
              </w:tc>
              <w:tc>
                <w:tcPr>
                  <w:tcW w:w="808" w:type="pct"/>
                  <w:noWrap w:val="0"/>
                  <w:vAlign w:val="center"/>
                </w:tcPr>
                <w:p w14:paraId="726DC585">
                  <w:pPr>
                    <w:adjustRightInd w:val="0"/>
                    <w:snapToGrid w:val="0"/>
                    <w:jc w:val="center"/>
                    <w:rPr>
                      <w:rFonts w:hint="eastAsia" w:cs="宋体"/>
                      <w:b/>
                      <w:bCs/>
                      <w:color w:val="auto"/>
                      <w:szCs w:val="21"/>
                      <w:highlight w:val="none"/>
                    </w:rPr>
                  </w:pPr>
                  <w:r>
                    <w:rPr>
                      <w:rFonts w:hint="eastAsia" w:cs="宋体"/>
                      <w:b/>
                      <w:bCs/>
                      <w:color w:val="auto"/>
                      <w:szCs w:val="21"/>
                      <w:highlight w:val="none"/>
                    </w:rPr>
                    <w:t>评价标准</w:t>
                  </w:r>
                </w:p>
              </w:tc>
              <w:tc>
                <w:tcPr>
                  <w:tcW w:w="791" w:type="pct"/>
                  <w:noWrap w:val="0"/>
                  <w:vAlign w:val="center"/>
                </w:tcPr>
                <w:p w14:paraId="7EAB9D6B">
                  <w:pPr>
                    <w:adjustRightInd w:val="0"/>
                    <w:snapToGrid w:val="0"/>
                    <w:jc w:val="center"/>
                    <w:rPr>
                      <w:rFonts w:hint="eastAsia" w:cs="宋体"/>
                      <w:b/>
                      <w:bCs/>
                      <w:color w:val="auto"/>
                      <w:szCs w:val="21"/>
                      <w:highlight w:val="none"/>
                    </w:rPr>
                  </w:pPr>
                  <w:r>
                    <w:rPr>
                      <w:rFonts w:hint="eastAsia" w:cs="宋体"/>
                      <w:b/>
                      <w:bCs/>
                      <w:color w:val="auto"/>
                      <w:szCs w:val="21"/>
                      <w:highlight w:val="none"/>
                    </w:rPr>
                    <w:t>监测值</w:t>
                  </w:r>
                </w:p>
              </w:tc>
              <w:tc>
                <w:tcPr>
                  <w:tcW w:w="768" w:type="pct"/>
                  <w:noWrap w:val="0"/>
                  <w:vAlign w:val="center"/>
                </w:tcPr>
                <w:p w14:paraId="576CBEC4">
                  <w:pPr>
                    <w:adjustRightInd w:val="0"/>
                    <w:snapToGrid w:val="0"/>
                    <w:jc w:val="center"/>
                    <w:rPr>
                      <w:rFonts w:hint="eastAsia" w:cs="宋体"/>
                      <w:b/>
                      <w:bCs/>
                      <w:color w:val="auto"/>
                      <w:szCs w:val="21"/>
                      <w:highlight w:val="none"/>
                    </w:rPr>
                  </w:pPr>
                  <w:r>
                    <w:rPr>
                      <w:rFonts w:hint="eastAsia" w:cs="宋体"/>
                      <w:b/>
                      <w:bCs/>
                      <w:color w:val="auto"/>
                      <w:szCs w:val="21"/>
                      <w:highlight w:val="none"/>
                    </w:rPr>
                    <w:t>评价标准</w:t>
                  </w:r>
                </w:p>
              </w:tc>
            </w:tr>
            <w:tr w14:paraId="29510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725" w:type="pct"/>
                  <w:noWrap w:val="0"/>
                  <w:vAlign w:val="center"/>
                </w:tcPr>
                <w:p w14:paraId="0C7FD0D0">
                  <w:pPr>
                    <w:adjustRightInd w:val="0"/>
                    <w:snapToGrid w:val="0"/>
                    <w:jc w:val="center"/>
                    <w:rPr>
                      <w:rFonts w:hint="eastAsia" w:cs="宋体"/>
                      <w:color w:val="auto"/>
                      <w:szCs w:val="21"/>
                      <w:highlight w:val="none"/>
                    </w:rPr>
                  </w:pPr>
                  <w:r>
                    <w:rPr>
                      <w:rFonts w:hint="eastAsia" w:cs="宋体"/>
                      <w:color w:val="auto"/>
                      <w:szCs w:val="21"/>
                      <w:highlight w:val="none"/>
                    </w:rPr>
                    <w:t>20</w:t>
                  </w:r>
                  <w:r>
                    <w:rPr>
                      <w:rFonts w:hint="eastAsia" w:cs="宋体"/>
                      <w:color w:val="auto"/>
                      <w:szCs w:val="21"/>
                      <w:highlight w:val="none"/>
                      <w:lang w:val="en-US" w:eastAsia="zh-CN"/>
                    </w:rPr>
                    <w:t>25</w:t>
                  </w:r>
                  <w:r>
                    <w:rPr>
                      <w:rFonts w:hint="eastAsia" w:cs="宋体"/>
                      <w:color w:val="auto"/>
                      <w:szCs w:val="21"/>
                      <w:highlight w:val="none"/>
                    </w:rPr>
                    <w:t>年</w:t>
                  </w:r>
                  <w:r>
                    <w:rPr>
                      <w:rFonts w:hint="eastAsia" w:cs="宋体"/>
                      <w:color w:val="auto"/>
                      <w:szCs w:val="21"/>
                      <w:highlight w:val="none"/>
                      <w:lang w:val="en-US" w:eastAsia="zh-CN"/>
                    </w:rPr>
                    <w:t>5</w:t>
                  </w:r>
                  <w:r>
                    <w:rPr>
                      <w:rFonts w:hint="eastAsia" w:cs="宋体"/>
                      <w:color w:val="auto"/>
                      <w:szCs w:val="21"/>
                      <w:highlight w:val="none"/>
                    </w:rPr>
                    <w:t>月</w:t>
                  </w:r>
                  <w:r>
                    <w:rPr>
                      <w:rFonts w:hint="eastAsia" w:cs="宋体"/>
                      <w:color w:val="auto"/>
                      <w:szCs w:val="21"/>
                      <w:highlight w:val="none"/>
                      <w:lang w:val="en-US" w:eastAsia="zh-CN"/>
                    </w:rPr>
                    <w:t>4</w:t>
                  </w:r>
                  <w:r>
                    <w:rPr>
                      <w:rFonts w:hint="eastAsia" w:cs="宋体"/>
                      <w:color w:val="auto"/>
                      <w:szCs w:val="21"/>
                      <w:highlight w:val="none"/>
                    </w:rPr>
                    <w:t>日</w:t>
                  </w:r>
                </w:p>
              </w:tc>
              <w:tc>
                <w:tcPr>
                  <w:tcW w:w="1204" w:type="pct"/>
                  <w:noWrap w:val="0"/>
                  <w:vAlign w:val="center"/>
                </w:tcPr>
                <w:p w14:paraId="2BFAC934">
                  <w:pPr>
                    <w:widowControl/>
                    <w:jc w:val="center"/>
                    <w:textAlignment w:val="center"/>
                    <w:rPr>
                      <w:rFonts w:hint="default" w:eastAsia="宋体"/>
                      <w:color w:val="auto"/>
                      <w:kern w:val="2"/>
                      <w:sz w:val="21"/>
                      <w:szCs w:val="21"/>
                      <w:highlight w:val="none"/>
                      <w:lang w:val="en-US" w:eastAsia="zh-CN" w:bidi="ar-SA"/>
                    </w:rPr>
                  </w:pPr>
                  <w:r>
                    <w:rPr>
                      <w:rFonts w:hint="eastAsia" w:eastAsia="宋体"/>
                      <w:color w:val="auto"/>
                      <w:kern w:val="2"/>
                      <w:sz w:val="21"/>
                      <w:szCs w:val="21"/>
                      <w:highlight w:val="none"/>
                      <w:lang w:val="en-US" w:eastAsia="zh-CN" w:bidi="ar-SA"/>
                    </w:rPr>
                    <w:t>N1全丰村散户</w:t>
                  </w:r>
                </w:p>
              </w:tc>
              <w:tc>
                <w:tcPr>
                  <w:tcW w:w="701" w:type="pct"/>
                  <w:noWrap w:val="0"/>
                  <w:vAlign w:val="center"/>
                </w:tcPr>
                <w:p w14:paraId="3275A22B">
                  <w:pPr>
                    <w:autoSpaceDE w:val="0"/>
                    <w:autoSpaceDN w:val="0"/>
                    <w:adjustRightInd w:val="0"/>
                    <w:jc w:val="center"/>
                    <w:rPr>
                      <w:rFonts w:hint="default" w:eastAsia="宋体" w:cs="宋体"/>
                      <w:color w:val="auto"/>
                      <w:szCs w:val="21"/>
                      <w:highlight w:val="none"/>
                      <w:lang w:val="en-US" w:eastAsia="zh-CN"/>
                    </w:rPr>
                  </w:pPr>
                  <w:r>
                    <w:rPr>
                      <w:rFonts w:hint="eastAsia" w:cs="宋体"/>
                      <w:color w:val="auto"/>
                      <w:szCs w:val="21"/>
                      <w:highlight w:val="none"/>
                      <w:lang w:val="en-US" w:eastAsia="zh-CN"/>
                    </w:rPr>
                    <w:t>43</w:t>
                  </w:r>
                </w:p>
              </w:tc>
              <w:tc>
                <w:tcPr>
                  <w:tcW w:w="808" w:type="pct"/>
                  <w:noWrap w:val="0"/>
                  <w:vAlign w:val="center"/>
                </w:tcPr>
                <w:p w14:paraId="2910B61D">
                  <w:pPr>
                    <w:adjustRightInd w:val="0"/>
                    <w:snapToGrid w:val="0"/>
                    <w:jc w:val="center"/>
                    <w:rPr>
                      <w:rFonts w:hint="default" w:cs="宋体"/>
                      <w:color w:val="auto"/>
                      <w:szCs w:val="21"/>
                      <w:highlight w:val="none"/>
                      <w:lang w:val="en-US"/>
                    </w:rPr>
                  </w:pPr>
                  <w:r>
                    <w:rPr>
                      <w:rFonts w:hint="eastAsia" w:ascii="Times New Roman" w:cs="宋体"/>
                      <w:color w:val="auto"/>
                      <w:sz w:val="21"/>
                      <w:szCs w:val="21"/>
                      <w:highlight w:val="none"/>
                      <w:lang w:val="en-US" w:eastAsia="zh-CN"/>
                    </w:rPr>
                    <w:t>60</w:t>
                  </w:r>
                </w:p>
              </w:tc>
              <w:tc>
                <w:tcPr>
                  <w:tcW w:w="791" w:type="pct"/>
                  <w:noWrap w:val="0"/>
                  <w:vAlign w:val="center"/>
                </w:tcPr>
                <w:p w14:paraId="0B427BFB">
                  <w:pPr>
                    <w:keepNext w:val="0"/>
                    <w:keepLines w:val="0"/>
                    <w:pageBreakBefore w:val="0"/>
                    <w:widowControl w:val="0"/>
                    <w:kinsoku/>
                    <w:wordWrap/>
                    <w:overflowPunct/>
                    <w:topLinePunct w:val="0"/>
                    <w:autoSpaceDE/>
                    <w:autoSpaceDN/>
                    <w:bidi w:val="0"/>
                    <w:adjustRightInd/>
                    <w:snapToGrid w:val="0"/>
                    <w:spacing w:line="300" w:lineRule="exact"/>
                    <w:ind w:left="0" w:leftChars="0" w:right="0" w:rightChars="0" w:firstLine="0" w:firstLineChars="0"/>
                    <w:jc w:val="center"/>
                    <w:textAlignment w:val="auto"/>
                    <w:outlineLvl w:val="9"/>
                    <w:rPr>
                      <w:rFonts w:hint="default" w:eastAsia="宋体" w:cs="宋体"/>
                      <w:color w:val="auto"/>
                      <w:szCs w:val="21"/>
                      <w:highlight w:val="none"/>
                      <w:lang w:val="en-US" w:eastAsia="zh-CN"/>
                    </w:rPr>
                  </w:pPr>
                  <w:r>
                    <w:rPr>
                      <w:rFonts w:hint="eastAsia" w:cs="宋体"/>
                      <w:color w:val="auto"/>
                      <w:szCs w:val="21"/>
                      <w:highlight w:val="none"/>
                      <w:lang w:val="en-US" w:eastAsia="zh-CN"/>
                    </w:rPr>
                    <w:t>44</w:t>
                  </w:r>
                </w:p>
              </w:tc>
              <w:tc>
                <w:tcPr>
                  <w:tcW w:w="768" w:type="pct"/>
                  <w:noWrap w:val="0"/>
                  <w:vAlign w:val="center"/>
                </w:tcPr>
                <w:p w14:paraId="401EAB03">
                  <w:pPr>
                    <w:adjustRightInd w:val="0"/>
                    <w:snapToGrid w:val="0"/>
                    <w:jc w:val="center"/>
                    <w:rPr>
                      <w:rFonts w:hint="default" w:cs="宋体"/>
                      <w:color w:val="auto"/>
                      <w:szCs w:val="21"/>
                      <w:highlight w:val="none"/>
                      <w:lang w:val="en-US"/>
                    </w:rPr>
                  </w:pPr>
                  <w:r>
                    <w:rPr>
                      <w:rFonts w:hint="eastAsia" w:ascii="Times New Roman" w:cs="宋体"/>
                      <w:color w:val="auto"/>
                      <w:sz w:val="21"/>
                      <w:szCs w:val="21"/>
                      <w:highlight w:val="none"/>
                      <w:lang w:val="en-US" w:eastAsia="zh-CN"/>
                    </w:rPr>
                    <w:t>50</w:t>
                  </w:r>
                </w:p>
              </w:tc>
            </w:tr>
          </w:tbl>
          <w:p w14:paraId="4A2F16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Times New Roman" w:hAnsi="Times New Roman"/>
                <w:color w:val="auto"/>
                <w:sz w:val="24"/>
                <w:highlight w:val="none"/>
              </w:rPr>
            </w:pPr>
            <w:r>
              <w:rPr>
                <w:rFonts w:hint="eastAsia" w:ascii="Times New Roman" w:hAnsi="Times New Roman" w:eastAsia="宋体" w:cs="Times New Roman"/>
                <w:b w:val="0"/>
                <w:bCs w:val="0"/>
                <w:caps w:val="0"/>
                <w:smallCaps w:val="0"/>
                <w:color w:val="auto"/>
                <w:kern w:val="2"/>
                <w:sz w:val="24"/>
                <w:szCs w:val="24"/>
                <w:highlight w:val="none"/>
                <w:lang w:val="en-US" w:eastAsia="zh-CN" w:bidi="ar-SA"/>
              </w:rPr>
              <w:t>声环境质量现状与评价：由上表可知，环境噪声值符合《声环境质量标准》（GB3096-2008）中2类标准。</w:t>
            </w:r>
          </w:p>
          <w:p w14:paraId="4D0EFFB9">
            <w:pPr>
              <w:pStyle w:val="11"/>
              <w:numPr>
                <w:ilvl w:val="0"/>
                <w:numId w:val="6"/>
              </w:numPr>
              <w:bidi w:val="0"/>
              <w:ind w:left="0" w:leftChars="0" w:firstLine="482" w:firstLineChars="200"/>
              <w:rPr>
                <w:rFonts w:hint="eastAsia"/>
                <w:b/>
                <w:bCs/>
                <w:color w:val="auto"/>
                <w:highlight w:val="none"/>
                <w:lang w:val="en-US" w:eastAsia="zh-CN"/>
              </w:rPr>
            </w:pPr>
            <w:r>
              <w:rPr>
                <w:rFonts w:hint="eastAsia"/>
                <w:b/>
                <w:bCs/>
                <w:color w:val="auto"/>
                <w:highlight w:val="none"/>
                <w:lang w:val="en-US" w:eastAsia="zh-CN"/>
              </w:rPr>
              <w:t>地表水环境质量现状</w:t>
            </w:r>
          </w:p>
          <w:p w14:paraId="44742981">
            <w:pPr>
              <w:spacing w:line="360" w:lineRule="auto"/>
              <w:ind w:firstLine="480" w:firstLineChars="200"/>
              <w:rPr>
                <w:b/>
                <w:color w:val="auto"/>
                <w:sz w:val="24"/>
                <w:highlight w:val="none"/>
              </w:rPr>
            </w:pPr>
            <w:r>
              <w:rPr>
                <w:color w:val="auto"/>
                <w:sz w:val="24"/>
                <w:highlight w:val="none"/>
              </w:rPr>
              <w:t>本项目运营期</w:t>
            </w:r>
            <w:r>
              <w:rPr>
                <w:color w:val="auto"/>
                <w:kern w:val="0"/>
                <w:sz w:val="24"/>
                <w:highlight w:val="none"/>
              </w:rPr>
              <w:t>生活污水经化粪池处理后，</w:t>
            </w:r>
            <w:r>
              <w:rPr>
                <w:color w:val="auto"/>
                <w:sz w:val="24"/>
                <w:highlight w:val="none"/>
              </w:rPr>
              <w:t>生活盥洗废水泼洒用于厂区绿化；</w:t>
            </w:r>
            <w:r>
              <w:rPr>
                <w:rFonts w:hint="eastAsia"/>
                <w:color w:val="auto"/>
                <w:sz w:val="24"/>
                <w:highlight w:val="none"/>
                <w:lang w:val="en-US" w:eastAsia="zh-CN"/>
              </w:rPr>
              <w:t>厂区绿化洒水用水，全部蒸发损耗；</w:t>
            </w:r>
            <w:r>
              <w:rPr>
                <w:color w:val="auto"/>
                <w:kern w:val="0"/>
                <w:sz w:val="24"/>
                <w:highlight w:val="none"/>
              </w:rPr>
              <w:t>化粪池粪便定期清掏用作农肥</w:t>
            </w:r>
            <w:r>
              <w:rPr>
                <w:rFonts w:hint="eastAsia"/>
                <w:color w:val="auto"/>
                <w:kern w:val="0"/>
                <w:sz w:val="24"/>
                <w:highlight w:val="none"/>
              </w:rPr>
              <w:t>；生产用水</w:t>
            </w:r>
            <w:r>
              <w:rPr>
                <w:rFonts w:hint="eastAsia"/>
                <w:color w:val="auto"/>
                <w:kern w:val="0"/>
                <w:sz w:val="24"/>
                <w:highlight w:val="none"/>
                <w:lang w:val="en-US" w:eastAsia="zh-CN"/>
              </w:rPr>
              <w:t>冷却</w:t>
            </w:r>
            <w:r>
              <w:rPr>
                <w:rFonts w:hint="eastAsia"/>
                <w:color w:val="auto"/>
                <w:kern w:val="0"/>
                <w:sz w:val="24"/>
                <w:highlight w:val="none"/>
              </w:rPr>
              <w:t>循环使用，不外排</w:t>
            </w:r>
            <w:r>
              <w:rPr>
                <w:color w:val="auto"/>
                <w:sz w:val="24"/>
                <w:highlight w:val="none"/>
              </w:rPr>
              <w:t>。因此本项目不进行地表水现状监测。</w:t>
            </w:r>
          </w:p>
          <w:p w14:paraId="79822923">
            <w:pPr>
              <w:pStyle w:val="11"/>
              <w:numPr>
                <w:ilvl w:val="0"/>
                <w:numId w:val="6"/>
              </w:numPr>
              <w:bidi w:val="0"/>
              <w:ind w:left="0" w:leftChars="0" w:firstLine="482" w:firstLineChars="200"/>
              <w:rPr>
                <w:rFonts w:hint="eastAsia"/>
                <w:b/>
                <w:bCs/>
                <w:smallCaps/>
                <w:color w:val="auto"/>
                <w:sz w:val="24"/>
                <w:szCs w:val="20"/>
                <w:highlight w:val="none"/>
                <w:lang w:val="en-US" w:eastAsia="zh-CN"/>
              </w:rPr>
            </w:pPr>
            <w:r>
              <w:rPr>
                <w:rFonts w:hint="eastAsia"/>
                <w:b/>
                <w:bCs/>
                <w:smallCaps/>
                <w:color w:val="auto"/>
                <w:sz w:val="24"/>
                <w:szCs w:val="20"/>
                <w:highlight w:val="none"/>
                <w:lang w:val="en-US" w:eastAsia="zh-CN"/>
              </w:rPr>
              <w:t>地下水、土壤环境质量现状</w:t>
            </w:r>
          </w:p>
          <w:p w14:paraId="3F184963">
            <w:pPr>
              <w:pStyle w:val="11"/>
              <w:bidi w:val="0"/>
              <w:rPr>
                <w:rFonts w:hint="eastAsia"/>
                <w:color w:val="auto"/>
                <w:highlight w:val="none"/>
                <w:lang w:val="en-US" w:eastAsia="zh-CN"/>
              </w:rPr>
            </w:pPr>
            <w:r>
              <w:rPr>
                <w:rFonts w:hint="eastAsia"/>
                <w:color w:val="auto"/>
                <w:highlight w:val="none"/>
                <w:lang w:val="en-US" w:eastAsia="zh-CN"/>
              </w:rPr>
              <w:t>本项目周边无地下水集中式饮用水源地和热水、矿泉水、温泉等特殊地下水资源。根据《环境影响评价技术导则地下水环境》（HJ610-2016）和《环境影响评价技术导则土壤环境（试行）》（HJ964-2018）要求，本项目不需开展地下水、土壤环境影响评价，因此不开展地下水、土壤环境质量现状调查。</w:t>
            </w:r>
          </w:p>
          <w:p w14:paraId="5E1297F8">
            <w:pPr>
              <w:pStyle w:val="11"/>
              <w:numPr>
                <w:ilvl w:val="0"/>
                <w:numId w:val="6"/>
              </w:numPr>
              <w:bidi w:val="0"/>
              <w:ind w:left="0" w:leftChars="0" w:firstLine="482" w:firstLineChars="200"/>
              <w:rPr>
                <w:rFonts w:hint="default"/>
                <w:b/>
                <w:bCs/>
                <w:color w:val="auto"/>
                <w:highlight w:val="none"/>
                <w:lang w:val="en-US" w:eastAsia="zh-CN"/>
              </w:rPr>
            </w:pPr>
            <w:r>
              <w:rPr>
                <w:rFonts w:hint="eastAsia"/>
                <w:b/>
                <w:bCs/>
                <w:color w:val="auto"/>
                <w:highlight w:val="none"/>
                <w:lang w:val="en-US" w:eastAsia="zh-CN"/>
              </w:rPr>
              <w:t>生态环境质量现状</w:t>
            </w:r>
          </w:p>
          <w:p w14:paraId="0C991717">
            <w:pPr>
              <w:pStyle w:val="11"/>
              <w:bidi w:val="0"/>
              <w:rPr>
                <w:rFonts w:hint="default"/>
                <w:b/>
                <w:bCs/>
                <w:smallCaps/>
                <w:color w:val="auto"/>
                <w:sz w:val="24"/>
                <w:szCs w:val="20"/>
                <w:highlight w:val="none"/>
                <w:lang w:val="en-US" w:eastAsia="zh-CN"/>
              </w:rPr>
            </w:pPr>
            <w:r>
              <w:rPr>
                <w:rFonts w:hint="eastAsia"/>
                <w:color w:val="auto"/>
                <w:sz w:val="24"/>
                <w:highlight w:val="none"/>
              </w:rPr>
              <w:t>本项目位于产业园区外，项目用地性质</w:t>
            </w:r>
            <w:r>
              <w:rPr>
                <w:rFonts w:hint="eastAsia"/>
                <w:color w:val="auto"/>
                <w:sz w:val="24"/>
                <w:highlight w:val="none"/>
                <w:lang w:eastAsia="zh-CN"/>
              </w:rPr>
              <w:t>为</w:t>
            </w:r>
            <w:r>
              <w:rPr>
                <w:rFonts w:hint="eastAsia"/>
                <w:color w:val="auto"/>
                <w:sz w:val="24"/>
                <w:highlight w:val="none"/>
                <w:lang w:val="en-US" w:eastAsia="zh-CN"/>
              </w:rPr>
              <w:t>工业</w:t>
            </w:r>
            <w:r>
              <w:rPr>
                <w:rFonts w:hint="eastAsia"/>
                <w:color w:val="auto"/>
                <w:sz w:val="24"/>
                <w:highlight w:val="none"/>
              </w:rPr>
              <w:t>用地。用地范围内无生态环境保护目标</w:t>
            </w:r>
            <w:r>
              <w:rPr>
                <w:smallCaps/>
                <w:color w:val="auto"/>
                <w:sz w:val="24"/>
                <w:szCs w:val="20"/>
                <w:highlight w:val="none"/>
              </w:rPr>
              <w:t>。</w:t>
            </w:r>
          </w:p>
        </w:tc>
      </w:tr>
      <w:tr w14:paraId="433314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28" w:hRule="atLeast"/>
          <w:jc w:val="center"/>
        </w:trPr>
        <w:tc>
          <w:tcPr>
            <w:tcW w:w="829" w:type="dxa"/>
            <w:noWrap w:val="0"/>
            <w:vAlign w:val="center"/>
          </w:tcPr>
          <w:p w14:paraId="79592146">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环境</w:t>
            </w:r>
          </w:p>
          <w:p w14:paraId="71550130">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保护</w:t>
            </w:r>
          </w:p>
          <w:p w14:paraId="59E8303D">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目标</w:t>
            </w:r>
          </w:p>
        </w:tc>
        <w:tc>
          <w:tcPr>
            <w:tcW w:w="8161" w:type="dxa"/>
            <w:noWrap w:val="0"/>
            <w:vAlign w:val="center"/>
          </w:tcPr>
          <w:p w14:paraId="733A8A02">
            <w:pPr>
              <w:pStyle w:val="11"/>
              <w:bidi w:val="0"/>
              <w:rPr>
                <w:rStyle w:val="38"/>
                <w:color w:val="auto"/>
                <w:highlight w:val="none"/>
              </w:rPr>
            </w:pPr>
            <w:r>
              <w:rPr>
                <w:rFonts w:hint="eastAsia" w:ascii="宋体" w:hAnsi="宋体" w:eastAsia="宋体" w:cs="宋体"/>
                <w:color w:val="auto"/>
                <w:kern w:val="0"/>
                <w:sz w:val="24"/>
                <w:szCs w:val="24"/>
                <w:highlight w:val="none"/>
                <w:lang w:val="en-US" w:eastAsia="zh-CN" w:bidi="ar"/>
              </w:rPr>
              <w:t>根据现场调查，本项目评价范围内无自然保护区、风景名胜区以及饮用水水源保护区等特殊、重要生态敏感区分布。项目主要环境保护目标见表</w:t>
            </w:r>
            <w:r>
              <w:rPr>
                <w:rFonts w:hint="default" w:ascii="Times New Roman" w:hAnsi="Times New Roman" w:eastAsia="宋体" w:cs="Times New Roman"/>
                <w:color w:val="auto"/>
                <w:kern w:val="0"/>
                <w:sz w:val="24"/>
                <w:szCs w:val="24"/>
                <w:highlight w:val="none"/>
                <w:lang w:val="en-US" w:eastAsia="zh-CN" w:bidi="ar"/>
              </w:rPr>
              <w:t>3-</w:t>
            </w:r>
            <w:r>
              <w:rPr>
                <w:rFonts w:hint="eastAsia" w:cs="Times New Roman"/>
                <w:color w:val="auto"/>
                <w:kern w:val="0"/>
                <w:sz w:val="24"/>
                <w:szCs w:val="24"/>
                <w:highlight w:val="none"/>
                <w:lang w:val="en-US" w:eastAsia="zh-CN" w:bidi="ar"/>
              </w:rPr>
              <w:t>4</w:t>
            </w:r>
            <w:r>
              <w:rPr>
                <w:rFonts w:hint="eastAsia" w:ascii="宋体" w:hAnsi="宋体" w:eastAsia="宋体" w:cs="宋体"/>
                <w:color w:val="auto"/>
                <w:kern w:val="0"/>
                <w:sz w:val="24"/>
                <w:szCs w:val="24"/>
                <w:highlight w:val="none"/>
                <w:lang w:val="en-US" w:eastAsia="zh-CN" w:bidi="ar"/>
              </w:rPr>
              <w:t>。</w:t>
            </w:r>
          </w:p>
          <w:p w14:paraId="4B2E26DD">
            <w:pPr>
              <w:pStyle w:val="32"/>
              <w:bidi w:val="0"/>
              <w:rPr>
                <w:rFonts w:hint="default"/>
                <w:color w:val="auto"/>
                <w:highlight w:val="none"/>
                <w:lang w:val="en-US" w:eastAsia="zh-CN"/>
              </w:rPr>
            </w:pPr>
            <w:r>
              <w:rPr>
                <w:rFonts w:hint="eastAsia"/>
                <w:color w:val="auto"/>
                <w:highlight w:val="none"/>
                <w:lang w:val="en-US" w:eastAsia="zh-CN"/>
              </w:rPr>
              <w:t>表3-4     主要环境保护目标一览表</w:t>
            </w:r>
          </w:p>
          <w:tbl>
            <w:tblPr>
              <w:tblStyle w:val="26"/>
              <w:tblpPr w:leftFromText="180" w:rightFromText="180" w:vertAnchor="text" w:horzAnchor="page" w:tblpX="111" w:tblpY="128"/>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1475"/>
              <w:gridCol w:w="1465"/>
              <w:gridCol w:w="954"/>
              <w:gridCol w:w="764"/>
              <w:gridCol w:w="244"/>
              <w:gridCol w:w="811"/>
              <w:gridCol w:w="627"/>
              <w:gridCol w:w="827"/>
            </w:tblGrid>
            <w:tr w14:paraId="22A75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vMerge w:val="restart"/>
                  <w:noWrap w:val="0"/>
                  <w:vAlign w:val="center"/>
                </w:tcPr>
                <w:p w14:paraId="799C1DB6">
                  <w:pPr>
                    <w:pStyle w:val="49"/>
                    <w:bidi w:val="0"/>
                    <w:rPr>
                      <w:b/>
                      <w:bCs/>
                      <w:color w:val="auto"/>
                      <w:highlight w:val="none"/>
                    </w:rPr>
                  </w:pPr>
                  <w:r>
                    <w:rPr>
                      <w:b/>
                      <w:bCs/>
                      <w:color w:val="auto"/>
                      <w:highlight w:val="none"/>
                    </w:rPr>
                    <w:t>名称</w:t>
                  </w:r>
                </w:p>
              </w:tc>
              <w:tc>
                <w:tcPr>
                  <w:tcW w:w="2940" w:type="dxa"/>
                  <w:gridSpan w:val="2"/>
                  <w:noWrap w:val="0"/>
                  <w:vAlign w:val="center"/>
                </w:tcPr>
                <w:p w14:paraId="045A07C1">
                  <w:pPr>
                    <w:pStyle w:val="49"/>
                    <w:bidi w:val="0"/>
                    <w:rPr>
                      <w:rFonts w:hint="eastAsia" w:eastAsia="宋体"/>
                      <w:b/>
                      <w:bCs/>
                      <w:color w:val="auto"/>
                      <w:highlight w:val="none"/>
                      <w:lang w:eastAsia="zh-CN"/>
                    </w:rPr>
                  </w:pPr>
                  <w:r>
                    <w:rPr>
                      <w:b/>
                      <w:bCs/>
                      <w:color w:val="auto"/>
                      <w:highlight w:val="none"/>
                    </w:rPr>
                    <w:t>坐标</w:t>
                  </w:r>
                  <w:r>
                    <w:rPr>
                      <w:rFonts w:hint="eastAsia"/>
                      <w:b/>
                      <w:bCs/>
                      <w:color w:val="auto"/>
                      <w:highlight w:val="none"/>
                      <w:lang w:eastAsia="zh-CN"/>
                    </w:rPr>
                    <w:t>（</w:t>
                  </w:r>
                  <w:r>
                    <w:rPr>
                      <w:rFonts w:hint="eastAsia"/>
                      <w:b/>
                      <w:bCs/>
                      <w:color w:val="auto"/>
                      <w:highlight w:val="none"/>
                      <w:lang w:val="en-US" w:eastAsia="zh-CN"/>
                    </w:rPr>
                    <w:t>°</w:t>
                  </w:r>
                  <w:r>
                    <w:rPr>
                      <w:rFonts w:hint="eastAsia"/>
                      <w:b/>
                      <w:bCs/>
                      <w:color w:val="auto"/>
                      <w:highlight w:val="none"/>
                      <w:lang w:eastAsia="zh-CN"/>
                    </w:rPr>
                    <w:t>）</w:t>
                  </w:r>
                </w:p>
              </w:tc>
              <w:tc>
                <w:tcPr>
                  <w:tcW w:w="954" w:type="dxa"/>
                  <w:vMerge w:val="restart"/>
                  <w:noWrap w:val="0"/>
                  <w:vAlign w:val="center"/>
                </w:tcPr>
                <w:p w14:paraId="4AFDDEAD">
                  <w:pPr>
                    <w:pStyle w:val="49"/>
                    <w:bidi w:val="0"/>
                    <w:rPr>
                      <w:b/>
                      <w:bCs/>
                      <w:color w:val="auto"/>
                      <w:highlight w:val="none"/>
                    </w:rPr>
                  </w:pPr>
                  <w:r>
                    <w:rPr>
                      <w:b/>
                      <w:bCs/>
                      <w:color w:val="auto"/>
                      <w:highlight w:val="none"/>
                    </w:rPr>
                    <w:t>保护对象</w:t>
                  </w:r>
                </w:p>
              </w:tc>
              <w:tc>
                <w:tcPr>
                  <w:tcW w:w="764" w:type="dxa"/>
                  <w:vMerge w:val="restart"/>
                  <w:noWrap w:val="0"/>
                  <w:vAlign w:val="center"/>
                </w:tcPr>
                <w:p w14:paraId="68FD7F9A">
                  <w:pPr>
                    <w:pStyle w:val="49"/>
                    <w:bidi w:val="0"/>
                    <w:rPr>
                      <w:b/>
                      <w:bCs/>
                      <w:color w:val="auto"/>
                      <w:highlight w:val="none"/>
                    </w:rPr>
                  </w:pPr>
                  <w:r>
                    <w:rPr>
                      <w:b/>
                      <w:bCs/>
                      <w:color w:val="auto"/>
                      <w:highlight w:val="none"/>
                    </w:rPr>
                    <w:t>保护内容</w:t>
                  </w:r>
                </w:p>
              </w:tc>
              <w:tc>
                <w:tcPr>
                  <w:tcW w:w="1055" w:type="dxa"/>
                  <w:gridSpan w:val="2"/>
                  <w:vMerge w:val="restart"/>
                  <w:noWrap w:val="0"/>
                  <w:vAlign w:val="center"/>
                </w:tcPr>
                <w:p w14:paraId="2C0C3CA4">
                  <w:pPr>
                    <w:pStyle w:val="49"/>
                    <w:bidi w:val="0"/>
                    <w:rPr>
                      <w:b/>
                      <w:bCs/>
                      <w:color w:val="auto"/>
                      <w:highlight w:val="none"/>
                    </w:rPr>
                  </w:pPr>
                  <w:r>
                    <w:rPr>
                      <w:b/>
                      <w:bCs/>
                      <w:color w:val="auto"/>
                      <w:highlight w:val="none"/>
                    </w:rPr>
                    <w:t>环境功能区</w:t>
                  </w:r>
                </w:p>
              </w:tc>
              <w:tc>
                <w:tcPr>
                  <w:tcW w:w="627" w:type="dxa"/>
                  <w:vMerge w:val="restart"/>
                  <w:noWrap w:val="0"/>
                  <w:vAlign w:val="center"/>
                </w:tcPr>
                <w:p w14:paraId="26336886">
                  <w:pPr>
                    <w:pStyle w:val="49"/>
                    <w:bidi w:val="0"/>
                    <w:rPr>
                      <w:b/>
                      <w:bCs/>
                      <w:color w:val="auto"/>
                      <w:highlight w:val="none"/>
                    </w:rPr>
                  </w:pPr>
                  <w:r>
                    <w:rPr>
                      <w:b/>
                      <w:bCs/>
                      <w:color w:val="auto"/>
                      <w:highlight w:val="none"/>
                    </w:rPr>
                    <w:t>相对方位</w:t>
                  </w:r>
                </w:p>
              </w:tc>
              <w:tc>
                <w:tcPr>
                  <w:tcW w:w="827" w:type="dxa"/>
                  <w:vMerge w:val="restart"/>
                  <w:noWrap w:val="0"/>
                  <w:vAlign w:val="center"/>
                </w:tcPr>
                <w:p w14:paraId="4F3D5E13">
                  <w:pPr>
                    <w:pStyle w:val="49"/>
                    <w:bidi w:val="0"/>
                    <w:rPr>
                      <w:rFonts w:hint="default" w:eastAsia="宋体"/>
                      <w:b/>
                      <w:bCs/>
                      <w:color w:val="auto"/>
                      <w:highlight w:val="none"/>
                      <w:lang w:val="en-US" w:eastAsia="zh-CN"/>
                    </w:rPr>
                  </w:pPr>
                  <w:r>
                    <w:rPr>
                      <w:b/>
                      <w:bCs/>
                      <w:color w:val="auto"/>
                      <w:highlight w:val="none"/>
                    </w:rPr>
                    <w:t>距厂界</w:t>
                  </w:r>
                  <w:r>
                    <w:rPr>
                      <w:rFonts w:hint="eastAsia"/>
                      <w:b/>
                      <w:bCs/>
                      <w:color w:val="auto"/>
                      <w:highlight w:val="none"/>
                      <w:lang w:val="en-US" w:eastAsia="zh-CN"/>
                    </w:rPr>
                    <w:t>/m</w:t>
                  </w:r>
                </w:p>
              </w:tc>
            </w:tr>
            <w:tr w14:paraId="5F36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vMerge w:val="continue"/>
                  <w:noWrap w:val="0"/>
                  <w:vAlign w:val="center"/>
                </w:tcPr>
                <w:p w14:paraId="79CEEF70">
                  <w:pPr>
                    <w:pStyle w:val="49"/>
                    <w:bidi w:val="0"/>
                    <w:rPr>
                      <w:color w:val="auto"/>
                      <w:highlight w:val="none"/>
                    </w:rPr>
                  </w:pPr>
                </w:p>
              </w:tc>
              <w:tc>
                <w:tcPr>
                  <w:tcW w:w="1475" w:type="dxa"/>
                  <w:noWrap w:val="0"/>
                  <w:vAlign w:val="center"/>
                </w:tcPr>
                <w:p w14:paraId="1AE89F2C">
                  <w:pPr>
                    <w:pStyle w:val="49"/>
                    <w:bidi w:val="0"/>
                    <w:rPr>
                      <w:rFonts w:hint="default" w:eastAsia="宋体"/>
                      <w:b/>
                      <w:bCs/>
                      <w:color w:val="auto"/>
                      <w:highlight w:val="none"/>
                      <w:lang w:val="en-US" w:eastAsia="zh-CN"/>
                    </w:rPr>
                  </w:pPr>
                  <w:r>
                    <w:rPr>
                      <w:rFonts w:hint="eastAsia"/>
                      <w:b/>
                      <w:bCs/>
                      <w:color w:val="auto"/>
                      <w:highlight w:val="none"/>
                      <w:lang w:val="en-US" w:eastAsia="zh-CN"/>
                    </w:rPr>
                    <w:t>经度</w:t>
                  </w:r>
                </w:p>
              </w:tc>
              <w:tc>
                <w:tcPr>
                  <w:tcW w:w="1465" w:type="dxa"/>
                  <w:noWrap w:val="0"/>
                  <w:vAlign w:val="center"/>
                </w:tcPr>
                <w:p w14:paraId="5413F887">
                  <w:pPr>
                    <w:pStyle w:val="49"/>
                    <w:bidi w:val="0"/>
                    <w:rPr>
                      <w:rFonts w:hint="default" w:eastAsia="宋体"/>
                      <w:b/>
                      <w:bCs/>
                      <w:color w:val="auto"/>
                      <w:highlight w:val="none"/>
                      <w:lang w:val="en-US" w:eastAsia="zh-CN"/>
                    </w:rPr>
                  </w:pPr>
                  <w:r>
                    <w:rPr>
                      <w:rFonts w:hint="eastAsia"/>
                      <w:b/>
                      <w:bCs/>
                      <w:color w:val="auto"/>
                      <w:highlight w:val="none"/>
                      <w:lang w:val="en-US" w:eastAsia="zh-CN"/>
                    </w:rPr>
                    <w:t>纬度</w:t>
                  </w:r>
                </w:p>
              </w:tc>
              <w:tc>
                <w:tcPr>
                  <w:tcW w:w="954" w:type="dxa"/>
                  <w:vMerge w:val="continue"/>
                  <w:noWrap w:val="0"/>
                  <w:vAlign w:val="center"/>
                </w:tcPr>
                <w:p w14:paraId="216AD2D7">
                  <w:pPr>
                    <w:pStyle w:val="49"/>
                    <w:bidi w:val="0"/>
                    <w:rPr>
                      <w:color w:val="auto"/>
                      <w:highlight w:val="none"/>
                    </w:rPr>
                  </w:pPr>
                </w:p>
              </w:tc>
              <w:tc>
                <w:tcPr>
                  <w:tcW w:w="764" w:type="dxa"/>
                  <w:vMerge w:val="continue"/>
                  <w:noWrap w:val="0"/>
                  <w:vAlign w:val="center"/>
                </w:tcPr>
                <w:p w14:paraId="7AA48F6E">
                  <w:pPr>
                    <w:pStyle w:val="49"/>
                    <w:bidi w:val="0"/>
                    <w:rPr>
                      <w:color w:val="auto"/>
                      <w:highlight w:val="none"/>
                    </w:rPr>
                  </w:pPr>
                </w:p>
              </w:tc>
              <w:tc>
                <w:tcPr>
                  <w:tcW w:w="1055" w:type="dxa"/>
                  <w:gridSpan w:val="2"/>
                  <w:vMerge w:val="continue"/>
                  <w:noWrap w:val="0"/>
                  <w:vAlign w:val="center"/>
                </w:tcPr>
                <w:p w14:paraId="774344B3">
                  <w:pPr>
                    <w:pStyle w:val="49"/>
                    <w:bidi w:val="0"/>
                    <w:rPr>
                      <w:color w:val="auto"/>
                      <w:highlight w:val="none"/>
                    </w:rPr>
                  </w:pPr>
                </w:p>
              </w:tc>
              <w:tc>
                <w:tcPr>
                  <w:tcW w:w="627" w:type="dxa"/>
                  <w:vMerge w:val="continue"/>
                  <w:noWrap w:val="0"/>
                  <w:vAlign w:val="center"/>
                </w:tcPr>
                <w:p w14:paraId="05CD73DF">
                  <w:pPr>
                    <w:pStyle w:val="49"/>
                    <w:bidi w:val="0"/>
                    <w:rPr>
                      <w:color w:val="auto"/>
                      <w:highlight w:val="none"/>
                    </w:rPr>
                  </w:pPr>
                </w:p>
              </w:tc>
              <w:tc>
                <w:tcPr>
                  <w:tcW w:w="827" w:type="dxa"/>
                  <w:vMerge w:val="continue"/>
                  <w:noWrap w:val="0"/>
                  <w:vAlign w:val="center"/>
                </w:tcPr>
                <w:p w14:paraId="631CFBCB">
                  <w:pPr>
                    <w:pStyle w:val="49"/>
                    <w:bidi w:val="0"/>
                    <w:rPr>
                      <w:color w:val="auto"/>
                      <w:highlight w:val="none"/>
                    </w:rPr>
                  </w:pPr>
                </w:p>
              </w:tc>
            </w:tr>
            <w:tr w14:paraId="1FFF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vMerge w:val="restart"/>
                  <w:noWrap w:val="0"/>
                  <w:vAlign w:val="center"/>
                </w:tcPr>
                <w:p w14:paraId="08A97DF8">
                  <w:pPr>
                    <w:pStyle w:val="49"/>
                    <w:bidi w:val="0"/>
                    <w:rPr>
                      <w:rFonts w:hint="eastAsia"/>
                      <w:color w:val="auto"/>
                      <w:highlight w:val="none"/>
                    </w:rPr>
                  </w:pPr>
                  <w:r>
                    <w:rPr>
                      <w:color w:val="auto"/>
                      <w:highlight w:val="none"/>
                    </w:rPr>
                    <w:t>环境空气</w:t>
                  </w:r>
                </w:p>
              </w:tc>
              <w:tc>
                <w:tcPr>
                  <w:tcW w:w="1475" w:type="dxa"/>
                  <w:noWrap w:val="0"/>
                  <w:vAlign w:val="center"/>
                </w:tcPr>
                <w:p w14:paraId="50491279">
                  <w:pPr>
                    <w:pStyle w:val="49"/>
                    <w:bidi w:val="0"/>
                    <w:rPr>
                      <w:rFonts w:hint="default" w:eastAsia="宋体"/>
                      <w:color w:val="auto"/>
                      <w:highlight w:val="none"/>
                      <w:lang w:val="en-US" w:eastAsia="zh-CN"/>
                    </w:rPr>
                  </w:pPr>
                  <w:r>
                    <w:rPr>
                      <w:rFonts w:hint="default" w:eastAsia="宋体"/>
                      <w:color w:val="auto"/>
                      <w:highlight w:val="none"/>
                      <w:lang w:val="en-US" w:eastAsia="zh-CN"/>
                    </w:rPr>
                    <w:t>107.491075</w:t>
                  </w:r>
                </w:p>
              </w:tc>
              <w:tc>
                <w:tcPr>
                  <w:tcW w:w="1465" w:type="dxa"/>
                  <w:noWrap w:val="0"/>
                  <w:vAlign w:val="center"/>
                </w:tcPr>
                <w:p w14:paraId="3824CD4F">
                  <w:pPr>
                    <w:pStyle w:val="49"/>
                    <w:bidi w:val="0"/>
                    <w:rPr>
                      <w:color w:val="auto"/>
                      <w:highlight w:val="none"/>
                    </w:rPr>
                  </w:pPr>
                  <w:r>
                    <w:rPr>
                      <w:rFonts w:hint="default" w:eastAsia="宋体"/>
                      <w:color w:val="auto"/>
                      <w:highlight w:val="none"/>
                      <w:lang w:val="en-US" w:eastAsia="zh-CN"/>
                    </w:rPr>
                    <w:t>33.236798</w:t>
                  </w:r>
                </w:p>
              </w:tc>
              <w:tc>
                <w:tcPr>
                  <w:tcW w:w="954" w:type="dxa"/>
                  <w:noWrap w:val="0"/>
                  <w:vAlign w:val="center"/>
                </w:tcPr>
                <w:p w14:paraId="0773F9DD">
                  <w:pPr>
                    <w:pStyle w:val="49"/>
                    <w:bidi w:val="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全丰村</w:t>
                  </w:r>
                </w:p>
              </w:tc>
              <w:tc>
                <w:tcPr>
                  <w:tcW w:w="764" w:type="dxa"/>
                  <w:noWrap w:val="0"/>
                  <w:vAlign w:val="center"/>
                </w:tcPr>
                <w:p w14:paraId="17242724">
                  <w:pPr>
                    <w:pStyle w:val="49"/>
                    <w:bidi w:val="0"/>
                    <w:rPr>
                      <w:rFonts w:hint="default" w:eastAsia="宋体"/>
                      <w:color w:val="auto"/>
                      <w:highlight w:val="none"/>
                      <w:lang w:val="en-US" w:eastAsia="zh-CN"/>
                    </w:rPr>
                  </w:pPr>
                  <w:r>
                    <w:rPr>
                      <w:rFonts w:hint="eastAsia"/>
                      <w:color w:val="auto"/>
                      <w:highlight w:val="none"/>
                      <w:lang w:val="en-US" w:eastAsia="zh-CN"/>
                    </w:rPr>
                    <w:t>400人</w:t>
                  </w:r>
                </w:p>
              </w:tc>
              <w:tc>
                <w:tcPr>
                  <w:tcW w:w="1055" w:type="dxa"/>
                  <w:gridSpan w:val="2"/>
                  <w:vMerge w:val="restart"/>
                  <w:noWrap w:val="0"/>
                  <w:vAlign w:val="center"/>
                </w:tcPr>
                <w:p w14:paraId="528B7D18">
                  <w:pPr>
                    <w:pStyle w:val="49"/>
                    <w:bidi w:val="0"/>
                    <w:rPr>
                      <w:rFonts w:hint="eastAsia"/>
                      <w:color w:val="auto"/>
                      <w:highlight w:val="none"/>
                    </w:rPr>
                  </w:pPr>
                  <w:r>
                    <w:rPr>
                      <w:color w:val="auto"/>
                      <w:highlight w:val="none"/>
                    </w:rPr>
                    <w:t>环境空气质量二类功能区</w:t>
                  </w:r>
                </w:p>
              </w:tc>
              <w:tc>
                <w:tcPr>
                  <w:tcW w:w="627" w:type="dxa"/>
                  <w:noWrap w:val="0"/>
                  <w:vAlign w:val="center"/>
                </w:tcPr>
                <w:p w14:paraId="678DBF18">
                  <w:pPr>
                    <w:pStyle w:val="49"/>
                    <w:bidi w:val="0"/>
                    <w:rPr>
                      <w:rFonts w:hint="default" w:eastAsia="宋体"/>
                      <w:color w:val="auto"/>
                      <w:highlight w:val="none"/>
                      <w:lang w:val="en-US" w:eastAsia="zh-CN"/>
                    </w:rPr>
                  </w:pPr>
                  <w:r>
                    <w:rPr>
                      <w:rFonts w:hint="eastAsia"/>
                      <w:color w:val="auto"/>
                      <w:highlight w:val="none"/>
                      <w:lang w:val="en-US" w:eastAsia="zh-CN"/>
                    </w:rPr>
                    <w:t>SW</w:t>
                  </w:r>
                </w:p>
              </w:tc>
              <w:tc>
                <w:tcPr>
                  <w:tcW w:w="827" w:type="dxa"/>
                  <w:noWrap w:val="0"/>
                  <w:vAlign w:val="center"/>
                </w:tcPr>
                <w:p w14:paraId="5714B006">
                  <w:pPr>
                    <w:pStyle w:val="49"/>
                    <w:bidi w:val="0"/>
                    <w:rPr>
                      <w:rFonts w:hint="default" w:eastAsia="宋体"/>
                      <w:color w:val="auto"/>
                      <w:highlight w:val="none"/>
                      <w:lang w:val="en-US" w:eastAsia="zh-CN"/>
                    </w:rPr>
                  </w:pPr>
                  <w:r>
                    <w:rPr>
                      <w:rFonts w:hint="eastAsia"/>
                      <w:color w:val="auto"/>
                      <w:highlight w:val="none"/>
                      <w:lang w:val="en-US" w:eastAsia="zh-CN"/>
                    </w:rPr>
                    <w:t>45</w:t>
                  </w:r>
                </w:p>
              </w:tc>
            </w:tr>
            <w:tr w14:paraId="1153C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vMerge w:val="continue"/>
                  <w:noWrap w:val="0"/>
                  <w:vAlign w:val="center"/>
                </w:tcPr>
                <w:p w14:paraId="631A96C9">
                  <w:pPr>
                    <w:pStyle w:val="49"/>
                    <w:bidi w:val="0"/>
                    <w:rPr>
                      <w:color w:val="auto"/>
                      <w:highlight w:val="none"/>
                    </w:rPr>
                  </w:pPr>
                </w:p>
              </w:tc>
              <w:tc>
                <w:tcPr>
                  <w:tcW w:w="1475" w:type="dxa"/>
                  <w:noWrap w:val="0"/>
                  <w:vAlign w:val="center"/>
                </w:tcPr>
                <w:p w14:paraId="481DC46F">
                  <w:pPr>
                    <w:pStyle w:val="49"/>
                    <w:bidi w:val="0"/>
                    <w:rPr>
                      <w:color w:val="auto"/>
                      <w:highlight w:val="none"/>
                    </w:rPr>
                  </w:pPr>
                  <w:r>
                    <w:rPr>
                      <w:rFonts w:hint="eastAsia"/>
                      <w:color w:val="auto"/>
                      <w:highlight w:val="none"/>
                    </w:rPr>
                    <w:t>107.498907</w:t>
                  </w:r>
                </w:p>
              </w:tc>
              <w:tc>
                <w:tcPr>
                  <w:tcW w:w="1465" w:type="dxa"/>
                  <w:noWrap w:val="0"/>
                  <w:vAlign w:val="center"/>
                </w:tcPr>
                <w:p w14:paraId="42257D43">
                  <w:pPr>
                    <w:pStyle w:val="49"/>
                    <w:bidi w:val="0"/>
                    <w:rPr>
                      <w:color w:val="auto"/>
                      <w:highlight w:val="none"/>
                    </w:rPr>
                  </w:pPr>
                  <w:r>
                    <w:rPr>
                      <w:rFonts w:hint="eastAsia"/>
                      <w:color w:val="auto"/>
                      <w:highlight w:val="none"/>
                    </w:rPr>
                    <w:t>33.238815</w:t>
                  </w:r>
                </w:p>
              </w:tc>
              <w:tc>
                <w:tcPr>
                  <w:tcW w:w="954" w:type="dxa"/>
                  <w:noWrap w:val="0"/>
                  <w:vAlign w:val="center"/>
                </w:tcPr>
                <w:p w14:paraId="6C4D8F26">
                  <w:pPr>
                    <w:pStyle w:val="49"/>
                    <w:bidi w:val="0"/>
                    <w:rPr>
                      <w:rFonts w:hint="eastAsia" w:eastAsia="宋体"/>
                      <w:color w:val="auto"/>
                      <w:highlight w:val="none"/>
                      <w:lang w:val="en-US" w:eastAsia="zh-CN"/>
                    </w:rPr>
                  </w:pPr>
                  <w:r>
                    <w:rPr>
                      <w:rFonts w:hint="eastAsia"/>
                      <w:color w:val="auto"/>
                      <w:highlight w:val="none"/>
                      <w:lang w:val="en-US" w:eastAsia="zh-CN"/>
                    </w:rPr>
                    <w:t>陈家坎</w:t>
                  </w:r>
                </w:p>
              </w:tc>
              <w:tc>
                <w:tcPr>
                  <w:tcW w:w="764" w:type="dxa"/>
                  <w:noWrap w:val="0"/>
                  <w:vAlign w:val="center"/>
                </w:tcPr>
                <w:p w14:paraId="44249CB3">
                  <w:pPr>
                    <w:pStyle w:val="49"/>
                    <w:bidi w:val="0"/>
                    <w:rPr>
                      <w:rFonts w:hint="default" w:eastAsia="宋体"/>
                      <w:color w:val="auto"/>
                      <w:highlight w:val="none"/>
                      <w:lang w:val="en-US" w:eastAsia="zh-CN"/>
                    </w:rPr>
                  </w:pPr>
                  <w:r>
                    <w:rPr>
                      <w:rFonts w:hint="eastAsia"/>
                      <w:color w:val="auto"/>
                      <w:highlight w:val="none"/>
                      <w:lang w:val="en-US" w:eastAsia="zh-CN"/>
                    </w:rPr>
                    <w:t>500人</w:t>
                  </w:r>
                </w:p>
              </w:tc>
              <w:tc>
                <w:tcPr>
                  <w:tcW w:w="1055" w:type="dxa"/>
                  <w:gridSpan w:val="2"/>
                  <w:vMerge w:val="continue"/>
                  <w:noWrap w:val="0"/>
                  <w:vAlign w:val="center"/>
                </w:tcPr>
                <w:p w14:paraId="5A060459">
                  <w:pPr>
                    <w:pStyle w:val="49"/>
                    <w:bidi w:val="0"/>
                    <w:rPr>
                      <w:color w:val="auto"/>
                      <w:highlight w:val="none"/>
                    </w:rPr>
                  </w:pPr>
                </w:p>
              </w:tc>
              <w:tc>
                <w:tcPr>
                  <w:tcW w:w="627" w:type="dxa"/>
                  <w:noWrap w:val="0"/>
                  <w:vAlign w:val="center"/>
                </w:tcPr>
                <w:p w14:paraId="7AD0D13F">
                  <w:pPr>
                    <w:pStyle w:val="49"/>
                    <w:bidi w:val="0"/>
                    <w:rPr>
                      <w:rFonts w:hint="default" w:eastAsia="宋体"/>
                      <w:color w:val="auto"/>
                      <w:highlight w:val="none"/>
                      <w:lang w:val="en-US" w:eastAsia="zh-CN"/>
                    </w:rPr>
                  </w:pPr>
                  <w:r>
                    <w:rPr>
                      <w:rFonts w:hint="eastAsia"/>
                      <w:color w:val="auto"/>
                      <w:highlight w:val="none"/>
                      <w:lang w:val="en-US" w:eastAsia="zh-CN"/>
                    </w:rPr>
                    <w:t>S</w:t>
                  </w:r>
                </w:p>
              </w:tc>
              <w:tc>
                <w:tcPr>
                  <w:tcW w:w="827" w:type="dxa"/>
                  <w:noWrap w:val="0"/>
                  <w:vAlign w:val="center"/>
                </w:tcPr>
                <w:p w14:paraId="347BEEC5">
                  <w:pPr>
                    <w:pStyle w:val="49"/>
                    <w:bidi w:val="0"/>
                    <w:rPr>
                      <w:rFonts w:hint="default" w:eastAsia="宋体"/>
                      <w:color w:val="auto"/>
                      <w:highlight w:val="none"/>
                      <w:lang w:val="en-US" w:eastAsia="zh-CN"/>
                    </w:rPr>
                  </w:pPr>
                  <w:r>
                    <w:rPr>
                      <w:rFonts w:hint="eastAsia"/>
                      <w:color w:val="auto"/>
                      <w:highlight w:val="none"/>
                      <w:lang w:val="en-US" w:eastAsia="zh-CN"/>
                    </w:rPr>
                    <w:t>300</w:t>
                  </w:r>
                </w:p>
              </w:tc>
            </w:tr>
            <w:tr w14:paraId="0EA6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vMerge w:val="continue"/>
                  <w:noWrap w:val="0"/>
                  <w:vAlign w:val="center"/>
                </w:tcPr>
                <w:p w14:paraId="72794160">
                  <w:pPr>
                    <w:pStyle w:val="49"/>
                    <w:bidi w:val="0"/>
                    <w:rPr>
                      <w:color w:val="auto"/>
                      <w:highlight w:val="none"/>
                    </w:rPr>
                  </w:pPr>
                </w:p>
              </w:tc>
              <w:tc>
                <w:tcPr>
                  <w:tcW w:w="4658" w:type="dxa"/>
                  <w:gridSpan w:val="4"/>
                  <w:noWrap w:val="0"/>
                  <w:vAlign w:val="center"/>
                </w:tcPr>
                <w:p w14:paraId="51CE8E2E">
                  <w:pPr>
                    <w:pStyle w:val="49"/>
                    <w:bidi w:val="0"/>
                    <w:rPr>
                      <w:rFonts w:hint="eastAsia"/>
                      <w:color w:val="auto"/>
                      <w:highlight w:val="none"/>
                      <w:lang w:val="en-US" w:eastAsia="zh-CN"/>
                    </w:rPr>
                  </w:pPr>
                  <w:r>
                    <w:rPr>
                      <w:rFonts w:hint="eastAsia"/>
                      <w:color w:val="auto"/>
                      <w:highlight w:val="none"/>
                      <w:lang w:val="en-US" w:eastAsia="zh-CN"/>
                    </w:rPr>
                    <w:t>陕西汉中朱鹮国家级自然保护区</w:t>
                  </w:r>
                </w:p>
              </w:tc>
              <w:tc>
                <w:tcPr>
                  <w:tcW w:w="1055" w:type="dxa"/>
                  <w:gridSpan w:val="2"/>
                  <w:noWrap w:val="0"/>
                  <w:vAlign w:val="center"/>
                </w:tcPr>
                <w:p w14:paraId="3CCAC6A4">
                  <w:pPr>
                    <w:pStyle w:val="49"/>
                    <w:bidi w:val="0"/>
                    <w:rPr>
                      <w:color w:val="auto"/>
                      <w:highlight w:val="none"/>
                    </w:rPr>
                  </w:pPr>
                  <w:r>
                    <w:rPr>
                      <w:color w:val="auto"/>
                      <w:highlight w:val="none"/>
                    </w:rPr>
                    <w:t>环境空气质量</w:t>
                  </w:r>
                  <w:r>
                    <w:rPr>
                      <w:rFonts w:hint="eastAsia"/>
                      <w:color w:val="auto"/>
                      <w:highlight w:val="none"/>
                      <w:lang w:val="en-US" w:eastAsia="zh-CN"/>
                    </w:rPr>
                    <w:t>一</w:t>
                  </w:r>
                  <w:r>
                    <w:rPr>
                      <w:color w:val="auto"/>
                      <w:highlight w:val="none"/>
                    </w:rPr>
                    <w:t>类功能区</w:t>
                  </w:r>
                </w:p>
              </w:tc>
              <w:tc>
                <w:tcPr>
                  <w:tcW w:w="627" w:type="dxa"/>
                  <w:noWrap w:val="0"/>
                  <w:vAlign w:val="center"/>
                </w:tcPr>
                <w:p w14:paraId="727EE5DF">
                  <w:pPr>
                    <w:pStyle w:val="49"/>
                    <w:bidi w:val="0"/>
                    <w:rPr>
                      <w:rFonts w:hint="default"/>
                      <w:color w:val="auto"/>
                      <w:highlight w:val="none"/>
                      <w:lang w:val="en-US" w:eastAsia="zh-CN"/>
                    </w:rPr>
                  </w:pPr>
                  <w:r>
                    <w:rPr>
                      <w:rFonts w:hint="eastAsia"/>
                      <w:color w:val="auto"/>
                      <w:highlight w:val="none"/>
                      <w:lang w:val="en-US" w:eastAsia="zh-CN"/>
                    </w:rPr>
                    <w:t>N</w:t>
                  </w:r>
                </w:p>
              </w:tc>
              <w:tc>
                <w:tcPr>
                  <w:tcW w:w="827" w:type="dxa"/>
                  <w:noWrap w:val="0"/>
                  <w:vAlign w:val="center"/>
                </w:tcPr>
                <w:p w14:paraId="4597917E">
                  <w:pPr>
                    <w:pStyle w:val="49"/>
                    <w:bidi w:val="0"/>
                    <w:rPr>
                      <w:rFonts w:hint="default"/>
                      <w:color w:val="auto"/>
                      <w:highlight w:val="none"/>
                      <w:lang w:val="en-US" w:eastAsia="zh-CN"/>
                    </w:rPr>
                  </w:pPr>
                  <w:r>
                    <w:rPr>
                      <w:rFonts w:hint="eastAsia"/>
                      <w:color w:val="auto"/>
                      <w:highlight w:val="none"/>
                      <w:lang w:val="en-US" w:eastAsia="zh-CN"/>
                    </w:rPr>
                    <w:t>152.6</w:t>
                  </w:r>
                </w:p>
              </w:tc>
            </w:tr>
            <w:tr w14:paraId="3AD6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noWrap w:val="0"/>
                  <w:vAlign w:val="center"/>
                </w:tcPr>
                <w:p w14:paraId="035AD471">
                  <w:pPr>
                    <w:pStyle w:val="49"/>
                    <w:bidi w:val="0"/>
                    <w:rPr>
                      <w:color w:val="auto"/>
                      <w:highlight w:val="none"/>
                    </w:rPr>
                  </w:pPr>
                  <w:r>
                    <w:rPr>
                      <w:color w:val="auto"/>
                      <w:highlight w:val="none"/>
                    </w:rPr>
                    <w:t>声环境</w:t>
                  </w:r>
                </w:p>
              </w:tc>
              <w:tc>
                <w:tcPr>
                  <w:tcW w:w="1475" w:type="dxa"/>
                  <w:noWrap w:val="0"/>
                  <w:vAlign w:val="center"/>
                </w:tcPr>
                <w:p w14:paraId="0EB3F076">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default" w:eastAsia="宋体"/>
                      <w:color w:val="auto"/>
                      <w:highlight w:val="none"/>
                      <w:lang w:val="en-US" w:eastAsia="zh-CN"/>
                    </w:rPr>
                    <w:t>107.491075</w:t>
                  </w:r>
                </w:p>
              </w:tc>
              <w:tc>
                <w:tcPr>
                  <w:tcW w:w="1465" w:type="dxa"/>
                  <w:noWrap w:val="0"/>
                  <w:vAlign w:val="center"/>
                </w:tcPr>
                <w:p w14:paraId="7EED4D5B">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default" w:eastAsia="宋体"/>
                      <w:color w:val="auto"/>
                      <w:highlight w:val="none"/>
                      <w:lang w:val="en-US" w:eastAsia="zh-CN"/>
                    </w:rPr>
                    <w:t>33.236798</w:t>
                  </w:r>
                </w:p>
              </w:tc>
              <w:tc>
                <w:tcPr>
                  <w:tcW w:w="954" w:type="dxa"/>
                  <w:noWrap w:val="0"/>
                  <w:vAlign w:val="center"/>
                </w:tcPr>
                <w:p w14:paraId="4CA81B23">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全丰村</w:t>
                  </w:r>
                </w:p>
              </w:tc>
              <w:tc>
                <w:tcPr>
                  <w:tcW w:w="764" w:type="dxa"/>
                  <w:noWrap w:val="0"/>
                  <w:vAlign w:val="center"/>
                </w:tcPr>
                <w:p w14:paraId="5A7FDD48">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400人</w:t>
                  </w:r>
                </w:p>
              </w:tc>
              <w:tc>
                <w:tcPr>
                  <w:tcW w:w="1055" w:type="dxa"/>
                  <w:gridSpan w:val="2"/>
                  <w:noWrap w:val="0"/>
                  <w:vAlign w:val="center"/>
                </w:tcPr>
                <w:p w14:paraId="20C62029">
                  <w:pPr>
                    <w:pStyle w:val="49"/>
                    <w:bidi w:val="0"/>
                    <w:rPr>
                      <w:rFonts w:hint="default" w:eastAsia="宋体"/>
                      <w:color w:val="auto"/>
                      <w:highlight w:val="none"/>
                      <w:lang w:val="en-US" w:eastAsia="zh-CN"/>
                    </w:rPr>
                  </w:pPr>
                  <w:r>
                    <w:rPr>
                      <w:rFonts w:hint="eastAsia"/>
                      <w:color w:val="auto"/>
                      <w:highlight w:val="none"/>
                      <w:lang w:val="en-US" w:eastAsia="zh-CN"/>
                    </w:rPr>
                    <w:t>声环境2类功能区</w:t>
                  </w:r>
                </w:p>
              </w:tc>
              <w:tc>
                <w:tcPr>
                  <w:tcW w:w="627" w:type="dxa"/>
                  <w:noWrap w:val="0"/>
                  <w:vAlign w:val="center"/>
                </w:tcPr>
                <w:p w14:paraId="0AA412D9">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SW</w:t>
                  </w:r>
                </w:p>
              </w:tc>
              <w:tc>
                <w:tcPr>
                  <w:tcW w:w="827" w:type="dxa"/>
                  <w:noWrap w:val="0"/>
                  <w:vAlign w:val="center"/>
                </w:tcPr>
                <w:p w14:paraId="3AD7E744">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45</w:t>
                  </w:r>
                </w:p>
              </w:tc>
            </w:tr>
            <w:tr w14:paraId="2E04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noWrap w:val="0"/>
                  <w:vAlign w:val="center"/>
                </w:tcPr>
                <w:p w14:paraId="18B23ECC">
                  <w:pPr>
                    <w:pStyle w:val="49"/>
                    <w:bidi w:val="0"/>
                    <w:rPr>
                      <w:rFonts w:hint="eastAsia" w:eastAsia="宋体"/>
                      <w:color w:val="auto"/>
                      <w:highlight w:val="none"/>
                      <w:lang w:val="en-US" w:eastAsia="zh-CN"/>
                    </w:rPr>
                  </w:pPr>
                  <w:r>
                    <w:rPr>
                      <w:rFonts w:hint="eastAsia"/>
                      <w:color w:val="auto"/>
                      <w:highlight w:val="none"/>
                      <w:lang w:val="en-US" w:eastAsia="zh-CN"/>
                    </w:rPr>
                    <w:t>地表水</w:t>
                  </w:r>
                </w:p>
              </w:tc>
              <w:tc>
                <w:tcPr>
                  <w:tcW w:w="2940" w:type="dxa"/>
                  <w:gridSpan w:val="2"/>
                  <w:noWrap w:val="0"/>
                  <w:vAlign w:val="center"/>
                </w:tcPr>
                <w:p w14:paraId="75066550">
                  <w:pPr>
                    <w:pStyle w:val="49"/>
                    <w:bidi w:val="0"/>
                    <w:rPr>
                      <w:rFonts w:hint="eastAsia" w:eastAsia="宋体"/>
                      <w:color w:val="auto"/>
                      <w:highlight w:val="none"/>
                      <w:lang w:val="en-US" w:eastAsia="zh-CN"/>
                    </w:rPr>
                  </w:pPr>
                  <w:r>
                    <w:rPr>
                      <w:rFonts w:hint="eastAsia"/>
                      <w:color w:val="auto"/>
                      <w:highlight w:val="none"/>
                      <w:lang w:val="en-US" w:eastAsia="zh-CN"/>
                    </w:rPr>
                    <w:t>/</w:t>
                  </w:r>
                </w:p>
              </w:tc>
              <w:tc>
                <w:tcPr>
                  <w:tcW w:w="954" w:type="dxa"/>
                  <w:noWrap w:val="0"/>
                  <w:vAlign w:val="center"/>
                </w:tcPr>
                <w:p w14:paraId="039EF1FF">
                  <w:pPr>
                    <w:pStyle w:val="49"/>
                    <w:bidi w:val="0"/>
                    <w:rPr>
                      <w:rFonts w:hint="eastAsia" w:eastAsia="宋体"/>
                      <w:color w:val="auto"/>
                      <w:highlight w:val="none"/>
                      <w:lang w:val="en-US" w:eastAsia="zh-CN"/>
                    </w:rPr>
                  </w:pPr>
                  <w:r>
                    <w:rPr>
                      <w:rFonts w:hint="eastAsia"/>
                      <w:color w:val="auto"/>
                      <w:highlight w:val="none"/>
                      <w:lang w:val="en-US" w:eastAsia="zh-CN"/>
                    </w:rPr>
                    <w:t>汉江</w:t>
                  </w:r>
                </w:p>
              </w:tc>
              <w:tc>
                <w:tcPr>
                  <w:tcW w:w="1819" w:type="dxa"/>
                  <w:gridSpan w:val="3"/>
                  <w:noWrap w:val="0"/>
                  <w:vAlign w:val="center"/>
                </w:tcPr>
                <w:p w14:paraId="593D85FA">
                  <w:pPr>
                    <w:pStyle w:val="49"/>
                    <w:bidi w:val="0"/>
                    <w:rPr>
                      <w:rFonts w:hint="default" w:eastAsia="宋体"/>
                      <w:color w:val="auto"/>
                      <w:highlight w:val="none"/>
                      <w:lang w:val="en-US" w:eastAsia="zh-CN"/>
                    </w:rPr>
                  </w:pPr>
                  <w:r>
                    <w:rPr>
                      <w:rFonts w:hint="eastAsia"/>
                      <w:color w:val="auto"/>
                      <w:highlight w:val="none"/>
                      <w:lang w:val="en-US" w:eastAsia="zh-CN"/>
                    </w:rPr>
                    <w:t>Ⅱ类水环境</w:t>
                  </w:r>
                </w:p>
              </w:tc>
              <w:tc>
                <w:tcPr>
                  <w:tcW w:w="627" w:type="dxa"/>
                  <w:noWrap w:val="0"/>
                  <w:vAlign w:val="center"/>
                </w:tcPr>
                <w:p w14:paraId="7F71C121">
                  <w:pPr>
                    <w:pStyle w:val="49"/>
                    <w:bidi w:val="0"/>
                    <w:rPr>
                      <w:rFonts w:hint="eastAsia" w:eastAsia="宋体"/>
                      <w:color w:val="auto"/>
                      <w:highlight w:val="none"/>
                      <w:lang w:val="en-US" w:eastAsia="zh-CN"/>
                    </w:rPr>
                  </w:pPr>
                  <w:r>
                    <w:rPr>
                      <w:rFonts w:hint="eastAsia"/>
                      <w:color w:val="auto"/>
                      <w:highlight w:val="none"/>
                      <w:lang w:val="en-US" w:eastAsia="zh-CN"/>
                    </w:rPr>
                    <w:t>S</w:t>
                  </w:r>
                </w:p>
              </w:tc>
              <w:tc>
                <w:tcPr>
                  <w:tcW w:w="827" w:type="dxa"/>
                  <w:noWrap w:val="0"/>
                  <w:vAlign w:val="center"/>
                </w:tcPr>
                <w:p w14:paraId="07C2EF8F">
                  <w:pPr>
                    <w:pStyle w:val="49"/>
                    <w:bidi w:val="0"/>
                    <w:rPr>
                      <w:rFonts w:hint="default" w:eastAsia="宋体"/>
                      <w:color w:val="auto"/>
                      <w:highlight w:val="none"/>
                      <w:lang w:val="en-US" w:eastAsia="zh-CN"/>
                    </w:rPr>
                  </w:pPr>
                  <w:r>
                    <w:rPr>
                      <w:rFonts w:hint="eastAsia"/>
                      <w:color w:val="auto"/>
                      <w:highlight w:val="none"/>
                      <w:lang w:val="en-US" w:eastAsia="zh-CN"/>
                    </w:rPr>
                    <w:t>3000</w:t>
                  </w:r>
                </w:p>
              </w:tc>
            </w:tr>
            <w:tr w14:paraId="7D9F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noWrap w:val="0"/>
                  <w:vAlign w:val="center"/>
                </w:tcPr>
                <w:p w14:paraId="6E04E738">
                  <w:pPr>
                    <w:pStyle w:val="49"/>
                    <w:bidi w:val="0"/>
                    <w:rPr>
                      <w:color w:val="auto"/>
                      <w:highlight w:val="none"/>
                    </w:rPr>
                  </w:pPr>
                  <w:r>
                    <w:rPr>
                      <w:color w:val="auto"/>
                      <w:highlight w:val="none"/>
                    </w:rPr>
                    <w:t>地下水环境</w:t>
                  </w:r>
                </w:p>
              </w:tc>
              <w:tc>
                <w:tcPr>
                  <w:tcW w:w="7167" w:type="dxa"/>
                  <w:gridSpan w:val="8"/>
                  <w:noWrap w:val="0"/>
                  <w:vAlign w:val="center"/>
                </w:tcPr>
                <w:p w14:paraId="4059573C">
                  <w:pPr>
                    <w:pStyle w:val="49"/>
                    <w:bidi w:val="0"/>
                    <w:rPr>
                      <w:rFonts w:hint="eastAsia"/>
                      <w:color w:val="auto"/>
                      <w:highlight w:val="none"/>
                    </w:rPr>
                  </w:pPr>
                  <w:r>
                    <w:rPr>
                      <w:color w:val="auto"/>
                      <w:highlight w:val="none"/>
                    </w:rPr>
                    <w:t>项目所在地厂界外500米范围内无地下水集中式饮用水水源和热水、矿泉水、温泉等地下水环境保护目标</w:t>
                  </w:r>
                </w:p>
              </w:tc>
            </w:tr>
            <w:tr w14:paraId="44F6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33" w:type="dxa"/>
                  <w:noWrap w:val="0"/>
                  <w:vAlign w:val="center"/>
                </w:tcPr>
                <w:p w14:paraId="15C78BD0">
                  <w:pPr>
                    <w:pStyle w:val="49"/>
                    <w:bidi w:val="0"/>
                    <w:rPr>
                      <w:color w:val="auto"/>
                      <w:highlight w:val="none"/>
                    </w:rPr>
                  </w:pPr>
                  <w:r>
                    <w:rPr>
                      <w:color w:val="auto"/>
                      <w:highlight w:val="none"/>
                    </w:rPr>
                    <w:t>土壤环境</w:t>
                  </w:r>
                </w:p>
              </w:tc>
              <w:tc>
                <w:tcPr>
                  <w:tcW w:w="3894" w:type="dxa"/>
                  <w:gridSpan w:val="3"/>
                  <w:noWrap w:val="0"/>
                  <w:vAlign w:val="center"/>
                </w:tcPr>
                <w:p w14:paraId="070FA250">
                  <w:pPr>
                    <w:pStyle w:val="49"/>
                    <w:bidi w:val="0"/>
                    <w:rPr>
                      <w:color w:val="auto"/>
                      <w:highlight w:val="none"/>
                    </w:rPr>
                  </w:pPr>
                  <w:r>
                    <w:rPr>
                      <w:rFonts w:hint="eastAsia"/>
                      <w:color w:val="auto"/>
                      <w:highlight w:val="none"/>
                    </w:rPr>
                    <w:t>厂区及厂区外50m范围内</w:t>
                  </w:r>
                </w:p>
              </w:tc>
              <w:tc>
                <w:tcPr>
                  <w:tcW w:w="1008" w:type="dxa"/>
                  <w:gridSpan w:val="2"/>
                  <w:noWrap w:val="0"/>
                  <w:vAlign w:val="center"/>
                </w:tcPr>
                <w:p w14:paraId="137B3AC9">
                  <w:pPr>
                    <w:pStyle w:val="49"/>
                    <w:bidi w:val="0"/>
                    <w:rPr>
                      <w:rFonts w:hint="eastAsia"/>
                      <w:color w:val="auto"/>
                      <w:highlight w:val="none"/>
                    </w:rPr>
                  </w:pPr>
                  <w:r>
                    <w:rPr>
                      <w:rFonts w:hint="eastAsia"/>
                      <w:color w:val="auto"/>
                      <w:highlight w:val="none"/>
                    </w:rPr>
                    <w:t>土壤</w:t>
                  </w:r>
                </w:p>
              </w:tc>
              <w:tc>
                <w:tcPr>
                  <w:tcW w:w="2265" w:type="dxa"/>
                  <w:gridSpan w:val="3"/>
                  <w:noWrap w:val="0"/>
                  <w:vAlign w:val="center"/>
                </w:tcPr>
                <w:p w14:paraId="15F25FCB">
                  <w:pPr>
                    <w:pStyle w:val="49"/>
                    <w:bidi w:val="0"/>
                    <w:rPr>
                      <w:rFonts w:hint="default" w:eastAsia="宋体"/>
                      <w:color w:val="auto"/>
                      <w:highlight w:val="none"/>
                      <w:lang w:val="en-US" w:eastAsia="zh-CN"/>
                    </w:rPr>
                  </w:pPr>
                  <w:r>
                    <w:rPr>
                      <w:rFonts w:hint="eastAsia"/>
                      <w:color w:val="auto"/>
                      <w:highlight w:val="none"/>
                      <w:lang w:val="en-US" w:eastAsia="zh-CN"/>
                    </w:rPr>
                    <w:t>/</w:t>
                  </w:r>
                </w:p>
              </w:tc>
            </w:tr>
          </w:tbl>
          <w:p w14:paraId="29E74763">
            <w:pPr>
              <w:pStyle w:val="32"/>
              <w:bidi w:val="0"/>
              <w:rPr>
                <w:rFonts w:hint="default"/>
                <w:color w:val="auto"/>
                <w:highlight w:val="none"/>
                <w:lang w:val="en-US" w:eastAsia="zh-CN"/>
              </w:rPr>
            </w:pPr>
          </w:p>
        </w:tc>
      </w:tr>
      <w:tr w14:paraId="74F1CA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829" w:type="dxa"/>
            <w:noWrap w:val="0"/>
            <w:tcMar>
              <w:left w:w="28" w:type="dxa"/>
              <w:right w:w="28" w:type="dxa"/>
            </w:tcMar>
            <w:vAlign w:val="center"/>
          </w:tcPr>
          <w:p w14:paraId="6E8B2827">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污染</w:t>
            </w:r>
          </w:p>
          <w:p w14:paraId="4B429668">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物排</w:t>
            </w:r>
          </w:p>
          <w:p w14:paraId="1E320335">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放控</w:t>
            </w:r>
          </w:p>
          <w:p w14:paraId="6CFB8077">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制标</w:t>
            </w:r>
          </w:p>
          <w:p w14:paraId="78DF29D9">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准</w:t>
            </w:r>
          </w:p>
        </w:tc>
        <w:tc>
          <w:tcPr>
            <w:tcW w:w="8161" w:type="dxa"/>
            <w:noWrap w:val="0"/>
            <w:vAlign w:val="center"/>
          </w:tcPr>
          <w:p w14:paraId="19A785AA">
            <w:pPr>
              <w:pStyle w:val="11"/>
              <w:numPr>
                <w:ilvl w:val="0"/>
                <w:numId w:val="8"/>
              </w:numPr>
              <w:bidi w:val="0"/>
              <w:rPr>
                <w:b/>
                <w:bCs/>
                <w:color w:val="auto"/>
                <w:highlight w:val="none"/>
              </w:rPr>
            </w:pPr>
            <w:r>
              <w:rPr>
                <w:b/>
                <w:bCs/>
                <w:color w:val="auto"/>
                <w:highlight w:val="none"/>
              </w:rPr>
              <w:t>废气</w:t>
            </w:r>
          </w:p>
          <w:p w14:paraId="4BCCC5E6">
            <w:pPr>
              <w:pStyle w:val="11"/>
              <w:bidi w:val="0"/>
              <w:rPr>
                <w:rFonts w:hint="eastAsia" w:eastAsia="宋体"/>
                <w:color w:val="auto"/>
                <w:highlight w:val="none"/>
                <w:lang w:eastAsia="zh-CN"/>
              </w:rPr>
            </w:pPr>
            <w:r>
              <w:rPr>
                <w:color w:val="auto"/>
                <w:highlight w:val="none"/>
              </w:rPr>
              <w:t>本项目施工期扬尘排放执行《施工场界扬尘排放限值》（DB61/1078-2017）表1中施工场界扬尘浓度限值；运营期排放的粉碎粉尘及</w:t>
            </w:r>
            <w:r>
              <w:rPr>
                <w:rFonts w:hint="eastAsia"/>
                <w:color w:val="auto"/>
                <w:highlight w:val="none"/>
                <w:lang w:eastAsia="zh-CN"/>
              </w:rPr>
              <w:t>烘干废气</w:t>
            </w:r>
            <w:r>
              <w:rPr>
                <w:color w:val="auto"/>
                <w:highlight w:val="none"/>
              </w:rPr>
              <w:t>中SO</w:t>
            </w:r>
            <w:r>
              <w:rPr>
                <w:color w:val="auto"/>
                <w:highlight w:val="none"/>
                <w:vertAlign w:val="subscript"/>
              </w:rPr>
              <w:t>2</w:t>
            </w:r>
            <w:r>
              <w:rPr>
                <w:color w:val="auto"/>
                <w:highlight w:val="none"/>
              </w:rPr>
              <w:t>、NOx均执行《大气污染物综合排放标准》（GB16297-1996）表2中排放限值；</w:t>
            </w:r>
            <w:r>
              <w:rPr>
                <w:rFonts w:hint="eastAsia"/>
                <w:color w:val="auto"/>
                <w:highlight w:val="none"/>
                <w:lang w:val="en-US" w:eastAsia="zh-CN"/>
              </w:rPr>
              <w:t>烘干</w:t>
            </w:r>
            <w:r>
              <w:rPr>
                <w:color w:val="auto"/>
                <w:highlight w:val="none"/>
              </w:rPr>
              <w:t>废气</w:t>
            </w:r>
            <w:r>
              <w:rPr>
                <w:rFonts w:hint="eastAsia"/>
                <w:color w:val="auto"/>
                <w:highlight w:val="none"/>
                <w:lang w:val="en-US" w:eastAsia="zh-CN"/>
              </w:rPr>
              <w:t>中的颗粒物</w:t>
            </w:r>
            <w:r>
              <w:rPr>
                <w:color w:val="auto"/>
                <w:highlight w:val="none"/>
              </w:rPr>
              <w:t>排放执行《工业炉窑大气污染物排放标准》（GB9078-1996）中二级排放标准限值</w:t>
            </w:r>
            <w:r>
              <w:rPr>
                <w:rFonts w:hint="eastAsia"/>
                <w:color w:val="auto"/>
                <w:highlight w:val="none"/>
                <w:lang w:eastAsia="zh-CN"/>
              </w:rPr>
              <w:t>；</w:t>
            </w:r>
            <w:r>
              <w:rPr>
                <w:color w:val="auto"/>
                <w:highlight w:val="none"/>
              </w:rPr>
              <w:t>燃气储罐、放散管等无组织排放的非甲烷总烃执行《大气污染物综合排放标准》（GB16297-1996）表2中无组织排放监控浓度限值</w:t>
            </w:r>
            <w:r>
              <w:rPr>
                <w:rFonts w:hint="eastAsia"/>
                <w:color w:val="auto"/>
                <w:highlight w:val="none"/>
                <w:lang w:eastAsia="zh-CN"/>
              </w:rPr>
              <w:t>；</w:t>
            </w:r>
            <w:r>
              <w:rPr>
                <w:rFonts w:hint="eastAsia"/>
                <w:color w:val="auto"/>
                <w:highlight w:val="none"/>
              </w:rPr>
              <w:t>食堂油烟执行《饮食业油烟排放标准（试行）》（GB18483-2001）中</w:t>
            </w:r>
            <w:r>
              <w:rPr>
                <w:rFonts w:hint="eastAsia"/>
                <w:color w:val="auto"/>
                <w:highlight w:val="none"/>
                <w:lang w:val="en-US" w:eastAsia="zh-CN"/>
              </w:rPr>
              <w:t>小型</w:t>
            </w:r>
            <w:r>
              <w:rPr>
                <w:rFonts w:hint="eastAsia"/>
                <w:color w:val="auto"/>
                <w:highlight w:val="none"/>
              </w:rPr>
              <w:t>规模的规定</w:t>
            </w:r>
            <w:r>
              <w:rPr>
                <w:rFonts w:hint="eastAsia"/>
                <w:color w:val="auto"/>
                <w:highlight w:val="none"/>
                <w:lang w:eastAsia="zh-CN"/>
              </w:rPr>
              <w:t>；</w:t>
            </w:r>
            <w:r>
              <w:rPr>
                <w:rFonts w:hint="eastAsia"/>
                <w:color w:val="auto"/>
                <w:highlight w:val="none"/>
                <w:lang w:val="en-US" w:eastAsia="zh-CN"/>
              </w:rPr>
              <w:t>厂区内VOCs无组织排放限值执行</w:t>
            </w:r>
            <w:r>
              <w:rPr>
                <w:color w:val="auto"/>
                <w:highlight w:val="none"/>
              </w:rPr>
              <w:t>《挥发性有机物无组织排放控制标准》</w:t>
            </w:r>
            <w:r>
              <w:rPr>
                <w:rFonts w:hint="eastAsia"/>
                <w:color w:val="auto"/>
                <w:highlight w:val="none"/>
                <w:lang w:eastAsia="zh-CN"/>
              </w:rPr>
              <w:t>（</w:t>
            </w:r>
            <w:r>
              <w:rPr>
                <w:rFonts w:hint="eastAsia"/>
                <w:color w:val="auto"/>
                <w:highlight w:val="none"/>
                <w:lang w:val="en-US" w:eastAsia="zh-CN"/>
              </w:rPr>
              <w:t>GB37822-2019</w:t>
            </w:r>
            <w:r>
              <w:rPr>
                <w:rFonts w:hint="eastAsia"/>
                <w:color w:val="auto"/>
                <w:highlight w:val="none"/>
                <w:lang w:eastAsia="zh-CN"/>
              </w:rPr>
              <w:t>）</w:t>
            </w:r>
            <w:r>
              <w:rPr>
                <w:rFonts w:hint="eastAsia"/>
                <w:color w:val="auto"/>
                <w:highlight w:val="none"/>
                <w:lang w:val="en-US" w:eastAsia="zh-CN"/>
              </w:rPr>
              <w:t>表A.1中排放限值要求；恶臭气体NH</w:t>
            </w:r>
            <w:r>
              <w:rPr>
                <w:rFonts w:hint="eastAsia"/>
                <w:color w:val="auto"/>
                <w:highlight w:val="none"/>
                <w:vertAlign w:val="subscript"/>
                <w:lang w:val="en-US" w:eastAsia="zh-CN"/>
              </w:rPr>
              <w:t>3</w:t>
            </w: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S等执行《恶臭污染物排放标准》</w:t>
            </w:r>
            <w:r>
              <w:rPr>
                <w:rFonts w:hint="eastAsia"/>
                <w:color w:val="auto"/>
                <w:highlight w:val="none"/>
                <w:lang w:eastAsia="zh-CN"/>
              </w:rPr>
              <w:t>。</w:t>
            </w:r>
          </w:p>
          <w:p w14:paraId="03EE3090">
            <w:pPr>
              <w:pStyle w:val="32"/>
              <w:bidi w:val="0"/>
              <w:rPr>
                <w:rFonts w:hint="eastAsia"/>
                <w:b/>
                <w:bCs/>
                <w:color w:val="auto"/>
                <w:sz w:val="21"/>
                <w:szCs w:val="21"/>
                <w:highlight w:val="none"/>
                <w:vertAlign w:val="superscript"/>
              </w:rPr>
            </w:pPr>
            <w:r>
              <w:rPr>
                <w:rFonts w:hint="eastAsia"/>
                <w:b/>
                <w:bCs/>
                <w:color w:val="auto"/>
                <w:sz w:val="21"/>
                <w:szCs w:val="21"/>
                <w:highlight w:val="none"/>
              </w:rPr>
              <w:t>表3-</w:t>
            </w:r>
            <w:r>
              <w:rPr>
                <w:rFonts w:hint="eastAsia"/>
                <w:b/>
                <w:bCs/>
                <w:color w:val="auto"/>
                <w:sz w:val="21"/>
                <w:szCs w:val="21"/>
                <w:highlight w:val="none"/>
                <w:lang w:val="en-US" w:eastAsia="zh-CN"/>
              </w:rPr>
              <w:t>5</w:t>
            </w:r>
            <w:r>
              <w:rPr>
                <w:rFonts w:hint="eastAsia"/>
                <w:color w:val="auto"/>
                <w:highlight w:val="none"/>
                <w:lang w:val="en-US" w:eastAsia="zh-CN"/>
              </w:rPr>
              <w:t xml:space="preserve">     </w:t>
            </w:r>
            <w:r>
              <w:rPr>
                <w:rFonts w:hint="eastAsia"/>
                <w:b/>
                <w:bCs/>
                <w:color w:val="auto"/>
                <w:sz w:val="21"/>
                <w:szCs w:val="21"/>
                <w:highlight w:val="none"/>
              </w:rPr>
              <w:t>施工场界扬尘排放限值单位：mg/m</w:t>
            </w:r>
            <w:r>
              <w:rPr>
                <w:rFonts w:hint="eastAsia"/>
                <w:b/>
                <w:bCs/>
                <w:color w:val="auto"/>
                <w:sz w:val="21"/>
                <w:szCs w:val="21"/>
                <w:highlight w:val="none"/>
                <w:vertAlign w:val="superscript"/>
              </w:rPr>
              <w:t>3</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402"/>
              <w:gridCol w:w="1268"/>
              <w:gridCol w:w="2713"/>
              <w:gridCol w:w="1863"/>
            </w:tblGrid>
            <w:tr w14:paraId="6A1A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0" w:type="dxa"/>
                  <w:noWrap w:val="0"/>
                  <w:vAlign w:val="center"/>
                </w:tcPr>
                <w:p w14:paraId="44765AE2">
                  <w:pPr>
                    <w:pStyle w:val="49"/>
                    <w:bidi w:val="0"/>
                    <w:rPr>
                      <w:b/>
                      <w:bCs/>
                      <w:color w:val="auto"/>
                      <w:highlight w:val="none"/>
                    </w:rPr>
                  </w:pPr>
                  <w:r>
                    <w:rPr>
                      <w:rFonts w:hint="eastAsia"/>
                      <w:b/>
                      <w:bCs/>
                      <w:color w:val="auto"/>
                      <w:highlight w:val="none"/>
                    </w:rPr>
                    <w:t>序号</w:t>
                  </w:r>
                </w:p>
              </w:tc>
              <w:tc>
                <w:tcPr>
                  <w:tcW w:w="1455" w:type="dxa"/>
                  <w:noWrap w:val="0"/>
                  <w:vAlign w:val="center"/>
                </w:tcPr>
                <w:p w14:paraId="1C708435">
                  <w:pPr>
                    <w:pStyle w:val="49"/>
                    <w:bidi w:val="0"/>
                    <w:rPr>
                      <w:b/>
                      <w:bCs/>
                      <w:color w:val="auto"/>
                      <w:highlight w:val="none"/>
                    </w:rPr>
                  </w:pPr>
                  <w:r>
                    <w:rPr>
                      <w:rFonts w:hint="eastAsia"/>
                      <w:b/>
                      <w:bCs/>
                      <w:color w:val="auto"/>
                      <w:highlight w:val="none"/>
                    </w:rPr>
                    <w:t>污染物</w:t>
                  </w:r>
                </w:p>
              </w:tc>
              <w:tc>
                <w:tcPr>
                  <w:tcW w:w="1315" w:type="dxa"/>
                  <w:noWrap w:val="0"/>
                  <w:vAlign w:val="center"/>
                </w:tcPr>
                <w:p w14:paraId="47546AF8">
                  <w:pPr>
                    <w:pStyle w:val="49"/>
                    <w:bidi w:val="0"/>
                    <w:rPr>
                      <w:b/>
                      <w:bCs/>
                      <w:color w:val="auto"/>
                      <w:highlight w:val="none"/>
                    </w:rPr>
                  </w:pPr>
                  <w:r>
                    <w:rPr>
                      <w:rFonts w:hint="eastAsia"/>
                      <w:b/>
                      <w:bCs/>
                      <w:color w:val="auto"/>
                      <w:highlight w:val="none"/>
                    </w:rPr>
                    <w:t>监控点</w:t>
                  </w:r>
                </w:p>
              </w:tc>
              <w:tc>
                <w:tcPr>
                  <w:tcW w:w="2821" w:type="dxa"/>
                  <w:noWrap w:val="0"/>
                  <w:vAlign w:val="center"/>
                </w:tcPr>
                <w:p w14:paraId="115B87DA">
                  <w:pPr>
                    <w:pStyle w:val="49"/>
                    <w:bidi w:val="0"/>
                    <w:rPr>
                      <w:b/>
                      <w:bCs/>
                      <w:color w:val="auto"/>
                      <w:highlight w:val="none"/>
                    </w:rPr>
                  </w:pPr>
                  <w:r>
                    <w:rPr>
                      <w:rFonts w:hint="eastAsia"/>
                      <w:b/>
                      <w:bCs/>
                      <w:color w:val="auto"/>
                      <w:highlight w:val="none"/>
                    </w:rPr>
                    <w:t>施工阶段</w:t>
                  </w:r>
                </w:p>
              </w:tc>
              <w:tc>
                <w:tcPr>
                  <w:tcW w:w="1935" w:type="dxa"/>
                  <w:noWrap w:val="0"/>
                  <w:vAlign w:val="center"/>
                </w:tcPr>
                <w:p w14:paraId="2ADC5302">
                  <w:pPr>
                    <w:pStyle w:val="49"/>
                    <w:bidi w:val="0"/>
                    <w:rPr>
                      <w:b/>
                      <w:bCs/>
                      <w:color w:val="auto"/>
                      <w:highlight w:val="none"/>
                    </w:rPr>
                  </w:pPr>
                  <w:r>
                    <w:rPr>
                      <w:rFonts w:hint="eastAsia"/>
                      <w:b/>
                      <w:bCs/>
                      <w:color w:val="auto"/>
                      <w:highlight w:val="none"/>
                    </w:rPr>
                    <w:t>小时平均浓度限值</w:t>
                  </w:r>
                </w:p>
              </w:tc>
            </w:tr>
            <w:tr w14:paraId="32384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0" w:type="dxa"/>
                  <w:noWrap w:val="0"/>
                  <w:vAlign w:val="center"/>
                </w:tcPr>
                <w:p w14:paraId="46037B8C">
                  <w:pPr>
                    <w:pStyle w:val="49"/>
                    <w:bidi w:val="0"/>
                    <w:rPr>
                      <w:color w:val="auto"/>
                      <w:highlight w:val="none"/>
                    </w:rPr>
                  </w:pPr>
                  <w:r>
                    <w:rPr>
                      <w:rFonts w:hint="eastAsia"/>
                      <w:color w:val="auto"/>
                      <w:highlight w:val="none"/>
                    </w:rPr>
                    <w:t>1</w:t>
                  </w:r>
                </w:p>
              </w:tc>
              <w:tc>
                <w:tcPr>
                  <w:tcW w:w="1455" w:type="dxa"/>
                  <w:vMerge w:val="restart"/>
                  <w:noWrap w:val="0"/>
                  <w:vAlign w:val="center"/>
                </w:tcPr>
                <w:p w14:paraId="714A0B9A">
                  <w:pPr>
                    <w:pStyle w:val="49"/>
                    <w:bidi w:val="0"/>
                    <w:rPr>
                      <w:color w:val="auto"/>
                      <w:highlight w:val="none"/>
                    </w:rPr>
                  </w:pPr>
                  <w:r>
                    <w:rPr>
                      <w:rFonts w:hint="eastAsia"/>
                      <w:color w:val="auto"/>
                      <w:highlight w:val="none"/>
                    </w:rPr>
                    <w:t>施工扬尘（TSP）</w:t>
                  </w:r>
                </w:p>
              </w:tc>
              <w:tc>
                <w:tcPr>
                  <w:tcW w:w="1315" w:type="dxa"/>
                  <w:vMerge w:val="restart"/>
                  <w:noWrap w:val="0"/>
                  <w:vAlign w:val="center"/>
                </w:tcPr>
                <w:p w14:paraId="33018CBA">
                  <w:pPr>
                    <w:pStyle w:val="49"/>
                    <w:bidi w:val="0"/>
                    <w:rPr>
                      <w:color w:val="auto"/>
                      <w:highlight w:val="none"/>
                    </w:rPr>
                  </w:pPr>
                  <w:r>
                    <w:rPr>
                      <w:rFonts w:hint="eastAsia"/>
                      <w:color w:val="auto"/>
                      <w:highlight w:val="none"/>
                    </w:rPr>
                    <w:t>周界外浓度最高点</w:t>
                  </w:r>
                  <w:r>
                    <w:rPr>
                      <w:rFonts w:hint="eastAsia"/>
                      <w:color w:val="auto"/>
                      <w:highlight w:val="none"/>
                      <w:vertAlign w:val="superscript"/>
                    </w:rPr>
                    <w:t>a</w:t>
                  </w:r>
                </w:p>
              </w:tc>
              <w:tc>
                <w:tcPr>
                  <w:tcW w:w="2821" w:type="dxa"/>
                  <w:noWrap w:val="0"/>
                  <w:vAlign w:val="center"/>
                </w:tcPr>
                <w:p w14:paraId="3A04FD65">
                  <w:pPr>
                    <w:pStyle w:val="49"/>
                    <w:bidi w:val="0"/>
                    <w:rPr>
                      <w:color w:val="auto"/>
                      <w:highlight w:val="none"/>
                    </w:rPr>
                  </w:pPr>
                  <w:r>
                    <w:rPr>
                      <w:color w:val="auto"/>
                      <w:highlight w:val="none"/>
                    </w:rPr>
                    <w:t>拆除、土方及地基处理工程</w:t>
                  </w:r>
                </w:p>
              </w:tc>
              <w:tc>
                <w:tcPr>
                  <w:tcW w:w="1935" w:type="dxa"/>
                  <w:noWrap w:val="0"/>
                  <w:vAlign w:val="center"/>
                </w:tcPr>
                <w:p w14:paraId="43857517">
                  <w:pPr>
                    <w:pStyle w:val="49"/>
                    <w:bidi w:val="0"/>
                    <w:rPr>
                      <w:color w:val="auto"/>
                      <w:highlight w:val="none"/>
                    </w:rPr>
                  </w:pPr>
                  <w:r>
                    <w:rPr>
                      <w:color w:val="auto"/>
                      <w:highlight w:val="none"/>
                    </w:rPr>
                    <w:t>≤0.8</w:t>
                  </w:r>
                </w:p>
              </w:tc>
            </w:tr>
            <w:tr w14:paraId="3AA06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80" w:type="dxa"/>
                  <w:noWrap w:val="0"/>
                  <w:vAlign w:val="center"/>
                </w:tcPr>
                <w:p w14:paraId="6E805907">
                  <w:pPr>
                    <w:pStyle w:val="49"/>
                    <w:bidi w:val="0"/>
                    <w:rPr>
                      <w:color w:val="auto"/>
                      <w:highlight w:val="none"/>
                    </w:rPr>
                  </w:pPr>
                  <w:r>
                    <w:rPr>
                      <w:rFonts w:hint="eastAsia"/>
                      <w:color w:val="auto"/>
                      <w:highlight w:val="none"/>
                    </w:rPr>
                    <w:t>2</w:t>
                  </w:r>
                </w:p>
              </w:tc>
              <w:tc>
                <w:tcPr>
                  <w:tcW w:w="1455" w:type="dxa"/>
                  <w:vMerge w:val="continue"/>
                  <w:noWrap w:val="0"/>
                  <w:vAlign w:val="center"/>
                </w:tcPr>
                <w:p w14:paraId="792CBC67">
                  <w:pPr>
                    <w:pStyle w:val="49"/>
                    <w:bidi w:val="0"/>
                    <w:rPr>
                      <w:color w:val="auto"/>
                      <w:highlight w:val="none"/>
                    </w:rPr>
                  </w:pPr>
                </w:p>
              </w:tc>
              <w:tc>
                <w:tcPr>
                  <w:tcW w:w="1315" w:type="dxa"/>
                  <w:vMerge w:val="continue"/>
                  <w:noWrap w:val="0"/>
                  <w:vAlign w:val="center"/>
                </w:tcPr>
                <w:p w14:paraId="6FF4AAA4">
                  <w:pPr>
                    <w:pStyle w:val="49"/>
                    <w:bidi w:val="0"/>
                    <w:rPr>
                      <w:color w:val="auto"/>
                      <w:highlight w:val="none"/>
                    </w:rPr>
                  </w:pPr>
                </w:p>
              </w:tc>
              <w:tc>
                <w:tcPr>
                  <w:tcW w:w="2821" w:type="dxa"/>
                  <w:noWrap w:val="0"/>
                  <w:vAlign w:val="center"/>
                </w:tcPr>
                <w:p w14:paraId="26FF55A1">
                  <w:pPr>
                    <w:pStyle w:val="49"/>
                    <w:bidi w:val="0"/>
                    <w:rPr>
                      <w:color w:val="auto"/>
                      <w:highlight w:val="none"/>
                    </w:rPr>
                  </w:pPr>
                  <w:r>
                    <w:rPr>
                      <w:color w:val="auto"/>
                      <w:highlight w:val="none"/>
                    </w:rPr>
                    <w:t>基础、主体结构及装饰工程</w:t>
                  </w:r>
                </w:p>
              </w:tc>
              <w:tc>
                <w:tcPr>
                  <w:tcW w:w="1935" w:type="dxa"/>
                  <w:noWrap w:val="0"/>
                  <w:vAlign w:val="center"/>
                </w:tcPr>
                <w:p w14:paraId="55403EF9">
                  <w:pPr>
                    <w:pStyle w:val="49"/>
                    <w:bidi w:val="0"/>
                    <w:rPr>
                      <w:color w:val="auto"/>
                      <w:highlight w:val="none"/>
                    </w:rPr>
                  </w:pPr>
                  <w:r>
                    <w:rPr>
                      <w:color w:val="auto"/>
                      <w:highlight w:val="none"/>
                    </w:rPr>
                    <w:t>≤0.</w:t>
                  </w:r>
                  <w:r>
                    <w:rPr>
                      <w:rFonts w:hint="eastAsia"/>
                      <w:color w:val="auto"/>
                      <w:highlight w:val="none"/>
                    </w:rPr>
                    <w:t>7</w:t>
                  </w:r>
                </w:p>
              </w:tc>
            </w:tr>
            <w:tr w14:paraId="3E62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306" w:type="dxa"/>
                  <w:gridSpan w:val="5"/>
                  <w:noWrap w:val="0"/>
                  <w:vAlign w:val="center"/>
                </w:tcPr>
                <w:p w14:paraId="388707C8">
                  <w:pPr>
                    <w:pStyle w:val="49"/>
                    <w:bidi w:val="0"/>
                    <w:rPr>
                      <w:color w:val="auto"/>
                      <w:highlight w:val="none"/>
                    </w:rPr>
                  </w:pPr>
                  <w:r>
                    <w:rPr>
                      <w:color w:val="auto"/>
                      <w:highlight w:val="none"/>
                      <w:vertAlign w:val="superscript"/>
                    </w:rPr>
                    <w:t>a</w:t>
                  </w:r>
                  <w:r>
                    <w:rPr>
                      <w:color w:val="auto"/>
                      <w:highlight w:val="none"/>
                    </w:rPr>
                    <w:t>周界外浓度</w:t>
                  </w:r>
                  <w:r>
                    <w:rPr>
                      <w:rFonts w:hint="eastAsia"/>
                      <w:color w:val="auto"/>
                      <w:highlight w:val="none"/>
                      <w:lang w:eastAsia="zh-CN"/>
                    </w:rPr>
                    <w:t>最高</w:t>
                  </w:r>
                  <w:r>
                    <w:rPr>
                      <w:color w:val="auto"/>
                      <w:highlight w:val="none"/>
                    </w:rPr>
                    <w:cr/>
                  </w:r>
                  <w:r>
                    <w:rPr>
                      <w:color w:val="auto"/>
                      <w:highlight w:val="none"/>
                    </w:rPr>
                    <w:t>点一般应设置于无组织排放源下风向的单位周界外10m范围内，若</w:t>
                  </w:r>
                  <w:r>
                    <w:rPr>
                      <w:rFonts w:hint="eastAsia"/>
                      <w:color w:val="auto"/>
                      <w:highlight w:val="none"/>
                      <w:lang w:eastAsia="zh-CN"/>
                    </w:rPr>
                    <w:t>无组</w:t>
                  </w:r>
                  <w:r>
                    <w:rPr>
                      <w:color w:val="auto"/>
                      <w:highlight w:val="none"/>
                    </w:rPr>
                    <w:cr/>
                  </w:r>
                  <w:r>
                    <w:rPr>
                      <w:color w:val="auto"/>
                      <w:highlight w:val="none"/>
                    </w:rPr>
                    <w:t>织排放的最大落地浓度点超出10m范围，可将监控点移至该预计</w:t>
                  </w:r>
                  <w:r>
                    <w:rPr>
                      <w:rFonts w:hint="eastAsia"/>
                      <w:color w:val="auto"/>
                      <w:highlight w:val="none"/>
                      <w:lang w:val="en-US" w:eastAsia="zh-CN"/>
                    </w:rPr>
                    <w:t>浓</w:t>
                  </w:r>
                  <w:r>
                    <w:rPr>
                      <w:color w:val="auto"/>
                      <w:highlight w:val="none"/>
                    </w:rPr>
                    <w:cr/>
                  </w:r>
                  <w:r>
                    <w:rPr>
                      <w:color w:val="auto"/>
                      <w:highlight w:val="none"/>
                    </w:rPr>
                    <w:t>度最高</w:t>
                  </w:r>
                  <w:r>
                    <w:rPr>
                      <w:color w:val="auto"/>
                      <w:highlight w:val="none"/>
                    </w:rPr>
                    <w:cr/>
                  </w:r>
                  <w:r>
                    <w:rPr>
                      <w:color w:val="auto"/>
                      <w:highlight w:val="none"/>
                    </w:rPr>
                    <w:t>附近。</w:t>
                  </w:r>
                </w:p>
              </w:tc>
            </w:tr>
          </w:tbl>
          <w:p w14:paraId="7592509A">
            <w:pPr>
              <w:pStyle w:val="32"/>
              <w:bidi w:val="0"/>
              <w:rPr>
                <w:color w:val="auto"/>
                <w:highlight w:val="none"/>
              </w:rPr>
            </w:pPr>
            <w:r>
              <w:rPr>
                <w:color w:val="auto"/>
                <w:highlight w:val="none"/>
              </w:rPr>
              <w:t>表</w:t>
            </w:r>
            <w:r>
              <w:rPr>
                <w:rFonts w:hint="eastAsia"/>
                <w:color w:val="auto"/>
                <w:highlight w:val="none"/>
              </w:rPr>
              <w:t>3-</w:t>
            </w:r>
            <w:r>
              <w:rPr>
                <w:rFonts w:hint="eastAsia"/>
                <w:color w:val="auto"/>
                <w:highlight w:val="none"/>
                <w:lang w:val="en-US" w:eastAsia="zh-CN"/>
              </w:rPr>
              <w:t xml:space="preserve">6     </w:t>
            </w:r>
            <w:r>
              <w:rPr>
                <w:rFonts w:hint="eastAsia"/>
                <w:color w:val="auto"/>
                <w:highlight w:val="none"/>
              </w:rPr>
              <w:t>运营期废气</w:t>
            </w:r>
            <w:r>
              <w:rPr>
                <w:color w:val="auto"/>
                <w:highlight w:val="none"/>
              </w:rPr>
              <w:t>污染物排放标准</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4"/>
              <w:gridCol w:w="927"/>
              <w:gridCol w:w="1243"/>
              <w:gridCol w:w="806"/>
              <w:gridCol w:w="1031"/>
              <w:gridCol w:w="1307"/>
            </w:tblGrid>
            <w:tr w14:paraId="7745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restart"/>
                  <w:noWrap w:val="0"/>
                  <w:tcMar>
                    <w:top w:w="0" w:type="dxa"/>
                    <w:left w:w="51" w:type="dxa"/>
                    <w:bottom w:w="0" w:type="dxa"/>
                    <w:right w:w="51" w:type="dxa"/>
                  </w:tcMar>
                  <w:vAlign w:val="center"/>
                </w:tcPr>
                <w:p w14:paraId="53708941">
                  <w:pPr>
                    <w:adjustRightInd w:val="0"/>
                    <w:snapToGrid w:val="0"/>
                    <w:jc w:val="center"/>
                    <w:rPr>
                      <w:b/>
                      <w:bCs w:val="0"/>
                      <w:color w:val="auto"/>
                      <w:szCs w:val="21"/>
                      <w:highlight w:val="none"/>
                    </w:rPr>
                  </w:pPr>
                  <w:r>
                    <w:rPr>
                      <w:rFonts w:hint="eastAsia"/>
                      <w:b/>
                      <w:bCs w:val="0"/>
                      <w:color w:val="auto"/>
                      <w:szCs w:val="21"/>
                      <w:highlight w:val="none"/>
                      <w:lang w:val="en-US" w:eastAsia="zh-CN"/>
                    </w:rPr>
                    <w:t>标准</w:t>
                  </w:r>
                  <w:r>
                    <w:rPr>
                      <w:b/>
                      <w:bCs w:val="0"/>
                      <w:color w:val="auto"/>
                      <w:szCs w:val="21"/>
                      <w:highlight w:val="none"/>
                    </w:rPr>
                    <w:cr/>
                  </w:r>
                  <w:r>
                    <w:rPr>
                      <w:b/>
                      <w:bCs w:val="0"/>
                      <w:color w:val="auto"/>
                      <w:szCs w:val="21"/>
                      <w:highlight w:val="none"/>
                    </w:rPr>
                    <w:t>来源</w:t>
                  </w:r>
                </w:p>
              </w:tc>
              <w:tc>
                <w:tcPr>
                  <w:tcW w:w="920" w:type="dxa"/>
                  <w:vMerge w:val="restart"/>
                  <w:noWrap w:val="0"/>
                  <w:tcMar>
                    <w:top w:w="0" w:type="dxa"/>
                    <w:left w:w="51" w:type="dxa"/>
                    <w:bottom w:w="0" w:type="dxa"/>
                    <w:right w:w="51" w:type="dxa"/>
                  </w:tcMar>
                  <w:vAlign w:val="center"/>
                </w:tcPr>
                <w:p w14:paraId="72BA5B9A">
                  <w:pPr>
                    <w:adjustRightInd w:val="0"/>
                    <w:snapToGrid w:val="0"/>
                    <w:jc w:val="center"/>
                    <w:rPr>
                      <w:b/>
                      <w:bCs w:val="0"/>
                      <w:color w:val="auto"/>
                      <w:szCs w:val="21"/>
                      <w:highlight w:val="none"/>
                    </w:rPr>
                  </w:pPr>
                  <w:r>
                    <w:rPr>
                      <w:b/>
                      <w:bCs w:val="0"/>
                      <w:color w:val="auto"/>
                      <w:szCs w:val="21"/>
                      <w:highlight w:val="none"/>
                    </w:rPr>
                    <w:t>污染物</w:t>
                  </w:r>
                </w:p>
              </w:tc>
              <w:tc>
                <w:tcPr>
                  <w:tcW w:w="1233" w:type="dxa"/>
                  <w:vMerge w:val="restart"/>
                  <w:noWrap w:val="0"/>
                  <w:tcMar>
                    <w:top w:w="0" w:type="dxa"/>
                    <w:left w:w="51" w:type="dxa"/>
                    <w:bottom w:w="0" w:type="dxa"/>
                    <w:right w:w="51" w:type="dxa"/>
                  </w:tcMar>
                  <w:vAlign w:val="center"/>
                </w:tcPr>
                <w:p w14:paraId="207DCE73">
                  <w:pPr>
                    <w:adjustRightInd w:val="0"/>
                    <w:snapToGrid w:val="0"/>
                    <w:jc w:val="center"/>
                    <w:rPr>
                      <w:b/>
                      <w:bCs w:val="0"/>
                      <w:color w:val="auto"/>
                      <w:szCs w:val="21"/>
                      <w:highlight w:val="none"/>
                    </w:rPr>
                  </w:pPr>
                  <w:r>
                    <w:rPr>
                      <w:b/>
                      <w:bCs w:val="0"/>
                      <w:color w:val="auto"/>
                      <w:szCs w:val="21"/>
                      <w:highlight w:val="none"/>
                    </w:rPr>
                    <w:t>最高允许</w:t>
                  </w:r>
                </w:p>
                <w:p w14:paraId="43C106EA">
                  <w:pPr>
                    <w:adjustRightInd w:val="0"/>
                    <w:snapToGrid w:val="0"/>
                    <w:jc w:val="center"/>
                    <w:rPr>
                      <w:b/>
                      <w:bCs w:val="0"/>
                      <w:color w:val="auto"/>
                      <w:szCs w:val="21"/>
                      <w:highlight w:val="none"/>
                    </w:rPr>
                  </w:pPr>
                  <w:r>
                    <w:rPr>
                      <w:b/>
                      <w:bCs w:val="0"/>
                      <w:color w:val="auto"/>
                      <w:szCs w:val="21"/>
                      <w:highlight w:val="none"/>
                    </w:rPr>
                    <w:t>排放浓度</w:t>
                  </w:r>
                </w:p>
                <w:p w14:paraId="6CEC1BE4">
                  <w:pPr>
                    <w:adjustRightInd w:val="0"/>
                    <w:snapToGrid w:val="0"/>
                    <w:jc w:val="center"/>
                    <w:rPr>
                      <w:b/>
                      <w:bCs w:val="0"/>
                      <w:color w:val="auto"/>
                      <w:szCs w:val="21"/>
                      <w:highlight w:val="none"/>
                    </w:rPr>
                  </w:pPr>
                  <w:r>
                    <w:rPr>
                      <w:b/>
                      <w:bCs w:val="0"/>
                      <w:color w:val="auto"/>
                      <w:szCs w:val="21"/>
                      <w:highlight w:val="none"/>
                    </w:rPr>
                    <w:t>（mg/m</w:t>
                  </w:r>
                  <w:r>
                    <w:rPr>
                      <w:b/>
                      <w:bCs w:val="0"/>
                      <w:color w:val="auto"/>
                      <w:szCs w:val="21"/>
                      <w:highlight w:val="none"/>
                      <w:vertAlign w:val="superscript"/>
                    </w:rPr>
                    <w:t>3</w:t>
                  </w:r>
                  <w:r>
                    <w:rPr>
                      <w:b/>
                      <w:bCs w:val="0"/>
                      <w:color w:val="auto"/>
                      <w:szCs w:val="21"/>
                      <w:highlight w:val="none"/>
                    </w:rPr>
                    <w:t>）</w:t>
                  </w:r>
                </w:p>
              </w:tc>
              <w:tc>
                <w:tcPr>
                  <w:tcW w:w="1823" w:type="dxa"/>
                  <w:gridSpan w:val="2"/>
                  <w:noWrap w:val="0"/>
                  <w:tcMar>
                    <w:top w:w="0" w:type="dxa"/>
                    <w:left w:w="51" w:type="dxa"/>
                    <w:bottom w:w="0" w:type="dxa"/>
                    <w:right w:w="51" w:type="dxa"/>
                  </w:tcMar>
                  <w:vAlign w:val="center"/>
                </w:tcPr>
                <w:p w14:paraId="0F10AF70">
                  <w:pPr>
                    <w:adjustRightInd w:val="0"/>
                    <w:snapToGrid w:val="0"/>
                    <w:jc w:val="center"/>
                    <w:rPr>
                      <w:b/>
                      <w:bCs w:val="0"/>
                      <w:color w:val="auto"/>
                      <w:szCs w:val="21"/>
                      <w:highlight w:val="none"/>
                    </w:rPr>
                  </w:pPr>
                  <w:r>
                    <w:rPr>
                      <w:b/>
                      <w:bCs w:val="0"/>
                      <w:color w:val="auto"/>
                      <w:szCs w:val="21"/>
                      <w:highlight w:val="none"/>
                    </w:rPr>
                    <w:t>最高允许排放速率</w:t>
                  </w:r>
                </w:p>
              </w:tc>
              <w:tc>
                <w:tcPr>
                  <w:tcW w:w="1297" w:type="dxa"/>
                  <w:vMerge w:val="restart"/>
                  <w:noWrap w:val="0"/>
                  <w:tcMar>
                    <w:top w:w="0" w:type="dxa"/>
                    <w:left w:w="51" w:type="dxa"/>
                    <w:bottom w:w="0" w:type="dxa"/>
                    <w:right w:w="51" w:type="dxa"/>
                  </w:tcMar>
                  <w:vAlign w:val="center"/>
                </w:tcPr>
                <w:p w14:paraId="666EC22C">
                  <w:pPr>
                    <w:adjustRightInd w:val="0"/>
                    <w:snapToGrid w:val="0"/>
                    <w:jc w:val="center"/>
                    <w:rPr>
                      <w:b/>
                      <w:bCs w:val="0"/>
                      <w:color w:val="auto"/>
                      <w:szCs w:val="21"/>
                      <w:highlight w:val="none"/>
                    </w:rPr>
                  </w:pPr>
                  <w:r>
                    <w:rPr>
                      <w:b/>
                      <w:bCs w:val="0"/>
                      <w:color w:val="auto"/>
                      <w:szCs w:val="21"/>
                      <w:highlight w:val="none"/>
                    </w:rPr>
                    <w:t>无组织排放监控浓度限值(mg/m</w:t>
                  </w:r>
                  <w:r>
                    <w:rPr>
                      <w:b/>
                      <w:bCs w:val="0"/>
                      <w:color w:val="auto"/>
                      <w:szCs w:val="21"/>
                      <w:highlight w:val="none"/>
                      <w:vertAlign w:val="superscript"/>
                    </w:rPr>
                    <w:t>3</w:t>
                  </w:r>
                  <w:r>
                    <w:rPr>
                      <w:b/>
                      <w:bCs w:val="0"/>
                      <w:color w:val="auto"/>
                      <w:szCs w:val="21"/>
                      <w:highlight w:val="none"/>
                    </w:rPr>
                    <w:t>)</w:t>
                  </w:r>
                </w:p>
              </w:tc>
            </w:tr>
            <w:tr w14:paraId="4EFB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continue"/>
                  <w:noWrap w:val="0"/>
                  <w:tcMar>
                    <w:top w:w="0" w:type="dxa"/>
                    <w:left w:w="51" w:type="dxa"/>
                    <w:bottom w:w="0" w:type="dxa"/>
                    <w:right w:w="51" w:type="dxa"/>
                  </w:tcMar>
                  <w:vAlign w:val="center"/>
                </w:tcPr>
                <w:p w14:paraId="32937AEE">
                  <w:pPr>
                    <w:adjustRightInd w:val="0"/>
                    <w:snapToGrid w:val="0"/>
                    <w:jc w:val="center"/>
                    <w:rPr>
                      <w:bCs/>
                      <w:color w:val="auto"/>
                      <w:szCs w:val="21"/>
                      <w:highlight w:val="none"/>
                    </w:rPr>
                  </w:pPr>
                </w:p>
              </w:tc>
              <w:tc>
                <w:tcPr>
                  <w:tcW w:w="920" w:type="dxa"/>
                  <w:vMerge w:val="continue"/>
                  <w:noWrap w:val="0"/>
                  <w:tcMar>
                    <w:top w:w="0" w:type="dxa"/>
                    <w:left w:w="51" w:type="dxa"/>
                    <w:bottom w:w="0" w:type="dxa"/>
                    <w:right w:w="51" w:type="dxa"/>
                  </w:tcMar>
                  <w:vAlign w:val="center"/>
                </w:tcPr>
                <w:p w14:paraId="4B713DB5">
                  <w:pPr>
                    <w:adjustRightInd w:val="0"/>
                    <w:snapToGrid w:val="0"/>
                    <w:jc w:val="center"/>
                    <w:rPr>
                      <w:bCs/>
                      <w:color w:val="auto"/>
                      <w:szCs w:val="21"/>
                      <w:highlight w:val="none"/>
                    </w:rPr>
                  </w:pPr>
                </w:p>
              </w:tc>
              <w:tc>
                <w:tcPr>
                  <w:tcW w:w="1233" w:type="dxa"/>
                  <w:vMerge w:val="continue"/>
                  <w:noWrap w:val="0"/>
                  <w:tcMar>
                    <w:top w:w="0" w:type="dxa"/>
                    <w:left w:w="51" w:type="dxa"/>
                    <w:bottom w:w="0" w:type="dxa"/>
                    <w:right w:w="51" w:type="dxa"/>
                  </w:tcMar>
                  <w:vAlign w:val="center"/>
                </w:tcPr>
                <w:p w14:paraId="2E5ECF8B">
                  <w:pPr>
                    <w:adjustRightInd w:val="0"/>
                    <w:snapToGrid w:val="0"/>
                    <w:jc w:val="center"/>
                    <w:rPr>
                      <w:bCs/>
                      <w:color w:val="auto"/>
                      <w:szCs w:val="21"/>
                      <w:highlight w:val="none"/>
                    </w:rPr>
                  </w:pPr>
                </w:p>
              </w:tc>
              <w:tc>
                <w:tcPr>
                  <w:tcW w:w="800" w:type="dxa"/>
                  <w:noWrap w:val="0"/>
                  <w:tcMar>
                    <w:top w:w="0" w:type="dxa"/>
                    <w:left w:w="51" w:type="dxa"/>
                    <w:bottom w:w="0" w:type="dxa"/>
                    <w:right w:w="51" w:type="dxa"/>
                  </w:tcMar>
                  <w:vAlign w:val="center"/>
                </w:tcPr>
                <w:p w14:paraId="61A37C27">
                  <w:pPr>
                    <w:adjustRightInd w:val="0"/>
                    <w:snapToGrid w:val="0"/>
                    <w:jc w:val="center"/>
                    <w:rPr>
                      <w:b/>
                      <w:bCs w:val="0"/>
                      <w:color w:val="auto"/>
                      <w:szCs w:val="21"/>
                      <w:highlight w:val="none"/>
                    </w:rPr>
                  </w:pPr>
                  <w:r>
                    <w:rPr>
                      <w:b/>
                      <w:bCs w:val="0"/>
                      <w:color w:val="auto"/>
                      <w:szCs w:val="21"/>
                      <w:highlight w:val="none"/>
                    </w:rPr>
                    <w:t>排气筒</w:t>
                  </w:r>
                </w:p>
                <w:p w14:paraId="4947FC03">
                  <w:pPr>
                    <w:adjustRightInd w:val="0"/>
                    <w:snapToGrid w:val="0"/>
                    <w:jc w:val="center"/>
                    <w:rPr>
                      <w:b/>
                      <w:bCs w:val="0"/>
                      <w:color w:val="auto"/>
                      <w:szCs w:val="21"/>
                      <w:highlight w:val="none"/>
                    </w:rPr>
                  </w:pPr>
                  <w:r>
                    <w:rPr>
                      <w:b/>
                      <w:bCs w:val="0"/>
                      <w:color w:val="auto"/>
                      <w:szCs w:val="21"/>
                      <w:highlight w:val="none"/>
                    </w:rPr>
                    <w:t>（m）</w:t>
                  </w:r>
                </w:p>
              </w:tc>
              <w:tc>
                <w:tcPr>
                  <w:tcW w:w="1023" w:type="dxa"/>
                  <w:noWrap w:val="0"/>
                  <w:tcMar>
                    <w:top w:w="0" w:type="dxa"/>
                    <w:left w:w="51" w:type="dxa"/>
                    <w:bottom w:w="0" w:type="dxa"/>
                    <w:right w:w="51" w:type="dxa"/>
                  </w:tcMar>
                  <w:vAlign w:val="center"/>
                </w:tcPr>
                <w:p w14:paraId="2025A976">
                  <w:pPr>
                    <w:adjustRightInd w:val="0"/>
                    <w:snapToGrid w:val="0"/>
                    <w:jc w:val="center"/>
                    <w:rPr>
                      <w:b/>
                      <w:bCs w:val="0"/>
                      <w:color w:val="auto"/>
                      <w:szCs w:val="21"/>
                      <w:highlight w:val="none"/>
                    </w:rPr>
                  </w:pPr>
                  <w:r>
                    <w:rPr>
                      <w:b/>
                      <w:bCs w:val="0"/>
                      <w:color w:val="auto"/>
                      <w:szCs w:val="21"/>
                      <w:highlight w:val="none"/>
                    </w:rPr>
                    <w:t>二级</w:t>
                  </w:r>
                </w:p>
                <w:p w14:paraId="7389B3B7">
                  <w:pPr>
                    <w:adjustRightInd w:val="0"/>
                    <w:snapToGrid w:val="0"/>
                    <w:jc w:val="center"/>
                    <w:rPr>
                      <w:b/>
                      <w:bCs w:val="0"/>
                      <w:color w:val="auto"/>
                      <w:szCs w:val="21"/>
                      <w:highlight w:val="none"/>
                    </w:rPr>
                  </w:pPr>
                  <w:r>
                    <w:rPr>
                      <w:b/>
                      <w:bCs w:val="0"/>
                      <w:color w:val="auto"/>
                      <w:szCs w:val="21"/>
                      <w:highlight w:val="none"/>
                    </w:rPr>
                    <w:t>（kg/h）</w:t>
                  </w:r>
                </w:p>
              </w:tc>
              <w:tc>
                <w:tcPr>
                  <w:tcW w:w="1297" w:type="dxa"/>
                  <w:vMerge w:val="continue"/>
                  <w:noWrap w:val="0"/>
                  <w:tcMar>
                    <w:top w:w="0" w:type="dxa"/>
                    <w:left w:w="51" w:type="dxa"/>
                    <w:bottom w:w="0" w:type="dxa"/>
                    <w:right w:w="51" w:type="dxa"/>
                  </w:tcMar>
                  <w:vAlign w:val="center"/>
                </w:tcPr>
                <w:p w14:paraId="05253EDE">
                  <w:pPr>
                    <w:adjustRightInd w:val="0"/>
                    <w:snapToGrid w:val="0"/>
                    <w:jc w:val="center"/>
                    <w:rPr>
                      <w:bCs/>
                      <w:color w:val="auto"/>
                      <w:szCs w:val="21"/>
                      <w:highlight w:val="none"/>
                    </w:rPr>
                  </w:pPr>
                </w:p>
              </w:tc>
            </w:tr>
            <w:tr w14:paraId="0AE45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restart"/>
                  <w:noWrap w:val="0"/>
                  <w:tcMar>
                    <w:top w:w="0" w:type="dxa"/>
                    <w:left w:w="51" w:type="dxa"/>
                    <w:bottom w:w="0" w:type="dxa"/>
                    <w:right w:w="51" w:type="dxa"/>
                  </w:tcMar>
                  <w:vAlign w:val="center"/>
                </w:tcPr>
                <w:p w14:paraId="1F1DF161">
                  <w:pPr>
                    <w:tabs>
                      <w:tab w:val="left" w:pos="3144"/>
                    </w:tabs>
                    <w:jc w:val="center"/>
                    <w:rPr>
                      <w:color w:val="auto"/>
                      <w:szCs w:val="21"/>
                      <w:highlight w:val="none"/>
                    </w:rPr>
                  </w:pPr>
                  <w:r>
                    <w:rPr>
                      <w:color w:val="auto"/>
                      <w:szCs w:val="21"/>
                      <w:highlight w:val="none"/>
                    </w:rPr>
                    <w:t>《大气污染物综合排放标准》（GB16297-1996）</w:t>
                  </w:r>
                </w:p>
              </w:tc>
              <w:tc>
                <w:tcPr>
                  <w:tcW w:w="920" w:type="dxa"/>
                  <w:noWrap w:val="0"/>
                  <w:tcMar>
                    <w:top w:w="0" w:type="dxa"/>
                    <w:left w:w="51" w:type="dxa"/>
                    <w:bottom w:w="0" w:type="dxa"/>
                    <w:right w:w="51" w:type="dxa"/>
                  </w:tcMar>
                  <w:vAlign w:val="center"/>
                </w:tcPr>
                <w:p w14:paraId="67BB353A">
                  <w:pPr>
                    <w:tabs>
                      <w:tab w:val="left" w:pos="3144"/>
                    </w:tabs>
                    <w:jc w:val="center"/>
                    <w:rPr>
                      <w:color w:val="auto"/>
                      <w:szCs w:val="21"/>
                      <w:highlight w:val="none"/>
                    </w:rPr>
                  </w:pPr>
                  <w:r>
                    <w:rPr>
                      <w:color w:val="auto"/>
                      <w:szCs w:val="21"/>
                      <w:highlight w:val="none"/>
                    </w:rPr>
                    <w:t>颗粒物</w:t>
                  </w:r>
                </w:p>
              </w:tc>
              <w:tc>
                <w:tcPr>
                  <w:tcW w:w="1233" w:type="dxa"/>
                  <w:noWrap w:val="0"/>
                  <w:tcMar>
                    <w:top w:w="0" w:type="dxa"/>
                    <w:left w:w="51" w:type="dxa"/>
                    <w:bottom w:w="0" w:type="dxa"/>
                    <w:right w:w="51" w:type="dxa"/>
                  </w:tcMar>
                  <w:vAlign w:val="center"/>
                </w:tcPr>
                <w:p w14:paraId="7C6F3AE5">
                  <w:pPr>
                    <w:jc w:val="center"/>
                    <w:rPr>
                      <w:color w:val="auto"/>
                      <w:szCs w:val="21"/>
                      <w:highlight w:val="none"/>
                    </w:rPr>
                  </w:pPr>
                  <w:r>
                    <w:rPr>
                      <w:color w:val="auto"/>
                      <w:szCs w:val="21"/>
                      <w:highlight w:val="none"/>
                    </w:rPr>
                    <w:t>120</w:t>
                  </w:r>
                </w:p>
              </w:tc>
              <w:tc>
                <w:tcPr>
                  <w:tcW w:w="800" w:type="dxa"/>
                  <w:noWrap w:val="0"/>
                  <w:tcMar>
                    <w:top w:w="0" w:type="dxa"/>
                    <w:left w:w="51" w:type="dxa"/>
                    <w:bottom w:w="0" w:type="dxa"/>
                    <w:right w:w="51" w:type="dxa"/>
                  </w:tcMar>
                  <w:vAlign w:val="center"/>
                </w:tcPr>
                <w:p w14:paraId="76CBAC78">
                  <w:pPr>
                    <w:jc w:val="center"/>
                    <w:rPr>
                      <w:color w:val="auto"/>
                      <w:szCs w:val="21"/>
                      <w:highlight w:val="none"/>
                    </w:rPr>
                  </w:pPr>
                  <w:r>
                    <w:rPr>
                      <w:color w:val="auto"/>
                      <w:szCs w:val="21"/>
                      <w:highlight w:val="none"/>
                    </w:rPr>
                    <w:t>1</w:t>
                  </w:r>
                  <w:r>
                    <w:rPr>
                      <w:rFonts w:hint="eastAsia"/>
                      <w:color w:val="auto"/>
                      <w:szCs w:val="21"/>
                      <w:highlight w:val="none"/>
                    </w:rPr>
                    <w:t>5</w:t>
                  </w:r>
                </w:p>
              </w:tc>
              <w:tc>
                <w:tcPr>
                  <w:tcW w:w="1023" w:type="dxa"/>
                  <w:noWrap w:val="0"/>
                  <w:tcMar>
                    <w:top w:w="0" w:type="dxa"/>
                    <w:left w:w="51" w:type="dxa"/>
                    <w:bottom w:w="0" w:type="dxa"/>
                    <w:right w:w="51" w:type="dxa"/>
                  </w:tcMar>
                  <w:vAlign w:val="center"/>
                </w:tcPr>
                <w:p w14:paraId="52443343">
                  <w:pPr>
                    <w:jc w:val="center"/>
                    <w:rPr>
                      <w:color w:val="auto"/>
                      <w:szCs w:val="21"/>
                      <w:highlight w:val="none"/>
                    </w:rPr>
                  </w:pPr>
                  <w:r>
                    <w:rPr>
                      <w:color w:val="auto"/>
                      <w:szCs w:val="21"/>
                      <w:highlight w:val="none"/>
                    </w:rPr>
                    <w:t>3.5</w:t>
                  </w:r>
                </w:p>
              </w:tc>
              <w:tc>
                <w:tcPr>
                  <w:tcW w:w="1297" w:type="dxa"/>
                  <w:noWrap w:val="0"/>
                  <w:tcMar>
                    <w:top w:w="0" w:type="dxa"/>
                    <w:left w:w="51" w:type="dxa"/>
                    <w:bottom w:w="0" w:type="dxa"/>
                    <w:right w:w="51" w:type="dxa"/>
                  </w:tcMar>
                  <w:vAlign w:val="center"/>
                </w:tcPr>
                <w:p w14:paraId="291CCD07">
                  <w:pPr>
                    <w:tabs>
                      <w:tab w:val="left" w:pos="3144"/>
                    </w:tabs>
                    <w:jc w:val="center"/>
                    <w:rPr>
                      <w:color w:val="auto"/>
                      <w:szCs w:val="21"/>
                      <w:highlight w:val="none"/>
                    </w:rPr>
                  </w:pPr>
                  <w:r>
                    <w:rPr>
                      <w:color w:val="auto"/>
                      <w:szCs w:val="21"/>
                      <w:highlight w:val="none"/>
                    </w:rPr>
                    <w:t>1.0</w:t>
                  </w:r>
                </w:p>
              </w:tc>
            </w:tr>
            <w:tr w14:paraId="265D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continue"/>
                  <w:noWrap w:val="0"/>
                  <w:tcMar>
                    <w:top w:w="0" w:type="dxa"/>
                    <w:left w:w="51" w:type="dxa"/>
                    <w:bottom w:w="0" w:type="dxa"/>
                    <w:right w:w="51" w:type="dxa"/>
                  </w:tcMar>
                  <w:vAlign w:val="center"/>
                </w:tcPr>
                <w:p w14:paraId="4F0D4EC4">
                  <w:pPr>
                    <w:tabs>
                      <w:tab w:val="left" w:pos="3144"/>
                    </w:tabs>
                    <w:jc w:val="center"/>
                    <w:rPr>
                      <w:color w:val="auto"/>
                      <w:szCs w:val="21"/>
                      <w:highlight w:val="none"/>
                    </w:rPr>
                  </w:pPr>
                </w:p>
              </w:tc>
              <w:tc>
                <w:tcPr>
                  <w:tcW w:w="920" w:type="dxa"/>
                  <w:noWrap w:val="0"/>
                  <w:tcMar>
                    <w:top w:w="0" w:type="dxa"/>
                    <w:left w:w="51" w:type="dxa"/>
                    <w:bottom w:w="0" w:type="dxa"/>
                    <w:right w:w="51" w:type="dxa"/>
                  </w:tcMar>
                  <w:vAlign w:val="center"/>
                </w:tcPr>
                <w:p w14:paraId="3D5720C3">
                  <w:pPr>
                    <w:tabs>
                      <w:tab w:val="left" w:pos="3144"/>
                    </w:tabs>
                    <w:jc w:val="center"/>
                    <w:rPr>
                      <w:color w:val="auto"/>
                      <w:szCs w:val="21"/>
                      <w:highlight w:val="none"/>
                    </w:rPr>
                  </w:pPr>
                  <w:r>
                    <w:rPr>
                      <w:color w:val="auto"/>
                      <w:szCs w:val="21"/>
                      <w:highlight w:val="none"/>
                    </w:rPr>
                    <w:t>SO</w:t>
                  </w:r>
                  <w:r>
                    <w:rPr>
                      <w:color w:val="auto"/>
                      <w:szCs w:val="21"/>
                      <w:highlight w:val="none"/>
                      <w:vertAlign w:val="subscript"/>
                    </w:rPr>
                    <w:t>2</w:t>
                  </w:r>
                </w:p>
              </w:tc>
              <w:tc>
                <w:tcPr>
                  <w:tcW w:w="1233" w:type="dxa"/>
                  <w:noWrap w:val="0"/>
                  <w:tcMar>
                    <w:top w:w="0" w:type="dxa"/>
                    <w:left w:w="51" w:type="dxa"/>
                    <w:bottom w:w="0" w:type="dxa"/>
                    <w:right w:w="51" w:type="dxa"/>
                  </w:tcMar>
                  <w:vAlign w:val="center"/>
                </w:tcPr>
                <w:p w14:paraId="47FE2DD1">
                  <w:pPr>
                    <w:tabs>
                      <w:tab w:val="left" w:pos="3144"/>
                    </w:tabs>
                    <w:jc w:val="center"/>
                    <w:rPr>
                      <w:color w:val="auto"/>
                      <w:szCs w:val="21"/>
                      <w:highlight w:val="none"/>
                    </w:rPr>
                  </w:pPr>
                  <w:r>
                    <w:rPr>
                      <w:rFonts w:hint="eastAsia"/>
                      <w:color w:val="auto"/>
                      <w:szCs w:val="21"/>
                      <w:highlight w:val="none"/>
                    </w:rPr>
                    <w:t>550</w:t>
                  </w:r>
                </w:p>
              </w:tc>
              <w:tc>
                <w:tcPr>
                  <w:tcW w:w="800" w:type="dxa"/>
                  <w:noWrap w:val="0"/>
                  <w:tcMar>
                    <w:top w:w="0" w:type="dxa"/>
                    <w:left w:w="51" w:type="dxa"/>
                    <w:bottom w:w="0" w:type="dxa"/>
                    <w:right w:w="51" w:type="dxa"/>
                  </w:tcMar>
                  <w:vAlign w:val="center"/>
                </w:tcPr>
                <w:p w14:paraId="26DBE57E">
                  <w:pPr>
                    <w:jc w:val="center"/>
                    <w:rPr>
                      <w:color w:val="auto"/>
                      <w:szCs w:val="21"/>
                      <w:highlight w:val="none"/>
                    </w:rPr>
                  </w:pPr>
                  <w:r>
                    <w:rPr>
                      <w:rFonts w:hint="eastAsia"/>
                      <w:color w:val="auto"/>
                      <w:szCs w:val="21"/>
                      <w:highlight w:val="none"/>
                    </w:rPr>
                    <w:t>15</w:t>
                  </w:r>
                </w:p>
              </w:tc>
              <w:tc>
                <w:tcPr>
                  <w:tcW w:w="1023" w:type="dxa"/>
                  <w:noWrap w:val="0"/>
                  <w:tcMar>
                    <w:top w:w="0" w:type="dxa"/>
                    <w:left w:w="51" w:type="dxa"/>
                    <w:bottom w:w="0" w:type="dxa"/>
                    <w:right w:w="51" w:type="dxa"/>
                  </w:tcMar>
                  <w:vAlign w:val="center"/>
                </w:tcPr>
                <w:p w14:paraId="09414324">
                  <w:pPr>
                    <w:jc w:val="center"/>
                    <w:rPr>
                      <w:color w:val="auto"/>
                      <w:szCs w:val="21"/>
                      <w:highlight w:val="none"/>
                    </w:rPr>
                  </w:pPr>
                  <w:r>
                    <w:rPr>
                      <w:rFonts w:hint="eastAsia"/>
                      <w:color w:val="auto"/>
                      <w:szCs w:val="21"/>
                      <w:highlight w:val="none"/>
                    </w:rPr>
                    <w:t>2.6</w:t>
                  </w:r>
                </w:p>
              </w:tc>
              <w:tc>
                <w:tcPr>
                  <w:tcW w:w="1297" w:type="dxa"/>
                  <w:noWrap w:val="0"/>
                  <w:tcMar>
                    <w:top w:w="0" w:type="dxa"/>
                    <w:left w:w="51" w:type="dxa"/>
                    <w:bottom w:w="0" w:type="dxa"/>
                    <w:right w:w="51" w:type="dxa"/>
                  </w:tcMar>
                  <w:vAlign w:val="center"/>
                </w:tcPr>
                <w:p w14:paraId="1E2FC8F3">
                  <w:pPr>
                    <w:jc w:val="center"/>
                    <w:rPr>
                      <w:color w:val="auto"/>
                      <w:szCs w:val="21"/>
                      <w:highlight w:val="none"/>
                    </w:rPr>
                  </w:pPr>
                  <w:r>
                    <w:rPr>
                      <w:rFonts w:hint="eastAsia"/>
                      <w:color w:val="auto"/>
                      <w:szCs w:val="21"/>
                      <w:highlight w:val="none"/>
                    </w:rPr>
                    <w:t>0.4</w:t>
                  </w:r>
                </w:p>
              </w:tc>
            </w:tr>
            <w:tr w14:paraId="68EED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continue"/>
                  <w:noWrap w:val="0"/>
                  <w:tcMar>
                    <w:top w:w="0" w:type="dxa"/>
                    <w:left w:w="51" w:type="dxa"/>
                    <w:bottom w:w="0" w:type="dxa"/>
                    <w:right w:w="51" w:type="dxa"/>
                  </w:tcMar>
                  <w:vAlign w:val="center"/>
                </w:tcPr>
                <w:p w14:paraId="1DA0ACE5">
                  <w:pPr>
                    <w:tabs>
                      <w:tab w:val="left" w:pos="3144"/>
                    </w:tabs>
                    <w:jc w:val="center"/>
                    <w:rPr>
                      <w:color w:val="auto"/>
                      <w:szCs w:val="21"/>
                      <w:highlight w:val="none"/>
                    </w:rPr>
                  </w:pPr>
                </w:p>
              </w:tc>
              <w:tc>
                <w:tcPr>
                  <w:tcW w:w="920" w:type="dxa"/>
                  <w:noWrap w:val="0"/>
                  <w:tcMar>
                    <w:top w:w="0" w:type="dxa"/>
                    <w:left w:w="51" w:type="dxa"/>
                    <w:bottom w:w="0" w:type="dxa"/>
                    <w:right w:w="51" w:type="dxa"/>
                  </w:tcMar>
                  <w:vAlign w:val="center"/>
                </w:tcPr>
                <w:p w14:paraId="6FA80D76">
                  <w:pPr>
                    <w:tabs>
                      <w:tab w:val="left" w:pos="3144"/>
                    </w:tabs>
                    <w:jc w:val="center"/>
                    <w:rPr>
                      <w:color w:val="auto"/>
                      <w:szCs w:val="21"/>
                      <w:highlight w:val="none"/>
                    </w:rPr>
                  </w:pPr>
                  <w:r>
                    <w:rPr>
                      <w:color w:val="auto"/>
                      <w:szCs w:val="21"/>
                      <w:highlight w:val="none"/>
                    </w:rPr>
                    <w:t>NO</w:t>
                  </w:r>
                  <w:r>
                    <w:rPr>
                      <w:color w:val="auto"/>
                      <w:szCs w:val="21"/>
                      <w:highlight w:val="none"/>
                      <w:vertAlign w:val="subscript"/>
                    </w:rPr>
                    <w:t>X</w:t>
                  </w:r>
                </w:p>
              </w:tc>
              <w:tc>
                <w:tcPr>
                  <w:tcW w:w="1233" w:type="dxa"/>
                  <w:noWrap w:val="0"/>
                  <w:tcMar>
                    <w:top w:w="0" w:type="dxa"/>
                    <w:left w:w="51" w:type="dxa"/>
                    <w:bottom w:w="0" w:type="dxa"/>
                    <w:right w:w="51" w:type="dxa"/>
                  </w:tcMar>
                  <w:vAlign w:val="center"/>
                </w:tcPr>
                <w:p w14:paraId="14EE185D">
                  <w:pPr>
                    <w:tabs>
                      <w:tab w:val="left" w:pos="3144"/>
                    </w:tabs>
                    <w:jc w:val="center"/>
                    <w:rPr>
                      <w:color w:val="auto"/>
                      <w:szCs w:val="21"/>
                      <w:highlight w:val="none"/>
                    </w:rPr>
                  </w:pPr>
                  <w:r>
                    <w:rPr>
                      <w:rFonts w:hint="eastAsia"/>
                      <w:color w:val="auto"/>
                      <w:szCs w:val="21"/>
                      <w:highlight w:val="none"/>
                    </w:rPr>
                    <w:t>240</w:t>
                  </w:r>
                </w:p>
              </w:tc>
              <w:tc>
                <w:tcPr>
                  <w:tcW w:w="800" w:type="dxa"/>
                  <w:noWrap w:val="0"/>
                  <w:tcMar>
                    <w:top w:w="0" w:type="dxa"/>
                    <w:left w:w="51" w:type="dxa"/>
                    <w:bottom w:w="0" w:type="dxa"/>
                    <w:right w:w="51" w:type="dxa"/>
                  </w:tcMar>
                  <w:vAlign w:val="center"/>
                </w:tcPr>
                <w:p w14:paraId="09D29188">
                  <w:pPr>
                    <w:jc w:val="center"/>
                    <w:rPr>
                      <w:color w:val="auto"/>
                      <w:szCs w:val="21"/>
                      <w:highlight w:val="none"/>
                    </w:rPr>
                  </w:pPr>
                  <w:r>
                    <w:rPr>
                      <w:rFonts w:hint="eastAsia"/>
                      <w:color w:val="auto"/>
                      <w:szCs w:val="21"/>
                      <w:highlight w:val="none"/>
                    </w:rPr>
                    <w:t>15</w:t>
                  </w:r>
                </w:p>
              </w:tc>
              <w:tc>
                <w:tcPr>
                  <w:tcW w:w="1023" w:type="dxa"/>
                  <w:noWrap w:val="0"/>
                  <w:tcMar>
                    <w:top w:w="0" w:type="dxa"/>
                    <w:left w:w="51" w:type="dxa"/>
                    <w:bottom w:w="0" w:type="dxa"/>
                    <w:right w:w="51" w:type="dxa"/>
                  </w:tcMar>
                  <w:vAlign w:val="center"/>
                </w:tcPr>
                <w:p w14:paraId="759F1BEA">
                  <w:pPr>
                    <w:jc w:val="center"/>
                    <w:rPr>
                      <w:color w:val="auto"/>
                      <w:szCs w:val="21"/>
                      <w:highlight w:val="none"/>
                    </w:rPr>
                  </w:pPr>
                  <w:r>
                    <w:rPr>
                      <w:rFonts w:hint="eastAsia"/>
                      <w:color w:val="auto"/>
                      <w:szCs w:val="21"/>
                      <w:highlight w:val="none"/>
                    </w:rPr>
                    <w:t>0.77</w:t>
                  </w:r>
                </w:p>
              </w:tc>
              <w:tc>
                <w:tcPr>
                  <w:tcW w:w="1297" w:type="dxa"/>
                  <w:noWrap w:val="0"/>
                  <w:tcMar>
                    <w:top w:w="0" w:type="dxa"/>
                    <w:left w:w="51" w:type="dxa"/>
                    <w:bottom w:w="0" w:type="dxa"/>
                    <w:right w:w="51" w:type="dxa"/>
                  </w:tcMar>
                  <w:vAlign w:val="center"/>
                </w:tcPr>
                <w:p w14:paraId="40DE1F64">
                  <w:pPr>
                    <w:jc w:val="center"/>
                    <w:rPr>
                      <w:color w:val="auto"/>
                      <w:szCs w:val="21"/>
                      <w:highlight w:val="none"/>
                    </w:rPr>
                  </w:pPr>
                  <w:r>
                    <w:rPr>
                      <w:rFonts w:hint="eastAsia"/>
                      <w:color w:val="auto"/>
                      <w:szCs w:val="21"/>
                      <w:highlight w:val="none"/>
                    </w:rPr>
                    <w:t>0.12</w:t>
                  </w:r>
                </w:p>
              </w:tc>
            </w:tr>
            <w:tr w14:paraId="76790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63" w:type="dxa"/>
                  <w:vMerge w:val="continue"/>
                  <w:noWrap w:val="0"/>
                  <w:tcMar>
                    <w:top w:w="0" w:type="dxa"/>
                    <w:left w:w="51" w:type="dxa"/>
                    <w:bottom w:w="0" w:type="dxa"/>
                    <w:right w:w="51" w:type="dxa"/>
                  </w:tcMar>
                  <w:vAlign w:val="center"/>
                </w:tcPr>
                <w:p w14:paraId="71FB42AA">
                  <w:pPr>
                    <w:tabs>
                      <w:tab w:val="left" w:pos="3144"/>
                    </w:tabs>
                    <w:jc w:val="center"/>
                    <w:rPr>
                      <w:color w:val="auto"/>
                      <w:szCs w:val="21"/>
                      <w:highlight w:val="none"/>
                    </w:rPr>
                  </w:pPr>
                </w:p>
              </w:tc>
              <w:tc>
                <w:tcPr>
                  <w:tcW w:w="920" w:type="dxa"/>
                  <w:noWrap w:val="0"/>
                  <w:tcMar>
                    <w:top w:w="0" w:type="dxa"/>
                    <w:left w:w="51" w:type="dxa"/>
                    <w:bottom w:w="0" w:type="dxa"/>
                    <w:right w:w="51" w:type="dxa"/>
                  </w:tcMar>
                  <w:vAlign w:val="center"/>
                </w:tcPr>
                <w:p w14:paraId="47C4D00E">
                  <w:pPr>
                    <w:tabs>
                      <w:tab w:val="left" w:pos="3144"/>
                    </w:tabs>
                    <w:jc w:val="center"/>
                    <w:rPr>
                      <w:rFonts w:hint="eastAsia" w:eastAsia="宋体"/>
                      <w:color w:val="auto"/>
                      <w:szCs w:val="21"/>
                      <w:highlight w:val="none"/>
                      <w:lang w:val="en-US" w:eastAsia="zh-CN"/>
                    </w:rPr>
                  </w:pPr>
                  <w:r>
                    <w:rPr>
                      <w:rFonts w:hint="eastAsia"/>
                      <w:color w:val="auto"/>
                      <w:szCs w:val="21"/>
                      <w:highlight w:val="none"/>
                      <w:lang w:val="en-US" w:eastAsia="zh-CN"/>
                    </w:rPr>
                    <w:t>非甲烷总烃</w:t>
                  </w:r>
                </w:p>
              </w:tc>
              <w:tc>
                <w:tcPr>
                  <w:tcW w:w="1233" w:type="dxa"/>
                  <w:noWrap w:val="0"/>
                  <w:tcMar>
                    <w:top w:w="0" w:type="dxa"/>
                    <w:left w:w="51" w:type="dxa"/>
                    <w:bottom w:w="0" w:type="dxa"/>
                    <w:right w:w="51" w:type="dxa"/>
                  </w:tcMar>
                  <w:vAlign w:val="center"/>
                </w:tcPr>
                <w:p w14:paraId="382C72C6">
                  <w:pPr>
                    <w:tabs>
                      <w:tab w:val="left" w:pos="3144"/>
                    </w:tabs>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800" w:type="dxa"/>
                  <w:noWrap w:val="0"/>
                  <w:tcMar>
                    <w:top w:w="0" w:type="dxa"/>
                    <w:left w:w="51" w:type="dxa"/>
                    <w:bottom w:w="0" w:type="dxa"/>
                    <w:right w:w="51" w:type="dxa"/>
                  </w:tcMar>
                  <w:vAlign w:val="center"/>
                </w:tcPr>
                <w:p w14:paraId="01CF10D6">
                  <w:pPr>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023" w:type="dxa"/>
                  <w:noWrap w:val="0"/>
                  <w:tcMar>
                    <w:top w:w="0" w:type="dxa"/>
                    <w:left w:w="51" w:type="dxa"/>
                    <w:bottom w:w="0" w:type="dxa"/>
                    <w:right w:w="51" w:type="dxa"/>
                  </w:tcMar>
                  <w:vAlign w:val="center"/>
                </w:tcPr>
                <w:p w14:paraId="56B27A01">
                  <w:pPr>
                    <w:jc w:val="center"/>
                    <w:rPr>
                      <w:rFonts w:hint="eastAsia" w:eastAsia="宋体"/>
                      <w:color w:val="auto"/>
                      <w:szCs w:val="21"/>
                      <w:highlight w:val="none"/>
                      <w:lang w:val="en-US" w:eastAsia="zh-CN"/>
                    </w:rPr>
                  </w:pPr>
                  <w:r>
                    <w:rPr>
                      <w:rFonts w:hint="eastAsia"/>
                      <w:color w:val="auto"/>
                      <w:szCs w:val="21"/>
                      <w:highlight w:val="none"/>
                      <w:lang w:val="en-US" w:eastAsia="zh-CN"/>
                    </w:rPr>
                    <w:t>/</w:t>
                  </w:r>
                </w:p>
              </w:tc>
              <w:tc>
                <w:tcPr>
                  <w:tcW w:w="1297" w:type="dxa"/>
                  <w:noWrap w:val="0"/>
                  <w:tcMar>
                    <w:top w:w="0" w:type="dxa"/>
                    <w:left w:w="51" w:type="dxa"/>
                    <w:bottom w:w="0" w:type="dxa"/>
                    <w:right w:w="51" w:type="dxa"/>
                  </w:tcMar>
                  <w:vAlign w:val="center"/>
                </w:tcPr>
                <w:p w14:paraId="19750851">
                  <w:pPr>
                    <w:jc w:val="center"/>
                    <w:rPr>
                      <w:rFonts w:hint="default" w:eastAsia="宋体"/>
                      <w:color w:val="auto"/>
                      <w:szCs w:val="21"/>
                      <w:highlight w:val="none"/>
                      <w:lang w:val="en-US" w:eastAsia="zh-CN"/>
                    </w:rPr>
                  </w:pPr>
                  <w:r>
                    <w:rPr>
                      <w:rFonts w:hint="eastAsia"/>
                      <w:color w:val="auto"/>
                      <w:szCs w:val="21"/>
                      <w:highlight w:val="none"/>
                      <w:lang w:val="en-US" w:eastAsia="zh-CN"/>
                    </w:rPr>
                    <w:t>4.0</w:t>
                  </w:r>
                </w:p>
              </w:tc>
            </w:tr>
          </w:tbl>
          <w:p w14:paraId="6E3F3326">
            <w:pPr>
              <w:pStyle w:val="32"/>
              <w:bidi w:val="0"/>
              <w:rPr>
                <w:b/>
                <w:bCs/>
                <w:color w:val="auto"/>
                <w:sz w:val="21"/>
                <w:szCs w:val="21"/>
                <w:highlight w:val="none"/>
                <w:vertAlign w:val="superscript"/>
              </w:rPr>
            </w:pPr>
            <w:r>
              <w:rPr>
                <w:b/>
                <w:bCs/>
                <w:color w:val="auto"/>
                <w:sz w:val="21"/>
                <w:szCs w:val="21"/>
                <w:highlight w:val="none"/>
              </w:rPr>
              <w:t>表3</w:t>
            </w:r>
            <w:r>
              <w:rPr>
                <w:rFonts w:hint="eastAsia"/>
                <w:b/>
                <w:bCs/>
                <w:color w:val="auto"/>
                <w:sz w:val="21"/>
                <w:szCs w:val="21"/>
                <w:highlight w:val="none"/>
                <w:lang w:val="en-US" w:eastAsia="zh-CN"/>
              </w:rPr>
              <w:t>-7</w:t>
            </w:r>
            <w:r>
              <w:rPr>
                <w:rFonts w:hint="eastAsia"/>
                <w:color w:val="auto"/>
                <w:highlight w:val="none"/>
                <w:lang w:val="en-US" w:eastAsia="zh-CN"/>
              </w:rPr>
              <w:t xml:space="preserve">     </w:t>
            </w:r>
            <w:r>
              <w:rPr>
                <w:b/>
                <w:bCs/>
                <w:color w:val="auto"/>
                <w:sz w:val="21"/>
                <w:szCs w:val="21"/>
                <w:highlight w:val="none"/>
              </w:rPr>
              <w:t>工业炉窑大气污染物排放标准单位：mg/m</w:t>
            </w:r>
            <w:r>
              <w:rPr>
                <w:b/>
                <w:bCs/>
                <w:color w:val="auto"/>
                <w:sz w:val="21"/>
                <w:szCs w:val="21"/>
                <w:highlight w:val="none"/>
                <w:vertAlign w:val="superscript"/>
              </w:rPr>
              <w:t>3</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89"/>
              <w:gridCol w:w="2227"/>
              <w:gridCol w:w="1987"/>
              <w:gridCol w:w="2097"/>
            </w:tblGrid>
            <w:tr w14:paraId="43C325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6" w:type="pct"/>
                  <w:vMerge w:val="restart"/>
                  <w:noWrap w:val="0"/>
                  <w:vAlign w:val="center"/>
                </w:tcPr>
                <w:p w14:paraId="5D4AFF31">
                  <w:pPr>
                    <w:pStyle w:val="49"/>
                    <w:bidi w:val="0"/>
                    <w:rPr>
                      <w:b/>
                      <w:bCs/>
                      <w:color w:val="auto"/>
                      <w:highlight w:val="none"/>
                    </w:rPr>
                  </w:pPr>
                  <w:r>
                    <w:rPr>
                      <w:b/>
                      <w:bCs/>
                      <w:color w:val="auto"/>
                      <w:highlight w:val="none"/>
                    </w:rPr>
                    <w:t>炉窑类别</w:t>
                  </w:r>
                </w:p>
              </w:tc>
              <w:tc>
                <w:tcPr>
                  <w:tcW w:w="1392" w:type="pct"/>
                  <w:vMerge w:val="restart"/>
                  <w:noWrap w:val="0"/>
                  <w:vAlign w:val="center"/>
                </w:tcPr>
                <w:p w14:paraId="59DE52A5">
                  <w:pPr>
                    <w:pStyle w:val="49"/>
                    <w:bidi w:val="0"/>
                    <w:rPr>
                      <w:b/>
                      <w:bCs/>
                      <w:color w:val="auto"/>
                      <w:highlight w:val="none"/>
                    </w:rPr>
                  </w:pPr>
                  <w:r>
                    <w:rPr>
                      <w:b/>
                      <w:bCs/>
                      <w:color w:val="auto"/>
                      <w:highlight w:val="none"/>
                    </w:rPr>
                    <w:t>标准级别</w:t>
                  </w:r>
                </w:p>
              </w:tc>
              <w:tc>
                <w:tcPr>
                  <w:tcW w:w="2552" w:type="pct"/>
                  <w:gridSpan w:val="2"/>
                  <w:noWrap w:val="0"/>
                  <w:vAlign w:val="center"/>
                </w:tcPr>
                <w:p w14:paraId="74885E44">
                  <w:pPr>
                    <w:pStyle w:val="49"/>
                    <w:bidi w:val="0"/>
                    <w:rPr>
                      <w:b/>
                      <w:bCs/>
                      <w:color w:val="auto"/>
                      <w:highlight w:val="none"/>
                    </w:rPr>
                  </w:pPr>
                  <w:r>
                    <w:rPr>
                      <w:b/>
                      <w:bCs/>
                      <w:color w:val="auto"/>
                      <w:highlight w:val="none"/>
                    </w:rPr>
                    <w:t>排放限值</w:t>
                  </w:r>
                </w:p>
              </w:tc>
            </w:tr>
            <w:tr w14:paraId="1CE9178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6" w:type="pct"/>
                  <w:vMerge w:val="continue"/>
                  <w:noWrap w:val="0"/>
                  <w:vAlign w:val="center"/>
                </w:tcPr>
                <w:p w14:paraId="08AE0BBA">
                  <w:pPr>
                    <w:pStyle w:val="49"/>
                    <w:bidi w:val="0"/>
                    <w:rPr>
                      <w:b/>
                      <w:bCs/>
                      <w:color w:val="auto"/>
                      <w:highlight w:val="none"/>
                    </w:rPr>
                  </w:pPr>
                </w:p>
              </w:tc>
              <w:tc>
                <w:tcPr>
                  <w:tcW w:w="1392" w:type="pct"/>
                  <w:vMerge w:val="continue"/>
                  <w:noWrap w:val="0"/>
                  <w:vAlign w:val="center"/>
                </w:tcPr>
                <w:p w14:paraId="2AFE11A1">
                  <w:pPr>
                    <w:pStyle w:val="49"/>
                    <w:bidi w:val="0"/>
                    <w:rPr>
                      <w:b/>
                      <w:bCs/>
                      <w:color w:val="auto"/>
                      <w:highlight w:val="none"/>
                    </w:rPr>
                  </w:pPr>
                </w:p>
              </w:tc>
              <w:tc>
                <w:tcPr>
                  <w:tcW w:w="1242" w:type="pct"/>
                  <w:noWrap w:val="0"/>
                  <w:vAlign w:val="center"/>
                </w:tcPr>
                <w:p w14:paraId="3E8892F3">
                  <w:pPr>
                    <w:pStyle w:val="49"/>
                    <w:bidi w:val="0"/>
                    <w:rPr>
                      <w:b/>
                      <w:bCs/>
                      <w:color w:val="auto"/>
                      <w:highlight w:val="none"/>
                    </w:rPr>
                  </w:pPr>
                  <w:r>
                    <w:rPr>
                      <w:b/>
                      <w:bCs/>
                      <w:color w:val="auto"/>
                      <w:highlight w:val="none"/>
                    </w:rPr>
                    <w:t>烟尘浓度</w:t>
                  </w:r>
                </w:p>
              </w:tc>
              <w:tc>
                <w:tcPr>
                  <w:tcW w:w="1310" w:type="pct"/>
                  <w:noWrap w:val="0"/>
                  <w:vAlign w:val="center"/>
                </w:tcPr>
                <w:p w14:paraId="58B6F3E3">
                  <w:pPr>
                    <w:pStyle w:val="49"/>
                    <w:bidi w:val="0"/>
                    <w:rPr>
                      <w:b/>
                      <w:bCs/>
                      <w:color w:val="auto"/>
                      <w:highlight w:val="none"/>
                    </w:rPr>
                  </w:pPr>
                  <w:r>
                    <w:rPr>
                      <w:b/>
                      <w:bCs/>
                      <w:color w:val="auto"/>
                      <w:highlight w:val="none"/>
                    </w:rPr>
                    <w:t>烟气黑度（林格</w:t>
                  </w:r>
                  <w:r>
                    <w:rPr>
                      <w:b/>
                      <w:bCs/>
                      <w:color w:val="auto"/>
                      <w:highlight w:val="none"/>
                    </w:rPr>
                    <w:cr/>
                  </w:r>
                  <w:r>
                    <w:rPr>
                      <w:b/>
                      <w:bCs/>
                      <w:color w:val="auto"/>
                      <w:highlight w:val="none"/>
                    </w:rPr>
                    <w:t>级）</w:t>
                  </w:r>
                </w:p>
              </w:tc>
            </w:tr>
            <w:tr w14:paraId="347CF09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56" w:type="pct"/>
                  <w:noWrap w:val="0"/>
                  <w:vAlign w:val="center"/>
                </w:tcPr>
                <w:p w14:paraId="16372F8D">
                  <w:pPr>
                    <w:pStyle w:val="49"/>
                    <w:bidi w:val="0"/>
                    <w:rPr>
                      <w:color w:val="auto"/>
                      <w:highlight w:val="none"/>
                    </w:rPr>
                  </w:pPr>
                  <w:r>
                    <w:rPr>
                      <w:rFonts w:hint="eastAsia"/>
                      <w:color w:val="auto"/>
                      <w:highlight w:val="none"/>
                    </w:rPr>
                    <w:t>其他</w:t>
                  </w:r>
                  <w:r>
                    <w:rPr>
                      <w:color w:val="auto"/>
                      <w:highlight w:val="none"/>
                    </w:rPr>
                    <w:t>炉窑</w:t>
                  </w:r>
                </w:p>
              </w:tc>
              <w:tc>
                <w:tcPr>
                  <w:tcW w:w="1392" w:type="pct"/>
                  <w:noWrap w:val="0"/>
                  <w:vAlign w:val="center"/>
                </w:tcPr>
                <w:p w14:paraId="596653DD">
                  <w:pPr>
                    <w:pStyle w:val="49"/>
                    <w:bidi w:val="0"/>
                    <w:rPr>
                      <w:color w:val="auto"/>
                      <w:highlight w:val="none"/>
                    </w:rPr>
                  </w:pPr>
                  <w:r>
                    <w:rPr>
                      <w:color w:val="auto"/>
                      <w:highlight w:val="none"/>
                    </w:rPr>
                    <w:t>二级</w:t>
                  </w:r>
                </w:p>
              </w:tc>
              <w:tc>
                <w:tcPr>
                  <w:tcW w:w="1242" w:type="pct"/>
                  <w:noWrap w:val="0"/>
                  <w:vAlign w:val="center"/>
                </w:tcPr>
                <w:p w14:paraId="247EAC63">
                  <w:pPr>
                    <w:pStyle w:val="49"/>
                    <w:bidi w:val="0"/>
                    <w:rPr>
                      <w:color w:val="auto"/>
                      <w:highlight w:val="none"/>
                    </w:rPr>
                  </w:pPr>
                  <w:r>
                    <w:rPr>
                      <w:rFonts w:hint="eastAsia"/>
                      <w:color w:val="auto"/>
                      <w:highlight w:val="none"/>
                    </w:rPr>
                    <w:t>200</w:t>
                  </w:r>
                </w:p>
              </w:tc>
              <w:tc>
                <w:tcPr>
                  <w:tcW w:w="1310" w:type="pct"/>
                  <w:noWrap w:val="0"/>
                  <w:vAlign w:val="center"/>
                </w:tcPr>
                <w:p w14:paraId="2D81467F">
                  <w:pPr>
                    <w:pStyle w:val="49"/>
                    <w:bidi w:val="0"/>
                    <w:rPr>
                      <w:color w:val="auto"/>
                      <w:highlight w:val="none"/>
                    </w:rPr>
                  </w:pPr>
                  <w:r>
                    <w:rPr>
                      <w:color w:val="auto"/>
                      <w:highlight w:val="none"/>
                    </w:rPr>
                    <w:t>/</w:t>
                  </w:r>
                </w:p>
              </w:tc>
            </w:tr>
          </w:tbl>
          <w:p w14:paraId="45D4371A">
            <w:pPr>
              <w:pStyle w:val="32"/>
              <w:bidi w:val="0"/>
              <w:rPr>
                <w:rFonts w:hint="default"/>
                <w:color w:val="auto"/>
                <w:highlight w:val="none"/>
              </w:rPr>
            </w:pPr>
            <w:r>
              <w:rPr>
                <w:rFonts w:hint="default"/>
                <w:color w:val="auto"/>
                <w:highlight w:val="none"/>
              </w:rPr>
              <w:t>表</w:t>
            </w:r>
            <w:r>
              <w:rPr>
                <w:rFonts w:hint="default"/>
                <w:color w:val="auto"/>
                <w:highlight w:val="none"/>
                <w:lang w:val="en-US" w:eastAsia="zh-CN"/>
              </w:rPr>
              <w:t>3</w:t>
            </w:r>
            <w:r>
              <w:rPr>
                <w:rFonts w:hint="eastAsia"/>
                <w:color w:val="auto"/>
                <w:highlight w:val="none"/>
                <w:lang w:val="en-US" w:eastAsia="zh-CN"/>
              </w:rPr>
              <w:t xml:space="preserve">-8     </w:t>
            </w:r>
            <w:r>
              <w:rPr>
                <w:rFonts w:hint="default"/>
                <w:color w:val="auto"/>
                <w:highlight w:val="none"/>
              </w:rPr>
              <w:t>饮食业油烟排放标准（试行）</w:t>
            </w:r>
            <w:r>
              <w:rPr>
                <w:rFonts w:hint="default"/>
                <w:color w:val="auto"/>
                <w:highlight w:val="none"/>
                <w:lang w:eastAsia="zh-CN"/>
              </w:rPr>
              <w:t>限值</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1942"/>
              <w:gridCol w:w="1620"/>
              <w:gridCol w:w="1475"/>
              <w:gridCol w:w="1758"/>
            </w:tblGrid>
            <w:tr w14:paraId="3D28B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34" w:hRule="atLeast"/>
                <w:jc w:val="center"/>
              </w:trPr>
              <w:tc>
                <w:tcPr>
                  <w:tcW w:w="1387" w:type="dxa"/>
                  <w:noWrap w:val="0"/>
                  <w:vAlign w:val="center"/>
                </w:tcPr>
                <w:p w14:paraId="02F2C7A6">
                  <w:pPr>
                    <w:pStyle w:val="49"/>
                    <w:bidi w:val="0"/>
                    <w:rPr>
                      <w:rFonts w:hint="default"/>
                      <w:b/>
                      <w:bCs/>
                      <w:color w:val="auto"/>
                      <w:highlight w:val="none"/>
                    </w:rPr>
                  </w:pPr>
                  <w:r>
                    <w:rPr>
                      <w:rFonts w:hint="default"/>
                      <w:b/>
                      <w:bCs/>
                      <w:color w:val="auto"/>
                      <w:highlight w:val="none"/>
                    </w:rPr>
                    <w:t>污染物</w:t>
                  </w:r>
                </w:p>
              </w:tc>
              <w:tc>
                <w:tcPr>
                  <w:tcW w:w="2264" w:type="dxa"/>
                  <w:noWrap w:val="0"/>
                  <w:vAlign w:val="center"/>
                </w:tcPr>
                <w:p w14:paraId="6046F323">
                  <w:pPr>
                    <w:pStyle w:val="49"/>
                    <w:bidi w:val="0"/>
                    <w:rPr>
                      <w:rFonts w:hint="default"/>
                      <w:b/>
                      <w:bCs/>
                      <w:color w:val="auto"/>
                      <w:highlight w:val="none"/>
                      <w:lang w:eastAsia="zh-CN"/>
                    </w:rPr>
                  </w:pPr>
                  <w:r>
                    <w:rPr>
                      <w:rFonts w:hint="eastAsia"/>
                      <w:b/>
                      <w:bCs/>
                      <w:color w:val="auto"/>
                      <w:highlight w:val="none"/>
                      <w:lang w:eastAsia="zh-CN"/>
                    </w:rPr>
                    <w:t>规模</w:t>
                  </w:r>
                </w:p>
              </w:tc>
              <w:tc>
                <w:tcPr>
                  <w:tcW w:w="1882" w:type="dxa"/>
                  <w:noWrap w:val="0"/>
                  <w:vAlign w:val="center"/>
                </w:tcPr>
                <w:p w14:paraId="50FBFE5B">
                  <w:pPr>
                    <w:pStyle w:val="49"/>
                    <w:bidi w:val="0"/>
                    <w:rPr>
                      <w:rFonts w:hint="default"/>
                      <w:b/>
                      <w:bCs/>
                      <w:color w:val="auto"/>
                      <w:highlight w:val="none"/>
                      <w:lang w:eastAsia="zh-CN"/>
                    </w:rPr>
                  </w:pPr>
                  <w:r>
                    <w:rPr>
                      <w:rFonts w:hint="eastAsia"/>
                      <w:b/>
                      <w:bCs/>
                      <w:color w:val="auto"/>
                      <w:highlight w:val="none"/>
                      <w:lang w:eastAsia="zh-CN"/>
                    </w:rPr>
                    <w:t>灶准基头数</w:t>
                  </w:r>
                </w:p>
              </w:tc>
              <w:tc>
                <w:tcPr>
                  <w:tcW w:w="1708" w:type="dxa"/>
                  <w:noWrap w:val="0"/>
                  <w:vAlign w:val="center"/>
                </w:tcPr>
                <w:p w14:paraId="7AF632B4">
                  <w:pPr>
                    <w:pStyle w:val="49"/>
                    <w:bidi w:val="0"/>
                    <w:rPr>
                      <w:rFonts w:hint="default"/>
                      <w:b/>
                      <w:bCs/>
                      <w:color w:val="auto"/>
                      <w:highlight w:val="none"/>
                      <w:lang w:eastAsia="zh-CN"/>
                    </w:rPr>
                  </w:pPr>
                  <w:r>
                    <w:rPr>
                      <w:rFonts w:hint="eastAsia"/>
                      <w:b/>
                      <w:bCs/>
                      <w:color w:val="auto"/>
                      <w:highlight w:val="none"/>
                      <w:lang w:eastAsia="zh-CN"/>
                    </w:rPr>
                    <w:t>最高允许排放浓度（</w:t>
                  </w:r>
                  <w:r>
                    <w:rPr>
                      <w:rFonts w:hint="default"/>
                      <w:b/>
                      <w:bCs/>
                      <w:color w:val="auto"/>
                      <w:highlight w:val="none"/>
                      <w:lang w:val="en-US" w:eastAsia="zh-CN"/>
                    </w:rPr>
                    <w:t>mg/m</w:t>
                  </w:r>
                  <w:r>
                    <w:rPr>
                      <w:rFonts w:hint="eastAsia"/>
                      <w:b/>
                      <w:bCs/>
                      <w:color w:val="auto"/>
                      <w:highlight w:val="none"/>
                      <w:vertAlign w:val="superscript"/>
                      <w:lang w:val="en-US" w:eastAsia="zh-CN"/>
                    </w:rPr>
                    <w:t>3</w:t>
                  </w:r>
                  <w:r>
                    <w:rPr>
                      <w:rFonts w:hint="eastAsia"/>
                      <w:b/>
                      <w:bCs/>
                      <w:color w:val="auto"/>
                      <w:highlight w:val="none"/>
                      <w:lang w:eastAsia="zh-CN"/>
                    </w:rPr>
                    <w:t>）</w:t>
                  </w:r>
                </w:p>
              </w:tc>
              <w:tc>
                <w:tcPr>
                  <w:tcW w:w="2046" w:type="dxa"/>
                  <w:noWrap w:val="0"/>
                  <w:vAlign w:val="center"/>
                </w:tcPr>
                <w:p w14:paraId="66FDD9A6">
                  <w:pPr>
                    <w:pStyle w:val="49"/>
                    <w:bidi w:val="0"/>
                    <w:rPr>
                      <w:rFonts w:hint="default"/>
                      <w:b/>
                      <w:bCs/>
                      <w:color w:val="auto"/>
                      <w:highlight w:val="none"/>
                      <w:lang w:eastAsia="zh-CN"/>
                    </w:rPr>
                  </w:pPr>
                  <w:r>
                    <w:rPr>
                      <w:rFonts w:hint="eastAsia"/>
                      <w:b/>
                      <w:bCs/>
                      <w:color w:val="auto"/>
                      <w:highlight w:val="none"/>
                      <w:lang w:eastAsia="zh-CN"/>
                    </w:rPr>
                    <w:t>净化设施最低去除效率（</w:t>
                  </w:r>
                  <w:r>
                    <w:rPr>
                      <w:rFonts w:hint="eastAsia"/>
                      <w:b/>
                      <w:bCs/>
                      <w:color w:val="auto"/>
                      <w:highlight w:val="none"/>
                      <w:lang w:val="en-US" w:eastAsia="zh-CN"/>
                    </w:rPr>
                    <w:t>%</w:t>
                  </w:r>
                  <w:r>
                    <w:rPr>
                      <w:rFonts w:hint="eastAsia"/>
                      <w:b/>
                      <w:bCs/>
                      <w:color w:val="auto"/>
                      <w:highlight w:val="none"/>
                      <w:lang w:eastAsia="zh-CN"/>
                    </w:rPr>
                    <w:t>）</w:t>
                  </w:r>
                </w:p>
              </w:tc>
            </w:tr>
            <w:tr w14:paraId="7B706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1387" w:type="dxa"/>
                  <w:noWrap w:val="0"/>
                  <w:vAlign w:val="center"/>
                </w:tcPr>
                <w:p w14:paraId="70D89AEA">
                  <w:pPr>
                    <w:pStyle w:val="49"/>
                    <w:bidi w:val="0"/>
                    <w:rPr>
                      <w:rFonts w:hint="default"/>
                      <w:color w:val="auto"/>
                      <w:highlight w:val="none"/>
                      <w:lang w:val="en-US" w:eastAsia="zh-CN"/>
                    </w:rPr>
                  </w:pPr>
                  <w:r>
                    <w:rPr>
                      <w:rFonts w:hint="eastAsia"/>
                      <w:color w:val="auto"/>
                      <w:highlight w:val="none"/>
                      <w:lang w:val="en-US" w:eastAsia="zh-CN"/>
                    </w:rPr>
                    <w:t>油烟</w:t>
                  </w:r>
                </w:p>
              </w:tc>
              <w:tc>
                <w:tcPr>
                  <w:tcW w:w="2264" w:type="dxa"/>
                  <w:noWrap w:val="0"/>
                  <w:vAlign w:val="center"/>
                </w:tcPr>
                <w:p w14:paraId="46B074BB">
                  <w:pPr>
                    <w:pStyle w:val="49"/>
                    <w:bidi w:val="0"/>
                    <w:rPr>
                      <w:rFonts w:hint="default"/>
                      <w:color w:val="auto"/>
                      <w:highlight w:val="none"/>
                      <w:lang w:val="en-US" w:eastAsia="zh-CN"/>
                    </w:rPr>
                  </w:pPr>
                  <w:r>
                    <w:rPr>
                      <w:rFonts w:hint="eastAsia"/>
                      <w:color w:val="auto"/>
                      <w:highlight w:val="none"/>
                      <w:lang w:val="en-US" w:eastAsia="zh-CN"/>
                    </w:rPr>
                    <w:t>小型</w:t>
                  </w:r>
                </w:p>
              </w:tc>
              <w:tc>
                <w:tcPr>
                  <w:tcW w:w="1882" w:type="dxa"/>
                  <w:noWrap w:val="0"/>
                  <w:vAlign w:val="center"/>
                </w:tcPr>
                <w:p w14:paraId="6E8FB0C8">
                  <w:pPr>
                    <w:pStyle w:val="49"/>
                    <w:bidi w:val="0"/>
                    <w:rPr>
                      <w:rFonts w:hint="default"/>
                      <w:color w:val="auto"/>
                      <w:highlight w:val="none"/>
                      <w:lang w:val="en-US" w:eastAsia="zh-CN"/>
                    </w:rPr>
                  </w:pPr>
                  <w:r>
                    <w:rPr>
                      <w:rFonts w:hint="eastAsia"/>
                      <w:color w:val="auto"/>
                      <w:highlight w:val="none"/>
                      <w:lang w:val="en-US" w:eastAsia="zh-CN"/>
                    </w:rPr>
                    <w:t>≥1，＜3</w:t>
                  </w:r>
                </w:p>
              </w:tc>
              <w:tc>
                <w:tcPr>
                  <w:tcW w:w="1708" w:type="dxa"/>
                  <w:noWrap w:val="0"/>
                  <w:vAlign w:val="center"/>
                </w:tcPr>
                <w:p w14:paraId="22B667EC">
                  <w:pPr>
                    <w:pStyle w:val="49"/>
                    <w:bidi w:val="0"/>
                    <w:rPr>
                      <w:rFonts w:hint="default"/>
                      <w:color w:val="auto"/>
                      <w:highlight w:val="none"/>
                      <w:lang w:val="en-US" w:eastAsia="zh-CN"/>
                    </w:rPr>
                  </w:pPr>
                  <w:r>
                    <w:rPr>
                      <w:rFonts w:hint="eastAsia"/>
                      <w:color w:val="auto"/>
                      <w:highlight w:val="none"/>
                      <w:lang w:val="en-US" w:eastAsia="zh-CN"/>
                    </w:rPr>
                    <w:t>2.0</w:t>
                  </w:r>
                </w:p>
              </w:tc>
              <w:tc>
                <w:tcPr>
                  <w:tcW w:w="2046" w:type="dxa"/>
                  <w:noWrap w:val="0"/>
                  <w:vAlign w:val="center"/>
                </w:tcPr>
                <w:p w14:paraId="5747533D">
                  <w:pPr>
                    <w:pStyle w:val="49"/>
                    <w:bidi w:val="0"/>
                    <w:rPr>
                      <w:rFonts w:hint="default"/>
                      <w:color w:val="auto"/>
                      <w:highlight w:val="none"/>
                      <w:lang w:val="en-US" w:eastAsia="zh-CN"/>
                    </w:rPr>
                  </w:pPr>
                  <w:r>
                    <w:rPr>
                      <w:rFonts w:hint="eastAsia"/>
                      <w:color w:val="auto"/>
                      <w:highlight w:val="none"/>
                      <w:lang w:val="en-US" w:eastAsia="zh-CN"/>
                    </w:rPr>
                    <w:t>60</w:t>
                  </w:r>
                </w:p>
              </w:tc>
            </w:tr>
          </w:tbl>
          <w:p w14:paraId="07DDC2D2">
            <w:pPr>
              <w:pStyle w:val="32"/>
              <w:bidi w:val="0"/>
              <w:rPr>
                <w:rFonts w:hint="default"/>
                <w:color w:val="auto"/>
                <w:highlight w:val="none"/>
                <w:vertAlign w:val="superscript"/>
                <w:lang w:val="en-US" w:eastAsia="zh-CN"/>
              </w:rPr>
            </w:pPr>
            <w:r>
              <w:rPr>
                <w:rFonts w:hint="eastAsia"/>
                <w:color w:val="auto"/>
                <w:highlight w:val="none"/>
                <w:lang w:val="en-US" w:eastAsia="zh-CN"/>
              </w:rPr>
              <w:t>表3-9    厂区内VOCs无组织排放限值    单位：mg/m</w:t>
            </w:r>
            <w:r>
              <w:rPr>
                <w:rFonts w:hint="eastAsia"/>
                <w:color w:val="auto"/>
                <w:highlight w:val="none"/>
                <w:vertAlign w:val="superscript"/>
                <w:lang w:val="en-US" w:eastAsia="zh-CN"/>
              </w:rPr>
              <w:t>3</w:t>
            </w:r>
          </w:p>
          <w:tbl>
            <w:tblPr>
              <w:tblStyle w:val="27"/>
              <w:tblW w:w="80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260"/>
              <w:gridCol w:w="2730"/>
              <w:gridCol w:w="2524"/>
            </w:tblGrid>
            <w:tr w14:paraId="43C0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tcPr>
                <w:p w14:paraId="0F3E8F23">
                  <w:pPr>
                    <w:pStyle w:val="49"/>
                    <w:bidi w:val="0"/>
                    <w:rPr>
                      <w:rFonts w:hint="default"/>
                      <w:b/>
                      <w:bCs/>
                      <w:color w:val="auto"/>
                      <w:highlight w:val="none"/>
                      <w:lang w:val="en-US" w:eastAsia="zh-CN"/>
                    </w:rPr>
                  </w:pPr>
                  <w:r>
                    <w:rPr>
                      <w:rFonts w:hint="eastAsia"/>
                      <w:b/>
                      <w:bCs/>
                      <w:color w:val="auto"/>
                      <w:highlight w:val="none"/>
                      <w:lang w:val="en-US" w:eastAsia="zh-CN"/>
                    </w:rPr>
                    <w:t>污染物项目</w:t>
                  </w:r>
                </w:p>
              </w:tc>
              <w:tc>
                <w:tcPr>
                  <w:tcW w:w="1260" w:type="dxa"/>
                </w:tcPr>
                <w:p w14:paraId="21EACFDF">
                  <w:pPr>
                    <w:pStyle w:val="49"/>
                    <w:bidi w:val="0"/>
                    <w:rPr>
                      <w:rFonts w:hint="default"/>
                      <w:b/>
                      <w:bCs/>
                      <w:color w:val="auto"/>
                      <w:highlight w:val="none"/>
                      <w:lang w:val="en-US" w:eastAsia="zh-CN"/>
                    </w:rPr>
                  </w:pPr>
                  <w:r>
                    <w:rPr>
                      <w:rFonts w:hint="eastAsia"/>
                      <w:b/>
                      <w:bCs/>
                      <w:color w:val="auto"/>
                      <w:highlight w:val="none"/>
                      <w:lang w:val="en-US" w:eastAsia="zh-CN"/>
                    </w:rPr>
                    <w:t>排放限值</w:t>
                  </w:r>
                </w:p>
              </w:tc>
              <w:tc>
                <w:tcPr>
                  <w:tcW w:w="2730" w:type="dxa"/>
                </w:tcPr>
                <w:p w14:paraId="08A13BC2">
                  <w:pPr>
                    <w:pStyle w:val="49"/>
                    <w:bidi w:val="0"/>
                    <w:rPr>
                      <w:rFonts w:hint="default"/>
                      <w:b/>
                      <w:bCs/>
                      <w:color w:val="auto"/>
                      <w:highlight w:val="none"/>
                      <w:lang w:val="en-US" w:eastAsia="zh-CN"/>
                    </w:rPr>
                  </w:pPr>
                  <w:r>
                    <w:rPr>
                      <w:rFonts w:hint="eastAsia"/>
                      <w:b/>
                      <w:bCs/>
                      <w:color w:val="auto"/>
                      <w:highlight w:val="none"/>
                      <w:lang w:val="en-US" w:eastAsia="zh-CN"/>
                    </w:rPr>
                    <w:t>限值含义</w:t>
                  </w:r>
                </w:p>
              </w:tc>
              <w:tc>
                <w:tcPr>
                  <w:tcW w:w="2524" w:type="dxa"/>
                </w:tcPr>
                <w:p w14:paraId="48ABA95A">
                  <w:pPr>
                    <w:pStyle w:val="49"/>
                    <w:bidi w:val="0"/>
                    <w:rPr>
                      <w:rFonts w:hint="default"/>
                      <w:b/>
                      <w:bCs/>
                      <w:color w:val="auto"/>
                      <w:highlight w:val="none"/>
                      <w:lang w:val="en-US" w:eastAsia="zh-CN"/>
                    </w:rPr>
                  </w:pPr>
                  <w:r>
                    <w:rPr>
                      <w:rFonts w:hint="eastAsia"/>
                      <w:b/>
                      <w:bCs/>
                      <w:color w:val="auto"/>
                      <w:highlight w:val="none"/>
                      <w:lang w:val="en-US" w:eastAsia="zh-CN"/>
                    </w:rPr>
                    <w:t>无组织排放监控位置</w:t>
                  </w:r>
                </w:p>
              </w:tc>
            </w:tr>
            <w:tr w14:paraId="275D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vMerge w:val="restart"/>
                </w:tcPr>
                <w:p w14:paraId="7FAAFD56">
                  <w:pPr>
                    <w:pStyle w:val="49"/>
                    <w:bidi w:val="0"/>
                    <w:rPr>
                      <w:rFonts w:hint="default"/>
                      <w:color w:val="auto"/>
                      <w:highlight w:val="none"/>
                      <w:lang w:val="en-US" w:eastAsia="zh-CN"/>
                    </w:rPr>
                  </w:pPr>
                  <w:r>
                    <w:rPr>
                      <w:rFonts w:hint="eastAsia"/>
                      <w:color w:val="auto"/>
                      <w:highlight w:val="none"/>
                      <w:lang w:val="en-US" w:eastAsia="zh-CN"/>
                    </w:rPr>
                    <w:t>NHMC</w:t>
                  </w:r>
                </w:p>
              </w:tc>
              <w:tc>
                <w:tcPr>
                  <w:tcW w:w="1260" w:type="dxa"/>
                </w:tcPr>
                <w:p w14:paraId="7FAF1A97">
                  <w:pPr>
                    <w:pStyle w:val="49"/>
                    <w:bidi w:val="0"/>
                    <w:rPr>
                      <w:rFonts w:hint="default"/>
                      <w:color w:val="auto"/>
                      <w:highlight w:val="none"/>
                      <w:lang w:val="en-US" w:eastAsia="zh-CN"/>
                    </w:rPr>
                  </w:pPr>
                  <w:r>
                    <w:rPr>
                      <w:rFonts w:hint="eastAsia"/>
                      <w:color w:val="auto"/>
                      <w:highlight w:val="none"/>
                      <w:lang w:val="en-US" w:eastAsia="zh-CN"/>
                    </w:rPr>
                    <w:t>10</w:t>
                  </w:r>
                </w:p>
              </w:tc>
              <w:tc>
                <w:tcPr>
                  <w:tcW w:w="2730" w:type="dxa"/>
                  <w:vAlign w:val="center"/>
                </w:tcPr>
                <w:p w14:paraId="6D6C05E3">
                  <w:pPr>
                    <w:pStyle w:val="49"/>
                    <w:bidi w:val="0"/>
                    <w:jc w:val="center"/>
                    <w:rPr>
                      <w:rFonts w:hint="default"/>
                      <w:color w:val="auto"/>
                      <w:highlight w:val="none"/>
                      <w:lang w:val="en-US" w:eastAsia="zh-CN"/>
                    </w:rPr>
                  </w:pPr>
                  <w:r>
                    <w:rPr>
                      <w:rFonts w:hint="eastAsia"/>
                      <w:color w:val="auto"/>
                      <w:highlight w:val="none"/>
                      <w:lang w:val="en-US" w:eastAsia="zh-CN"/>
                    </w:rPr>
                    <w:t>监控点出1h平均浓度值</w:t>
                  </w:r>
                </w:p>
              </w:tc>
              <w:tc>
                <w:tcPr>
                  <w:tcW w:w="2524" w:type="dxa"/>
                  <w:vMerge w:val="restart"/>
                  <w:vAlign w:val="center"/>
                </w:tcPr>
                <w:p w14:paraId="42D9E8E6">
                  <w:pPr>
                    <w:pStyle w:val="49"/>
                    <w:bidi w:val="0"/>
                    <w:jc w:val="center"/>
                    <w:rPr>
                      <w:rFonts w:hint="default"/>
                      <w:color w:val="auto"/>
                      <w:highlight w:val="none"/>
                      <w:lang w:val="en-US" w:eastAsia="zh-CN"/>
                    </w:rPr>
                  </w:pPr>
                  <w:r>
                    <w:rPr>
                      <w:rFonts w:hint="eastAsia"/>
                      <w:color w:val="auto"/>
                      <w:highlight w:val="none"/>
                      <w:lang w:val="en-US" w:eastAsia="zh-CN"/>
                    </w:rPr>
                    <w:t>在厂房外设置监控点</w:t>
                  </w:r>
                </w:p>
              </w:tc>
            </w:tr>
            <w:tr w14:paraId="024A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5" w:type="dxa"/>
                  <w:vMerge w:val="continue"/>
                </w:tcPr>
                <w:p w14:paraId="2CC63AFD">
                  <w:pPr>
                    <w:pStyle w:val="49"/>
                    <w:bidi w:val="0"/>
                    <w:rPr>
                      <w:rFonts w:hint="default"/>
                      <w:color w:val="auto"/>
                      <w:highlight w:val="none"/>
                      <w:lang w:val="en-US" w:eastAsia="zh-CN"/>
                    </w:rPr>
                  </w:pPr>
                </w:p>
              </w:tc>
              <w:tc>
                <w:tcPr>
                  <w:tcW w:w="1260" w:type="dxa"/>
                </w:tcPr>
                <w:p w14:paraId="6947B46C">
                  <w:pPr>
                    <w:pStyle w:val="49"/>
                    <w:bidi w:val="0"/>
                    <w:rPr>
                      <w:rFonts w:hint="default"/>
                      <w:color w:val="auto"/>
                      <w:highlight w:val="none"/>
                      <w:lang w:val="en-US" w:eastAsia="zh-CN"/>
                    </w:rPr>
                  </w:pPr>
                  <w:r>
                    <w:rPr>
                      <w:rFonts w:hint="eastAsia"/>
                      <w:color w:val="auto"/>
                      <w:highlight w:val="none"/>
                      <w:lang w:val="en-US" w:eastAsia="zh-CN"/>
                    </w:rPr>
                    <w:t>30</w:t>
                  </w:r>
                </w:p>
              </w:tc>
              <w:tc>
                <w:tcPr>
                  <w:tcW w:w="2730" w:type="dxa"/>
                </w:tcPr>
                <w:p w14:paraId="14C0AAF7">
                  <w:pPr>
                    <w:pStyle w:val="49"/>
                    <w:bidi w:val="0"/>
                    <w:rPr>
                      <w:rFonts w:hint="default"/>
                      <w:color w:val="auto"/>
                      <w:highlight w:val="none"/>
                      <w:lang w:val="en-US" w:eastAsia="zh-CN"/>
                    </w:rPr>
                  </w:pPr>
                  <w:r>
                    <w:rPr>
                      <w:rFonts w:hint="eastAsia"/>
                      <w:color w:val="auto"/>
                      <w:highlight w:val="none"/>
                      <w:lang w:val="en-US" w:eastAsia="zh-CN"/>
                    </w:rPr>
                    <w:t>监控点处任意一次浓度值</w:t>
                  </w:r>
                </w:p>
              </w:tc>
              <w:tc>
                <w:tcPr>
                  <w:tcW w:w="2524" w:type="dxa"/>
                  <w:vMerge w:val="continue"/>
                </w:tcPr>
                <w:p w14:paraId="6DAC5903">
                  <w:pPr>
                    <w:pStyle w:val="49"/>
                    <w:bidi w:val="0"/>
                    <w:rPr>
                      <w:rFonts w:hint="default"/>
                      <w:color w:val="auto"/>
                      <w:highlight w:val="none"/>
                      <w:lang w:val="en-US" w:eastAsia="zh-CN"/>
                    </w:rPr>
                  </w:pPr>
                </w:p>
              </w:tc>
            </w:tr>
          </w:tbl>
          <w:p w14:paraId="5F1978CC">
            <w:pPr>
              <w:pStyle w:val="32"/>
              <w:bidi w:val="0"/>
              <w:rPr>
                <w:rFonts w:hint="eastAsia"/>
                <w:lang w:val="en-US" w:eastAsia="zh-CN"/>
              </w:rPr>
            </w:pPr>
            <w:r>
              <w:rPr>
                <w:rFonts w:hint="eastAsia"/>
                <w:lang w:val="en-US" w:eastAsia="zh-CN"/>
              </w:rPr>
              <w:t>表3-9    恶臭污染物排放标准</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2666"/>
              <w:gridCol w:w="2666"/>
              <w:gridCol w:w="2667"/>
            </w:tblGrid>
            <w:tr w14:paraId="054CA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66" w:type="dxa"/>
                </w:tcPr>
                <w:p w14:paraId="7B46F3DC">
                  <w:pPr>
                    <w:pStyle w:val="49"/>
                    <w:bidi w:val="0"/>
                    <w:rPr>
                      <w:rFonts w:hint="default"/>
                      <w:b/>
                      <w:bCs/>
                      <w:lang w:val="en-US" w:eastAsia="zh-CN"/>
                    </w:rPr>
                  </w:pPr>
                  <w:r>
                    <w:rPr>
                      <w:rFonts w:hint="eastAsia"/>
                      <w:b/>
                      <w:bCs/>
                      <w:lang w:val="en-US" w:eastAsia="zh-CN"/>
                    </w:rPr>
                    <w:t>排放形式</w:t>
                  </w:r>
                </w:p>
              </w:tc>
              <w:tc>
                <w:tcPr>
                  <w:tcW w:w="2666" w:type="dxa"/>
                  <w:vAlign w:val="top"/>
                </w:tcPr>
                <w:p w14:paraId="70076BC9">
                  <w:pPr>
                    <w:pStyle w:val="49"/>
                    <w:bidi w:val="0"/>
                    <w:rPr>
                      <w:rFonts w:hint="default"/>
                      <w:b/>
                      <w:bCs/>
                      <w:lang w:val="en-US" w:eastAsia="zh-CN"/>
                    </w:rPr>
                  </w:pPr>
                  <w:r>
                    <w:rPr>
                      <w:rFonts w:hint="eastAsia"/>
                      <w:b/>
                      <w:bCs/>
                      <w:lang w:val="en-US" w:eastAsia="zh-CN"/>
                    </w:rPr>
                    <w:t>污染物</w:t>
                  </w:r>
                </w:p>
              </w:tc>
              <w:tc>
                <w:tcPr>
                  <w:tcW w:w="2667" w:type="dxa"/>
                </w:tcPr>
                <w:p w14:paraId="294BCCDC">
                  <w:pPr>
                    <w:pStyle w:val="49"/>
                    <w:bidi w:val="0"/>
                    <w:rPr>
                      <w:rFonts w:hint="default"/>
                      <w:b/>
                      <w:bCs/>
                      <w:lang w:val="en-US" w:eastAsia="zh-CN"/>
                    </w:rPr>
                  </w:pPr>
                  <w:r>
                    <w:rPr>
                      <w:rFonts w:hint="eastAsia"/>
                      <w:b/>
                      <w:bCs/>
                      <w:lang w:val="en-US" w:eastAsia="zh-CN"/>
                    </w:rPr>
                    <w:t>排放限值</w:t>
                  </w:r>
                </w:p>
              </w:tc>
            </w:tr>
            <w:tr w14:paraId="1B12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90" w:hRule="atLeast"/>
              </w:trPr>
              <w:tc>
                <w:tcPr>
                  <w:tcW w:w="2666" w:type="dxa"/>
                  <w:vMerge w:val="restart"/>
                </w:tcPr>
                <w:p w14:paraId="043C6466">
                  <w:pPr>
                    <w:pStyle w:val="49"/>
                    <w:bidi w:val="0"/>
                    <w:rPr>
                      <w:rFonts w:hint="default"/>
                      <w:lang w:val="en-US" w:eastAsia="zh-CN"/>
                    </w:rPr>
                  </w:pPr>
                  <w:r>
                    <w:rPr>
                      <w:rFonts w:hint="eastAsia"/>
                      <w:lang w:val="en-US" w:eastAsia="zh-CN"/>
                    </w:rPr>
                    <w:t>有组织排放</w:t>
                  </w:r>
                </w:p>
              </w:tc>
              <w:tc>
                <w:tcPr>
                  <w:tcW w:w="2666" w:type="dxa"/>
                </w:tcPr>
                <w:p w14:paraId="638D9582">
                  <w:pPr>
                    <w:pStyle w:val="49"/>
                    <w:bidi w:val="0"/>
                    <w:rPr>
                      <w:rFonts w:hint="default"/>
                      <w:lang w:val="en-US" w:eastAsia="zh-CN"/>
                    </w:rPr>
                  </w:pPr>
                  <w:r>
                    <w:rPr>
                      <w:rFonts w:hint="eastAsia"/>
                      <w:lang w:val="en-US" w:eastAsia="zh-CN"/>
                    </w:rPr>
                    <w:t>硫化氢</w:t>
                  </w:r>
                </w:p>
              </w:tc>
              <w:tc>
                <w:tcPr>
                  <w:tcW w:w="2667" w:type="dxa"/>
                </w:tcPr>
                <w:p w14:paraId="19C2E7DE">
                  <w:pPr>
                    <w:pStyle w:val="49"/>
                    <w:bidi w:val="0"/>
                    <w:rPr>
                      <w:rFonts w:hint="default"/>
                      <w:lang w:val="en-US" w:eastAsia="zh-CN"/>
                    </w:rPr>
                  </w:pPr>
                  <w:r>
                    <w:rPr>
                      <w:rFonts w:hint="eastAsia"/>
                      <w:lang w:val="en-US" w:eastAsia="zh-CN"/>
                    </w:rPr>
                    <w:t>0.33kg/h</w:t>
                  </w:r>
                </w:p>
              </w:tc>
            </w:tr>
            <w:tr w14:paraId="5B22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666" w:type="dxa"/>
                  <w:vMerge w:val="continue"/>
                  <w:tcBorders/>
                </w:tcPr>
                <w:p w14:paraId="4F90BA56">
                  <w:pPr>
                    <w:pStyle w:val="49"/>
                    <w:bidi w:val="0"/>
                    <w:rPr>
                      <w:rFonts w:hint="default"/>
                      <w:lang w:val="en-US" w:eastAsia="zh-CN"/>
                    </w:rPr>
                  </w:pPr>
                </w:p>
              </w:tc>
              <w:tc>
                <w:tcPr>
                  <w:tcW w:w="2666" w:type="dxa"/>
                </w:tcPr>
                <w:p w14:paraId="70EB7E54">
                  <w:pPr>
                    <w:pStyle w:val="49"/>
                    <w:bidi w:val="0"/>
                    <w:rPr>
                      <w:rFonts w:hint="default"/>
                      <w:lang w:val="en-US" w:eastAsia="zh-CN"/>
                    </w:rPr>
                  </w:pPr>
                  <w:r>
                    <w:rPr>
                      <w:rFonts w:hint="eastAsia"/>
                      <w:lang w:val="en-US" w:eastAsia="zh-CN"/>
                    </w:rPr>
                    <w:t>氨</w:t>
                  </w:r>
                </w:p>
              </w:tc>
              <w:tc>
                <w:tcPr>
                  <w:tcW w:w="2667" w:type="dxa"/>
                </w:tcPr>
                <w:p w14:paraId="2BB14F85">
                  <w:pPr>
                    <w:pStyle w:val="49"/>
                    <w:bidi w:val="0"/>
                    <w:rPr>
                      <w:rFonts w:hint="default"/>
                      <w:lang w:val="en-US" w:eastAsia="zh-CN"/>
                    </w:rPr>
                  </w:pPr>
                  <w:r>
                    <w:rPr>
                      <w:rFonts w:hint="eastAsia"/>
                      <w:lang w:val="en-US" w:eastAsia="zh-CN"/>
                    </w:rPr>
                    <w:t>4.9kg/h</w:t>
                  </w:r>
                </w:p>
              </w:tc>
            </w:tr>
            <w:tr w14:paraId="2A85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666" w:type="dxa"/>
                  <w:vMerge w:val="continue"/>
                  <w:tcBorders/>
                </w:tcPr>
                <w:p w14:paraId="1FA05922">
                  <w:pPr>
                    <w:pStyle w:val="49"/>
                    <w:bidi w:val="0"/>
                    <w:rPr>
                      <w:rFonts w:hint="default"/>
                      <w:lang w:val="en-US" w:eastAsia="zh-CN"/>
                    </w:rPr>
                  </w:pPr>
                </w:p>
              </w:tc>
              <w:tc>
                <w:tcPr>
                  <w:tcW w:w="2666" w:type="dxa"/>
                </w:tcPr>
                <w:p w14:paraId="1E474957">
                  <w:pPr>
                    <w:pStyle w:val="49"/>
                    <w:bidi w:val="0"/>
                    <w:rPr>
                      <w:rFonts w:hint="default"/>
                      <w:lang w:val="en-US" w:eastAsia="zh-CN"/>
                    </w:rPr>
                  </w:pPr>
                  <w:r>
                    <w:rPr>
                      <w:rFonts w:hint="eastAsia"/>
                      <w:lang w:val="en-US" w:eastAsia="zh-CN"/>
                    </w:rPr>
                    <w:t>臭气浓度</w:t>
                  </w:r>
                </w:p>
              </w:tc>
              <w:tc>
                <w:tcPr>
                  <w:tcW w:w="2667" w:type="dxa"/>
                </w:tcPr>
                <w:p w14:paraId="0FF5242A">
                  <w:pPr>
                    <w:pStyle w:val="49"/>
                    <w:bidi w:val="0"/>
                    <w:rPr>
                      <w:rFonts w:hint="default"/>
                      <w:lang w:val="en-US" w:eastAsia="zh-CN"/>
                    </w:rPr>
                  </w:pPr>
                  <w:r>
                    <w:rPr>
                      <w:rFonts w:hint="eastAsia"/>
                      <w:lang w:val="en-US" w:eastAsia="zh-CN"/>
                    </w:rPr>
                    <w:t>2000（无量纲）</w:t>
                  </w:r>
                </w:p>
              </w:tc>
            </w:tr>
            <w:tr w14:paraId="64FD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666" w:type="dxa"/>
                  <w:vMerge w:val="restart"/>
                </w:tcPr>
                <w:p w14:paraId="5E529DE0">
                  <w:pPr>
                    <w:pStyle w:val="49"/>
                    <w:bidi w:val="0"/>
                    <w:rPr>
                      <w:rFonts w:hint="default"/>
                      <w:lang w:val="en-US" w:eastAsia="zh-CN"/>
                    </w:rPr>
                  </w:pPr>
                  <w:r>
                    <w:rPr>
                      <w:rFonts w:hint="eastAsia"/>
                      <w:lang w:val="en-US" w:eastAsia="zh-CN"/>
                    </w:rPr>
                    <w:t>无组织</w:t>
                  </w:r>
                </w:p>
              </w:tc>
              <w:tc>
                <w:tcPr>
                  <w:tcW w:w="2666" w:type="dxa"/>
                </w:tcPr>
                <w:p w14:paraId="0F8B856C">
                  <w:pPr>
                    <w:pStyle w:val="49"/>
                    <w:bidi w:val="0"/>
                    <w:rPr>
                      <w:rFonts w:hint="default"/>
                      <w:lang w:val="en-US" w:eastAsia="zh-CN"/>
                    </w:rPr>
                  </w:pPr>
                  <w:r>
                    <w:rPr>
                      <w:rFonts w:hint="eastAsia"/>
                      <w:lang w:val="en-US" w:eastAsia="zh-CN"/>
                    </w:rPr>
                    <w:t>硫化氢</w:t>
                  </w:r>
                </w:p>
              </w:tc>
              <w:tc>
                <w:tcPr>
                  <w:tcW w:w="2667" w:type="dxa"/>
                </w:tcPr>
                <w:p w14:paraId="1D932FDA">
                  <w:pPr>
                    <w:pStyle w:val="49"/>
                    <w:bidi w:val="0"/>
                    <w:rPr>
                      <w:rFonts w:hint="default"/>
                      <w:vertAlign w:val="superscript"/>
                      <w:lang w:val="en-US" w:eastAsia="zh-CN"/>
                    </w:rPr>
                  </w:pPr>
                  <w:r>
                    <w:rPr>
                      <w:rFonts w:hint="eastAsia"/>
                      <w:lang w:val="en-US" w:eastAsia="zh-CN"/>
                    </w:rPr>
                    <w:t>0.06mg/m</w:t>
                  </w:r>
                  <w:r>
                    <w:rPr>
                      <w:rFonts w:hint="eastAsia"/>
                      <w:vertAlign w:val="superscript"/>
                      <w:lang w:val="en-US" w:eastAsia="zh-CN"/>
                    </w:rPr>
                    <w:t>3</w:t>
                  </w:r>
                </w:p>
              </w:tc>
            </w:tr>
            <w:tr w14:paraId="3618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666" w:type="dxa"/>
                  <w:vMerge w:val="continue"/>
                  <w:tcBorders/>
                </w:tcPr>
                <w:p w14:paraId="7FFD3336">
                  <w:pPr>
                    <w:pStyle w:val="49"/>
                    <w:bidi w:val="0"/>
                    <w:rPr>
                      <w:rFonts w:hint="eastAsia"/>
                      <w:lang w:val="en-US" w:eastAsia="zh-CN"/>
                    </w:rPr>
                  </w:pPr>
                </w:p>
              </w:tc>
              <w:tc>
                <w:tcPr>
                  <w:tcW w:w="2666" w:type="dxa"/>
                  <w:shd w:val="clear"/>
                  <w:vAlign w:val="top"/>
                </w:tcPr>
                <w:p w14:paraId="4637CC7E">
                  <w:pPr>
                    <w:pStyle w:val="49"/>
                    <w:bidi w:val="0"/>
                    <w:ind w:left="0" w:leftChars="0"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氨</w:t>
                  </w:r>
                </w:p>
              </w:tc>
              <w:tc>
                <w:tcPr>
                  <w:tcW w:w="2667" w:type="dxa"/>
                </w:tcPr>
                <w:p w14:paraId="7C90E261">
                  <w:pPr>
                    <w:pStyle w:val="49"/>
                    <w:bidi w:val="0"/>
                    <w:rPr>
                      <w:rFonts w:hint="default"/>
                      <w:lang w:val="en-US" w:eastAsia="zh-CN"/>
                    </w:rPr>
                  </w:pPr>
                  <w:r>
                    <w:rPr>
                      <w:rFonts w:hint="eastAsia"/>
                      <w:lang w:val="en-US" w:eastAsia="zh-CN"/>
                    </w:rPr>
                    <w:t>1.5mg/m</w:t>
                  </w:r>
                  <w:r>
                    <w:rPr>
                      <w:rFonts w:hint="eastAsia"/>
                      <w:vertAlign w:val="superscript"/>
                      <w:lang w:val="en-US" w:eastAsia="zh-CN"/>
                    </w:rPr>
                    <w:t>3</w:t>
                  </w:r>
                </w:p>
              </w:tc>
            </w:tr>
            <w:tr w14:paraId="6E439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666" w:type="dxa"/>
                  <w:vMerge w:val="continue"/>
                  <w:tcBorders/>
                </w:tcPr>
                <w:p w14:paraId="37E5EAFF">
                  <w:pPr>
                    <w:pStyle w:val="49"/>
                    <w:bidi w:val="0"/>
                    <w:rPr>
                      <w:rFonts w:hint="eastAsia"/>
                      <w:lang w:val="en-US" w:eastAsia="zh-CN"/>
                    </w:rPr>
                  </w:pPr>
                </w:p>
              </w:tc>
              <w:tc>
                <w:tcPr>
                  <w:tcW w:w="2666" w:type="dxa"/>
                  <w:shd w:val="clear"/>
                  <w:vAlign w:val="top"/>
                </w:tcPr>
                <w:p w14:paraId="01A510AA">
                  <w:pPr>
                    <w:pStyle w:val="49"/>
                    <w:bidi w:val="0"/>
                    <w:ind w:left="0" w:leftChars="0" w:firstLine="0" w:firstLineChars="0"/>
                    <w:rPr>
                      <w:rFonts w:hint="eastAsia" w:ascii="Times New Roman" w:hAnsi="Times New Roman" w:eastAsia="宋体" w:cs="Times New Roman"/>
                      <w:kern w:val="0"/>
                      <w:sz w:val="21"/>
                      <w:szCs w:val="20"/>
                      <w:lang w:val="en-US" w:eastAsia="zh-CN" w:bidi="ar-SA"/>
                    </w:rPr>
                  </w:pPr>
                  <w:r>
                    <w:rPr>
                      <w:rFonts w:hint="eastAsia"/>
                      <w:lang w:val="en-US" w:eastAsia="zh-CN"/>
                    </w:rPr>
                    <w:t>臭气浓度</w:t>
                  </w:r>
                </w:p>
              </w:tc>
              <w:tc>
                <w:tcPr>
                  <w:tcW w:w="2667" w:type="dxa"/>
                </w:tcPr>
                <w:p w14:paraId="7A975069">
                  <w:pPr>
                    <w:pStyle w:val="49"/>
                    <w:bidi w:val="0"/>
                    <w:rPr>
                      <w:rFonts w:hint="default"/>
                      <w:lang w:val="en-US" w:eastAsia="zh-CN"/>
                    </w:rPr>
                  </w:pPr>
                  <w:r>
                    <w:rPr>
                      <w:rFonts w:hint="eastAsia"/>
                      <w:lang w:val="en-US" w:eastAsia="zh-CN"/>
                    </w:rPr>
                    <w:t>20mg/m</w:t>
                  </w:r>
                  <w:r>
                    <w:rPr>
                      <w:rFonts w:hint="eastAsia"/>
                      <w:vertAlign w:val="superscript"/>
                      <w:lang w:val="en-US" w:eastAsia="zh-CN"/>
                    </w:rPr>
                    <w:t>3</w:t>
                  </w:r>
                </w:p>
              </w:tc>
            </w:tr>
          </w:tbl>
          <w:p w14:paraId="2D545C44">
            <w:pPr>
              <w:pStyle w:val="11"/>
              <w:numPr>
                <w:ilvl w:val="0"/>
                <w:numId w:val="8"/>
              </w:numPr>
              <w:bidi w:val="0"/>
              <w:ind w:left="0" w:leftChars="0" w:firstLine="482" w:firstLineChars="200"/>
              <w:rPr>
                <w:rFonts w:hint="eastAsia"/>
                <w:b/>
                <w:bCs/>
                <w:color w:val="auto"/>
                <w:highlight w:val="none"/>
              </w:rPr>
            </w:pPr>
            <w:r>
              <w:rPr>
                <w:rFonts w:hint="eastAsia"/>
                <w:b/>
                <w:bCs/>
                <w:color w:val="auto"/>
                <w:highlight w:val="none"/>
              </w:rPr>
              <w:t>废水</w:t>
            </w:r>
          </w:p>
          <w:p w14:paraId="78F187F9">
            <w:pPr>
              <w:pStyle w:val="11"/>
              <w:shd w:val="clear"/>
              <w:bidi w:val="0"/>
              <w:rPr>
                <w:color w:val="auto"/>
                <w:highlight w:val="none"/>
              </w:rPr>
            </w:pPr>
            <w:r>
              <w:rPr>
                <w:color w:val="auto"/>
                <w:kern w:val="24"/>
                <w:highlight w:val="none"/>
              </w:rPr>
              <w:t>项目</w:t>
            </w:r>
            <w:r>
              <w:rPr>
                <w:rFonts w:hint="eastAsia"/>
                <w:color w:val="auto"/>
                <w:highlight w:val="none"/>
              </w:rPr>
              <w:t>冷却用水循环使用，不外排；</w:t>
            </w:r>
            <w:r>
              <w:rPr>
                <w:rFonts w:hint="eastAsia"/>
                <w:color w:val="auto"/>
                <w:highlight w:val="none"/>
                <w:lang w:val="en-US" w:eastAsia="zh-CN"/>
              </w:rPr>
              <w:t>绿化洒水用水全部蒸发损耗，不外排</w:t>
            </w:r>
            <w:r>
              <w:rPr>
                <w:rFonts w:hint="eastAsia"/>
                <w:color w:val="auto"/>
                <w:kern w:val="24"/>
                <w:highlight w:val="none"/>
              </w:rPr>
              <w:t>；</w:t>
            </w:r>
            <w:r>
              <w:rPr>
                <w:rFonts w:hint="eastAsia"/>
                <w:color w:val="auto"/>
                <w:kern w:val="24"/>
                <w:highlight w:val="none"/>
                <w:lang w:val="en-US" w:eastAsia="zh-CN"/>
              </w:rPr>
              <w:t>喷淋废水进入沉淀池经沉淀处理后全部回用，不外排；肥料产线生产用水随产品带走，不外排；</w:t>
            </w:r>
            <w:r>
              <w:rPr>
                <w:color w:val="auto"/>
                <w:kern w:val="24"/>
                <w:highlight w:val="none"/>
              </w:rPr>
              <w:t>生活污水经化粪池处理后，定期清掏用作农肥</w:t>
            </w:r>
            <w:r>
              <w:rPr>
                <w:bCs/>
                <w:color w:val="auto"/>
                <w:highlight w:val="none"/>
              </w:rPr>
              <w:t>。</w:t>
            </w:r>
          </w:p>
          <w:p w14:paraId="52F5A0EF">
            <w:pPr>
              <w:pStyle w:val="11"/>
              <w:numPr>
                <w:ilvl w:val="0"/>
                <w:numId w:val="8"/>
              </w:numPr>
              <w:bidi w:val="0"/>
              <w:ind w:left="0" w:leftChars="0" w:firstLine="482" w:firstLineChars="200"/>
              <w:rPr>
                <w:b/>
                <w:bCs/>
                <w:color w:val="auto"/>
                <w:highlight w:val="none"/>
              </w:rPr>
            </w:pPr>
            <w:r>
              <w:rPr>
                <w:b/>
                <w:bCs/>
                <w:color w:val="auto"/>
                <w:highlight w:val="none"/>
              </w:rPr>
              <w:t>噪声</w:t>
            </w:r>
          </w:p>
          <w:p w14:paraId="54CFCC07">
            <w:pPr>
              <w:pStyle w:val="11"/>
              <w:bidi w:val="0"/>
              <w:rPr>
                <w:color w:val="auto"/>
                <w:highlight w:val="none"/>
              </w:rPr>
            </w:pPr>
            <w:r>
              <w:rPr>
                <w:color w:val="auto"/>
                <w:highlight w:val="none"/>
              </w:rPr>
              <w:t>施工期施工现场执行《建筑施工场界环境噪声排放标准》（GB12523-2011）中的相关规定；运营期厂界噪声执行《工业企业厂界环境噪声排放标准》（GB12348-2008）中2类标准</w:t>
            </w:r>
            <w:r>
              <w:rPr>
                <w:rFonts w:hint="eastAsia"/>
                <w:color w:val="auto"/>
                <w:highlight w:val="none"/>
              </w:rPr>
              <w:t>。</w:t>
            </w:r>
          </w:p>
          <w:p w14:paraId="72DE1799">
            <w:pPr>
              <w:pStyle w:val="57"/>
              <w:widowControl/>
              <w:adjustRightInd w:val="0"/>
              <w:snapToGrid w:val="0"/>
              <w:spacing w:line="240" w:lineRule="auto"/>
              <w:ind w:firstLine="422" w:firstLineChars="200"/>
              <w:jc w:val="center"/>
              <w:rPr>
                <w:rFonts w:hint="eastAsia"/>
                <w:b/>
                <w:bCs/>
                <w:color w:val="auto"/>
                <w:sz w:val="21"/>
                <w:szCs w:val="21"/>
                <w:highlight w:val="none"/>
              </w:rPr>
            </w:pPr>
            <w:r>
              <w:rPr>
                <w:rFonts w:hint="eastAsia"/>
                <w:b/>
                <w:bCs/>
                <w:color w:val="auto"/>
                <w:sz w:val="21"/>
                <w:szCs w:val="21"/>
                <w:highlight w:val="none"/>
              </w:rPr>
              <w:t>表3</w:t>
            </w:r>
            <w:r>
              <w:rPr>
                <w:rFonts w:hint="eastAsia"/>
                <w:b/>
                <w:bCs/>
                <w:color w:val="auto"/>
                <w:sz w:val="21"/>
                <w:szCs w:val="21"/>
                <w:highlight w:val="none"/>
                <w:lang w:val="en-US" w:eastAsia="zh-CN"/>
              </w:rPr>
              <w:t>-10</w:t>
            </w:r>
            <w:r>
              <w:rPr>
                <w:rFonts w:hint="eastAsia"/>
                <w:color w:val="auto"/>
                <w:highlight w:val="none"/>
                <w:lang w:val="en-US" w:eastAsia="zh-CN"/>
              </w:rPr>
              <w:t xml:space="preserve">     </w:t>
            </w:r>
            <w:r>
              <w:rPr>
                <w:rFonts w:hint="eastAsia"/>
                <w:b/>
                <w:bCs/>
                <w:color w:val="auto"/>
                <w:sz w:val="21"/>
                <w:szCs w:val="21"/>
                <w:highlight w:val="none"/>
              </w:rPr>
              <w:t>建筑施工场界环境噪声排放标准单位：dB（A）</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7"/>
              <w:gridCol w:w="1318"/>
              <w:gridCol w:w="944"/>
            </w:tblGrid>
            <w:tr w14:paraId="50F5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63" w:type="dxa"/>
                  <w:noWrap w:val="0"/>
                  <w:vAlign w:val="center"/>
                </w:tcPr>
                <w:p w14:paraId="788BF721">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标准</w:t>
                  </w:r>
                </w:p>
              </w:tc>
              <w:tc>
                <w:tcPr>
                  <w:tcW w:w="1366" w:type="dxa"/>
                  <w:noWrap w:val="0"/>
                  <w:vAlign w:val="center"/>
                </w:tcPr>
                <w:p w14:paraId="2DBE00DC">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昼间</w:t>
                  </w:r>
                </w:p>
              </w:tc>
              <w:tc>
                <w:tcPr>
                  <w:tcW w:w="977" w:type="dxa"/>
                  <w:noWrap w:val="0"/>
                  <w:vAlign w:val="center"/>
                </w:tcPr>
                <w:p w14:paraId="2E3B4A1A">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夜间</w:t>
                  </w:r>
                </w:p>
              </w:tc>
            </w:tr>
            <w:tr w14:paraId="3FFA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963" w:type="dxa"/>
                  <w:noWrap w:val="0"/>
                  <w:vAlign w:val="center"/>
                </w:tcPr>
                <w:p w14:paraId="3E4CDA73">
                  <w:pPr>
                    <w:pStyle w:val="57"/>
                    <w:widowControl/>
                    <w:adjustRightInd w:val="0"/>
                    <w:snapToGrid w:val="0"/>
                    <w:spacing w:line="240" w:lineRule="auto"/>
                    <w:ind w:firstLine="0"/>
                    <w:jc w:val="center"/>
                    <w:rPr>
                      <w:rFonts w:hint="eastAsia"/>
                      <w:color w:val="auto"/>
                      <w:sz w:val="21"/>
                      <w:szCs w:val="21"/>
                      <w:highlight w:val="none"/>
                    </w:rPr>
                  </w:pPr>
                  <w:r>
                    <w:rPr>
                      <w:color w:val="auto"/>
                      <w:sz w:val="21"/>
                      <w:szCs w:val="21"/>
                      <w:highlight w:val="none"/>
                    </w:rPr>
                    <w:t>《建筑施工场界环境噪声排放标准》（GB12523-2011）</w:t>
                  </w:r>
                </w:p>
              </w:tc>
              <w:tc>
                <w:tcPr>
                  <w:tcW w:w="1366" w:type="dxa"/>
                  <w:noWrap w:val="0"/>
                  <w:vAlign w:val="center"/>
                </w:tcPr>
                <w:p w14:paraId="37A098A5">
                  <w:pPr>
                    <w:pStyle w:val="57"/>
                    <w:widowControl/>
                    <w:adjustRightInd w:val="0"/>
                    <w:snapToGrid w:val="0"/>
                    <w:spacing w:line="240" w:lineRule="auto"/>
                    <w:ind w:firstLine="0"/>
                    <w:jc w:val="center"/>
                    <w:rPr>
                      <w:color w:val="auto"/>
                      <w:sz w:val="21"/>
                      <w:szCs w:val="21"/>
                      <w:highlight w:val="none"/>
                    </w:rPr>
                  </w:pPr>
                  <w:r>
                    <w:rPr>
                      <w:rFonts w:hint="eastAsia"/>
                      <w:color w:val="auto"/>
                      <w:sz w:val="21"/>
                      <w:szCs w:val="21"/>
                      <w:highlight w:val="none"/>
                    </w:rPr>
                    <w:t>70</w:t>
                  </w:r>
                </w:p>
              </w:tc>
              <w:tc>
                <w:tcPr>
                  <w:tcW w:w="977" w:type="dxa"/>
                  <w:noWrap w:val="0"/>
                  <w:vAlign w:val="center"/>
                </w:tcPr>
                <w:p w14:paraId="46598F33">
                  <w:pPr>
                    <w:pStyle w:val="57"/>
                    <w:widowControl/>
                    <w:adjustRightInd w:val="0"/>
                    <w:snapToGrid w:val="0"/>
                    <w:spacing w:line="240" w:lineRule="auto"/>
                    <w:ind w:firstLine="0"/>
                    <w:jc w:val="center"/>
                    <w:rPr>
                      <w:color w:val="auto"/>
                      <w:sz w:val="21"/>
                      <w:szCs w:val="21"/>
                      <w:highlight w:val="none"/>
                    </w:rPr>
                  </w:pPr>
                  <w:r>
                    <w:rPr>
                      <w:rFonts w:hint="eastAsia"/>
                      <w:color w:val="auto"/>
                      <w:sz w:val="21"/>
                      <w:szCs w:val="21"/>
                      <w:highlight w:val="none"/>
                    </w:rPr>
                    <w:t>55</w:t>
                  </w:r>
                </w:p>
              </w:tc>
            </w:tr>
          </w:tbl>
          <w:p w14:paraId="4D586E1A">
            <w:pPr>
              <w:pStyle w:val="57"/>
              <w:widowControl/>
              <w:adjustRightInd w:val="0"/>
              <w:snapToGrid w:val="0"/>
              <w:spacing w:before="120" w:beforeLines="50" w:line="240" w:lineRule="auto"/>
              <w:ind w:firstLine="422" w:firstLineChars="200"/>
              <w:jc w:val="center"/>
              <w:rPr>
                <w:rFonts w:hint="eastAsia"/>
                <w:b/>
                <w:bCs/>
                <w:color w:val="auto"/>
                <w:sz w:val="21"/>
                <w:szCs w:val="21"/>
                <w:highlight w:val="none"/>
              </w:rPr>
            </w:pPr>
          </w:p>
          <w:p w14:paraId="3FEC8171">
            <w:pPr>
              <w:pStyle w:val="57"/>
              <w:widowControl/>
              <w:adjustRightInd w:val="0"/>
              <w:snapToGrid w:val="0"/>
              <w:spacing w:before="120" w:beforeLines="50" w:line="240" w:lineRule="auto"/>
              <w:ind w:firstLine="422" w:firstLineChars="200"/>
              <w:jc w:val="center"/>
              <w:rPr>
                <w:rFonts w:hint="eastAsia"/>
                <w:b/>
                <w:bCs/>
                <w:color w:val="auto"/>
                <w:sz w:val="21"/>
                <w:szCs w:val="21"/>
                <w:highlight w:val="none"/>
              </w:rPr>
            </w:pPr>
            <w:r>
              <w:rPr>
                <w:rFonts w:hint="eastAsia"/>
                <w:b/>
                <w:bCs/>
                <w:color w:val="auto"/>
                <w:sz w:val="21"/>
                <w:szCs w:val="21"/>
                <w:highlight w:val="none"/>
              </w:rPr>
              <w:t>表3-</w:t>
            </w:r>
            <w:r>
              <w:rPr>
                <w:rFonts w:hint="eastAsia"/>
                <w:b/>
                <w:bCs/>
                <w:color w:val="auto"/>
                <w:sz w:val="21"/>
                <w:szCs w:val="21"/>
                <w:highlight w:val="none"/>
                <w:lang w:val="en-US" w:eastAsia="zh-CN"/>
              </w:rPr>
              <w:t>11</w:t>
            </w:r>
            <w:r>
              <w:rPr>
                <w:rFonts w:hint="eastAsia"/>
                <w:color w:val="auto"/>
                <w:highlight w:val="none"/>
                <w:lang w:val="en-US" w:eastAsia="zh-CN"/>
              </w:rPr>
              <w:t xml:space="preserve">     </w:t>
            </w:r>
            <w:r>
              <w:rPr>
                <w:rFonts w:hint="eastAsia"/>
                <w:b/>
                <w:bCs/>
                <w:color w:val="auto"/>
                <w:sz w:val="21"/>
                <w:szCs w:val="21"/>
                <w:highlight w:val="none"/>
              </w:rPr>
              <w:t>《工业企业厂界环境噪声排放标准》单位：dB（A）</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2"/>
              <w:gridCol w:w="1320"/>
              <w:gridCol w:w="947"/>
            </w:tblGrid>
            <w:tr w14:paraId="235C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63" w:type="dxa"/>
                  <w:noWrap w:val="0"/>
                  <w:vAlign w:val="center"/>
                </w:tcPr>
                <w:p w14:paraId="5563115C">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标准</w:t>
                  </w:r>
                </w:p>
              </w:tc>
              <w:tc>
                <w:tcPr>
                  <w:tcW w:w="1366" w:type="dxa"/>
                  <w:noWrap w:val="0"/>
                  <w:vAlign w:val="center"/>
                </w:tcPr>
                <w:p w14:paraId="51344C0F">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昼间</w:t>
                  </w:r>
                </w:p>
              </w:tc>
              <w:tc>
                <w:tcPr>
                  <w:tcW w:w="977" w:type="dxa"/>
                  <w:noWrap w:val="0"/>
                  <w:vAlign w:val="center"/>
                </w:tcPr>
                <w:p w14:paraId="7FB07C9A">
                  <w:pPr>
                    <w:pStyle w:val="57"/>
                    <w:widowControl/>
                    <w:adjustRightInd w:val="0"/>
                    <w:snapToGrid w:val="0"/>
                    <w:spacing w:line="240" w:lineRule="auto"/>
                    <w:ind w:firstLine="0"/>
                    <w:jc w:val="center"/>
                    <w:rPr>
                      <w:rFonts w:hint="eastAsia"/>
                      <w:b/>
                      <w:bCs/>
                      <w:color w:val="auto"/>
                      <w:sz w:val="21"/>
                      <w:szCs w:val="21"/>
                      <w:highlight w:val="none"/>
                    </w:rPr>
                  </w:pPr>
                  <w:r>
                    <w:rPr>
                      <w:rFonts w:hint="eastAsia"/>
                      <w:b/>
                      <w:bCs/>
                      <w:color w:val="auto"/>
                      <w:sz w:val="21"/>
                      <w:szCs w:val="21"/>
                      <w:highlight w:val="none"/>
                    </w:rPr>
                    <w:t>夜间</w:t>
                  </w:r>
                </w:p>
              </w:tc>
            </w:tr>
            <w:tr w14:paraId="3A9F1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963" w:type="dxa"/>
                  <w:noWrap w:val="0"/>
                  <w:vAlign w:val="center"/>
                </w:tcPr>
                <w:p w14:paraId="1032C0A8">
                  <w:pPr>
                    <w:pStyle w:val="57"/>
                    <w:widowControl/>
                    <w:adjustRightInd w:val="0"/>
                    <w:snapToGrid w:val="0"/>
                    <w:spacing w:line="240" w:lineRule="auto"/>
                    <w:ind w:firstLine="0"/>
                    <w:jc w:val="center"/>
                    <w:rPr>
                      <w:rFonts w:hint="eastAsia"/>
                      <w:color w:val="auto"/>
                      <w:sz w:val="21"/>
                      <w:szCs w:val="21"/>
                      <w:highlight w:val="none"/>
                    </w:rPr>
                  </w:pPr>
                  <w:r>
                    <w:rPr>
                      <w:rFonts w:hint="eastAsia"/>
                      <w:color w:val="auto"/>
                      <w:sz w:val="21"/>
                      <w:szCs w:val="21"/>
                      <w:highlight w:val="none"/>
                    </w:rPr>
                    <w:t>《工业企业厂界环境噪声排放标准》（GB12348-2008）</w:t>
                  </w:r>
                </w:p>
              </w:tc>
              <w:tc>
                <w:tcPr>
                  <w:tcW w:w="1366" w:type="dxa"/>
                  <w:noWrap w:val="0"/>
                  <w:vAlign w:val="center"/>
                </w:tcPr>
                <w:p w14:paraId="01C63414">
                  <w:pPr>
                    <w:pStyle w:val="57"/>
                    <w:widowControl/>
                    <w:adjustRightInd w:val="0"/>
                    <w:snapToGrid w:val="0"/>
                    <w:spacing w:line="240" w:lineRule="auto"/>
                    <w:ind w:firstLine="0"/>
                    <w:jc w:val="center"/>
                    <w:rPr>
                      <w:color w:val="auto"/>
                      <w:sz w:val="21"/>
                      <w:szCs w:val="21"/>
                      <w:highlight w:val="none"/>
                    </w:rPr>
                  </w:pPr>
                  <w:r>
                    <w:rPr>
                      <w:rFonts w:hint="eastAsia"/>
                      <w:color w:val="auto"/>
                      <w:sz w:val="21"/>
                      <w:szCs w:val="21"/>
                      <w:highlight w:val="none"/>
                    </w:rPr>
                    <w:t>60</w:t>
                  </w:r>
                </w:p>
              </w:tc>
              <w:tc>
                <w:tcPr>
                  <w:tcW w:w="977" w:type="dxa"/>
                  <w:noWrap w:val="0"/>
                  <w:vAlign w:val="center"/>
                </w:tcPr>
                <w:p w14:paraId="6B51B175">
                  <w:pPr>
                    <w:pStyle w:val="57"/>
                    <w:widowControl/>
                    <w:adjustRightInd w:val="0"/>
                    <w:snapToGrid w:val="0"/>
                    <w:spacing w:line="240" w:lineRule="auto"/>
                    <w:ind w:firstLine="0"/>
                    <w:jc w:val="center"/>
                    <w:rPr>
                      <w:color w:val="auto"/>
                      <w:sz w:val="21"/>
                      <w:szCs w:val="21"/>
                      <w:highlight w:val="none"/>
                    </w:rPr>
                  </w:pPr>
                  <w:r>
                    <w:rPr>
                      <w:rFonts w:hint="eastAsia"/>
                      <w:color w:val="auto"/>
                      <w:sz w:val="21"/>
                      <w:szCs w:val="21"/>
                      <w:highlight w:val="none"/>
                    </w:rPr>
                    <w:t>50</w:t>
                  </w:r>
                </w:p>
              </w:tc>
            </w:tr>
          </w:tbl>
          <w:p w14:paraId="2ADDCE3D">
            <w:pPr>
              <w:pStyle w:val="11"/>
              <w:numPr>
                <w:ilvl w:val="0"/>
                <w:numId w:val="8"/>
              </w:numPr>
              <w:bidi w:val="0"/>
              <w:ind w:left="0" w:leftChars="0" w:firstLine="482" w:firstLineChars="200"/>
              <w:rPr>
                <w:b/>
                <w:bCs/>
                <w:color w:val="auto"/>
                <w:highlight w:val="none"/>
              </w:rPr>
            </w:pPr>
            <w:r>
              <w:rPr>
                <w:b/>
                <w:bCs/>
                <w:color w:val="auto"/>
                <w:highlight w:val="none"/>
              </w:rPr>
              <w:t>固废</w:t>
            </w:r>
          </w:p>
          <w:p w14:paraId="0CF1179A">
            <w:pPr>
              <w:pStyle w:val="11"/>
              <w:bidi w:val="0"/>
              <w:rPr>
                <w:rFonts w:hint="eastAsia" w:eastAsia="宋体"/>
                <w:color w:val="auto"/>
                <w:highlight w:val="none"/>
                <w:lang w:eastAsia="zh-CN"/>
              </w:rPr>
            </w:pPr>
            <w:r>
              <w:rPr>
                <w:color w:val="auto"/>
                <w:highlight w:val="none"/>
              </w:rPr>
              <w:t>一般工业固体废物污染控制执行</w:t>
            </w:r>
            <w:r>
              <w:rPr>
                <w:rFonts w:hint="eastAsia"/>
                <w:color w:val="auto"/>
                <w:highlight w:val="none"/>
              </w:rPr>
              <w:t>《一般工业固体废物贮存和填埋污染控制标准》（GB18599-2020）</w:t>
            </w:r>
            <w:r>
              <w:rPr>
                <w:color w:val="auto"/>
                <w:highlight w:val="none"/>
              </w:rPr>
              <w:t>中的有关规定；危险废物贮存执行《危险废物贮存污染控制标准》(GB18597-20</w:t>
            </w:r>
            <w:r>
              <w:rPr>
                <w:rFonts w:hint="eastAsia"/>
                <w:color w:val="auto"/>
                <w:highlight w:val="none"/>
                <w:lang w:val="en-US" w:eastAsia="zh-CN"/>
              </w:rPr>
              <w:t>23</w:t>
            </w:r>
            <w:r>
              <w:rPr>
                <w:color w:val="auto"/>
                <w:highlight w:val="none"/>
              </w:rPr>
              <w:t>)中有关规定</w:t>
            </w:r>
            <w:r>
              <w:rPr>
                <w:rFonts w:hint="eastAsia"/>
                <w:color w:val="auto"/>
                <w:highlight w:val="none"/>
                <w:lang w:eastAsia="zh-CN"/>
              </w:rPr>
              <w:t>。</w:t>
            </w:r>
          </w:p>
        </w:tc>
      </w:tr>
      <w:tr w14:paraId="1B8C8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4" w:hRule="atLeast"/>
          <w:jc w:val="center"/>
        </w:trPr>
        <w:tc>
          <w:tcPr>
            <w:tcW w:w="829" w:type="dxa"/>
            <w:noWrap w:val="0"/>
            <w:vAlign w:val="center"/>
          </w:tcPr>
          <w:p w14:paraId="4BC2BD46">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总量</w:t>
            </w:r>
          </w:p>
          <w:p w14:paraId="0C4CF7AA">
            <w:pPr>
              <w:adjustRightInd w:val="0"/>
              <w:snapToGrid w:val="0"/>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控制</w:t>
            </w:r>
          </w:p>
          <w:p w14:paraId="1BEEDA82">
            <w:pPr>
              <w:adjustRightInd w:val="0"/>
              <w:snapToGrid w:val="0"/>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指标</w:t>
            </w:r>
          </w:p>
        </w:tc>
        <w:tc>
          <w:tcPr>
            <w:tcW w:w="8161" w:type="dxa"/>
            <w:noWrap w:val="0"/>
            <w:vAlign w:val="center"/>
          </w:tcPr>
          <w:p w14:paraId="33BE5361">
            <w:pPr>
              <w:pStyle w:val="11"/>
              <w:bidi w:val="0"/>
              <w:rPr>
                <w:color w:val="auto"/>
                <w:highlight w:val="none"/>
              </w:rPr>
            </w:pPr>
            <w:r>
              <w:rPr>
                <w:rFonts w:hint="eastAsia"/>
                <w:color w:val="auto"/>
                <w:highlight w:val="none"/>
              </w:rPr>
              <w:t>本项目属于新建项目，尚无下达的总量控制指标。</w:t>
            </w:r>
          </w:p>
          <w:p w14:paraId="4509F54E">
            <w:pPr>
              <w:pStyle w:val="11"/>
              <w:bidi w:val="0"/>
              <w:rPr>
                <w:rFonts w:hint="default"/>
                <w:color w:val="auto"/>
                <w:highlight w:val="none"/>
                <w:vertAlign w:val="baseline"/>
                <w:lang w:val="en-US" w:eastAsia="zh-CN"/>
              </w:rPr>
            </w:pPr>
            <w:r>
              <w:rPr>
                <w:color w:val="auto"/>
                <w:highlight w:val="none"/>
              </w:rPr>
              <w:t>根据国家和陕西省对NO</w:t>
            </w:r>
            <w:r>
              <w:rPr>
                <w:rFonts w:hint="eastAsia"/>
                <w:color w:val="auto"/>
                <w:highlight w:val="none"/>
              </w:rPr>
              <w:t>x</w:t>
            </w:r>
            <w:r>
              <w:rPr>
                <w:color w:val="auto"/>
                <w:highlight w:val="none"/>
              </w:rPr>
              <w:t>、挥发性有机物、COD和NH</w:t>
            </w:r>
            <w:r>
              <w:rPr>
                <w:color w:val="auto"/>
                <w:highlight w:val="none"/>
                <w:vertAlign w:val="subscript"/>
              </w:rPr>
              <w:t>3</w:t>
            </w:r>
            <w:r>
              <w:rPr>
                <w:color w:val="auto"/>
                <w:highlight w:val="none"/>
              </w:rPr>
              <w:t>-N污染物排放实行总量控制和计划管理的规定</w:t>
            </w:r>
            <w:r>
              <w:rPr>
                <w:rFonts w:hint="eastAsia"/>
                <w:color w:val="auto"/>
                <w:highlight w:val="none"/>
              </w:rPr>
              <w:t>。</w:t>
            </w:r>
            <w:r>
              <w:rPr>
                <w:color w:val="auto"/>
                <w:highlight w:val="none"/>
              </w:rPr>
              <w:t>项目</w:t>
            </w:r>
            <w:r>
              <w:rPr>
                <w:rFonts w:hint="eastAsia"/>
                <w:color w:val="auto"/>
                <w:highlight w:val="none"/>
              </w:rPr>
              <w:t>冷却用水循环使用，不外排；</w:t>
            </w:r>
            <w:r>
              <w:rPr>
                <w:rFonts w:hint="eastAsia"/>
                <w:color w:val="auto"/>
                <w:highlight w:val="none"/>
                <w:lang w:val="en-US" w:eastAsia="zh-CN"/>
              </w:rPr>
              <w:t>绿化洒水用水全部蒸发损耗，不外排</w:t>
            </w:r>
            <w:r>
              <w:rPr>
                <w:rFonts w:hint="eastAsia"/>
                <w:color w:val="auto"/>
                <w:highlight w:val="none"/>
              </w:rPr>
              <w:t>；</w:t>
            </w:r>
            <w:r>
              <w:rPr>
                <w:color w:val="auto"/>
                <w:highlight w:val="none"/>
              </w:rPr>
              <w:t>生活污水经化粪池处理后，定期清掏用作农肥。</w:t>
            </w:r>
            <w:r>
              <w:rPr>
                <w:rFonts w:hint="eastAsia"/>
                <w:color w:val="auto"/>
                <w:highlight w:val="none"/>
                <w:lang w:val="en-US" w:eastAsia="zh-CN"/>
              </w:rPr>
              <w:t>本项目大气污染物总量建议指标如下：NO</w:t>
            </w:r>
            <w:r>
              <w:rPr>
                <w:rFonts w:hint="eastAsia"/>
                <w:color w:val="auto"/>
                <w:highlight w:val="none"/>
                <w:vertAlign w:val="subscript"/>
                <w:lang w:val="en-US" w:eastAsia="zh-CN"/>
              </w:rPr>
              <w:t xml:space="preserve">x </w:t>
            </w:r>
            <w:r>
              <w:rPr>
                <w:rFonts w:hint="eastAsia"/>
                <w:color w:val="auto"/>
                <w:highlight w:val="none"/>
                <w:vertAlign w:val="baseline"/>
                <w:lang w:val="en-US" w:eastAsia="zh-CN"/>
              </w:rPr>
              <w:t>1.702t/a。</w:t>
            </w:r>
          </w:p>
        </w:tc>
      </w:tr>
    </w:tbl>
    <w:p w14:paraId="1A6527B2">
      <w:pPr>
        <w:pStyle w:val="22"/>
        <w:jc w:val="center"/>
        <w:outlineLvl w:val="0"/>
        <w:rPr>
          <w:rFonts w:ascii="黑体" w:hAnsi="黑体" w:eastAsia="黑体"/>
          <w:snapToGrid w:val="0"/>
          <w:color w:val="auto"/>
          <w:sz w:val="30"/>
          <w:szCs w:val="30"/>
          <w:highlight w:val="none"/>
        </w:rPr>
      </w:pPr>
      <w:r>
        <w:rPr>
          <w:rFonts w:ascii="黑体" w:hAnsi="黑体" w:eastAsia="黑体"/>
          <w:snapToGrid w:val="0"/>
          <w:color w:val="auto"/>
          <w:sz w:val="36"/>
          <w:szCs w:val="36"/>
          <w:highlight w:val="none"/>
        </w:rPr>
        <w:br w:type="page"/>
      </w:r>
      <w:r>
        <w:rPr>
          <w:rFonts w:hint="eastAsia" w:ascii="黑体" w:hAnsi="黑体" w:eastAsia="黑体"/>
          <w:snapToGrid w:val="0"/>
          <w:color w:val="auto"/>
          <w:sz w:val="30"/>
          <w:szCs w:val="30"/>
          <w:highlight w:val="none"/>
        </w:rPr>
        <w:t>四、主要环境影响和保护措施</w:t>
      </w:r>
    </w:p>
    <w:tbl>
      <w:tblPr>
        <w:tblStyle w:val="26"/>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61C11B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6" w:type="dxa"/>
            <w:noWrap w:val="0"/>
            <w:tcMar>
              <w:left w:w="28" w:type="dxa"/>
              <w:right w:w="28" w:type="dxa"/>
            </w:tcMar>
            <w:vAlign w:val="center"/>
          </w:tcPr>
          <w:p w14:paraId="562162B8">
            <w:pPr>
              <w:pStyle w:val="22"/>
              <w:adjustRightInd w:val="0"/>
              <w:snapToGrid w:val="0"/>
              <w:spacing w:before="0" w:beforeAutospacing="0" w:after="0" w:afterAutospacing="0"/>
              <w:jc w:val="center"/>
              <w:rPr>
                <w:rFonts w:hint="eastAsia" w:cs="宋体"/>
                <w:color w:val="auto"/>
                <w:kern w:val="2"/>
                <w:sz w:val="24"/>
                <w:szCs w:val="24"/>
                <w:highlight w:val="none"/>
              </w:rPr>
            </w:pPr>
            <w:r>
              <w:rPr>
                <w:rFonts w:hint="eastAsia" w:cs="宋体"/>
                <w:color w:val="auto"/>
                <w:kern w:val="2"/>
                <w:sz w:val="24"/>
                <w:szCs w:val="24"/>
                <w:highlight w:val="none"/>
              </w:rPr>
              <w:t>施工</w:t>
            </w:r>
          </w:p>
          <w:p w14:paraId="7C5F8063">
            <w:pPr>
              <w:pStyle w:val="22"/>
              <w:adjustRightInd w:val="0"/>
              <w:snapToGrid w:val="0"/>
              <w:spacing w:before="0" w:beforeAutospacing="0" w:after="0" w:afterAutospacing="0"/>
              <w:jc w:val="center"/>
              <w:rPr>
                <w:rFonts w:hint="eastAsia" w:cs="宋体"/>
                <w:color w:val="auto"/>
                <w:kern w:val="2"/>
                <w:sz w:val="24"/>
                <w:szCs w:val="24"/>
                <w:highlight w:val="none"/>
              </w:rPr>
            </w:pPr>
            <w:r>
              <w:rPr>
                <w:rFonts w:hint="eastAsia" w:cs="宋体"/>
                <w:color w:val="auto"/>
                <w:kern w:val="2"/>
                <w:sz w:val="24"/>
                <w:szCs w:val="24"/>
                <w:highlight w:val="none"/>
              </w:rPr>
              <w:t>期环</w:t>
            </w:r>
          </w:p>
          <w:p w14:paraId="177A2F8B">
            <w:pPr>
              <w:pStyle w:val="22"/>
              <w:adjustRightInd w:val="0"/>
              <w:snapToGrid w:val="0"/>
              <w:spacing w:before="0" w:beforeAutospacing="0" w:after="0" w:afterAutospacing="0"/>
              <w:jc w:val="center"/>
              <w:rPr>
                <w:rFonts w:hint="eastAsia" w:cs="宋体"/>
                <w:color w:val="auto"/>
                <w:kern w:val="2"/>
                <w:sz w:val="24"/>
                <w:szCs w:val="24"/>
                <w:highlight w:val="none"/>
              </w:rPr>
            </w:pPr>
            <w:r>
              <w:rPr>
                <w:rFonts w:hint="eastAsia" w:cs="宋体"/>
                <w:color w:val="auto"/>
                <w:kern w:val="2"/>
                <w:sz w:val="24"/>
                <w:szCs w:val="24"/>
                <w:highlight w:val="none"/>
              </w:rPr>
              <w:t>境保</w:t>
            </w:r>
          </w:p>
          <w:p w14:paraId="00EF5F53">
            <w:pPr>
              <w:pStyle w:val="22"/>
              <w:adjustRightInd w:val="0"/>
              <w:snapToGrid w:val="0"/>
              <w:spacing w:before="0" w:beforeAutospacing="0" w:after="0" w:afterAutospacing="0"/>
              <w:jc w:val="center"/>
              <w:rPr>
                <w:rFonts w:hint="eastAsia" w:cs="宋体"/>
                <w:color w:val="auto"/>
                <w:kern w:val="2"/>
                <w:sz w:val="24"/>
                <w:szCs w:val="24"/>
                <w:highlight w:val="none"/>
              </w:rPr>
            </w:pPr>
            <w:r>
              <w:rPr>
                <w:rFonts w:hint="eastAsia" w:cs="宋体"/>
                <w:color w:val="auto"/>
                <w:kern w:val="2"/>
                <w:sz w:val="24"/>
                <w:szCs w:val="24"/>
                <w:highlight w:val="none"/>
              </w:rPr>
              <w:t>护措</w:t>
            </w:r>
          </w:p>
          <w:p w14:paraId="3018398A">
            <w:pPr>
              <w:pStyle w:val="22"/>
              <w:adjustRightInd w:val="0"/>
              <w:snapToGrid w:val="0"/>
              <w:spacing w:before="0" w:beforeAutospacing="0" w:after="0" w:afterAutospacing="0"/>
              <w:jc w:val="center"/>
              <w:rPr>
                <w:rFonts w:hint="eastAsia" w:cs="宋体"/>
                <w:bCs/>
                <w:color w:val="auto"/>
                <w:kern w:val="2"/>
                <w:sz w:val="24"/>
                <w:szCs w:val="24"/>
                <w:highlight w:val="none"/>
              </w:rPr>
            </w:pPr>
            <w:r>
              <w:rPr>
                <w:rFonts w:hint="eastAsia" w:cs="宋体"/>
                <w:color w:val="auto"/>
                <w:kern w:val="2"/>
                <w:sz w:val="24"/>
                <w:szCs w:val="24"/>
                <w:highlight w:val="none"/>
              </w:rPr>
              <w:t>施</w:t>
            </w:r>
          </w:p>
        </w:tc>
        <w:tc>
          <w:tcPr>
            <w:tcW w:w="8162" w:type="dxa"/>
            <w:noWrap w:val="0"/>
            <w:vAlign w:val="center"/>
          </w:tcPr>
          <w:p w14:paraId="0C60F82D">
            <w:pPr>
              <w:pStyle w:val="11"/>
              <w:bidi w:val="0"/>
              <w:rPr>
                <w:rFonts w:hint="eastAsia"/>
                <w:b/>
                <w:bCs/>
                <w:color w:val="auto"/>
                <w:highlight w:val="none"/>
              </w:rPr>
            </w:pPr>
            <w:r>
              <w:rPr>
                <w:rFonts w:hint="eastAsia"/>
                <w:b/>
                <w:bCs/>
                <w:color w:val="auto"/>
                <w:highlight w:val="none"/>
              </w:rPr>
              <w:t>施工期环境保护措施</w:t>
            </w:r>
          </w:p>
          <w:p w14:paraId="67AABE68">
            <w:pPr>
              <w:pStyle w:val="11"/>
              <w:bidi w:val="0"/>
              <w:rPr>
                <w:color w:val="auto"/>
                <w:highlight w:val="none"/>
              </w:rPr>
            </w:pPr>
            <w:r>
              <w:rPr>
                <w:rFonts w:hint="eastAsia"/>
                <w:color w:val="auto"/>
                <w:highlight w:val="none"/>
              </w:rPr>
              <w:t>项目</w:t>
            </w:r>
            <w:r>
              <w:rPr>
                <w:color w:val="auto"/>
                <w:highlight w:val="none"/>
              </w:rPr>
              <w:t>施工期主要涉及场地清理、土地平整、基础建设、主体施工、设备安装等环节。</w:t>
            </w:r>
          </w:p>
          <w:p w14:paraId="24FBF64D">
            <w:pPr>
              <w:pStyle w:val="11"/>
              <w:bidi w:val="0"/>
              <w:rPr>
                <w:b/>
                <w:bCs/>
                <w:color w:val="auto"/>
                <w:highlight w:val="none"/>
              </w:rPr>
            </w:pPr>
            <w:r>
              <w:rPr>
                <w:rFonts w:hint="eastAsia"/>
                <w:b/>
                <w:bCs/>
                <w:color w:val="auto"/>
                <w:highlight w:val="none"/>
                <w:lang w:val="en-US" w:eastAsia="zh-CN"/>
              </w:rPr>
              <w:t>1</w:t>
            </w:r>
            <w:r>
              <w:rPr>
                <w:b/>
                <w:bCs/>
                <w:color w:val="auto"/>
                <w:highlight w:val="none"/>
              </w:rPr>
              <w:t>、施工期</w:t>
            </w:r>
            <w:r>
              <w:rPr>
                <w:rFonts w:hint="eastAsia"/>
                <w:b/>
                <w:bCs/>
                <w:color w:val="auto"/>
                <w:highlight w:val="none"/>
              </w:rPr>
              <w:t>废气</w:t>
            </w:r>
            <w:r>
              <w:rPr>
                <w:b/>
                <w:bCs/>
                <w:color w:val="auto"/>
                <w:highlight w:val="none"/>
              </w:rPr>
              <w:t>防治措施</w:t>
            </w:r>
          </w:p>
          <w:p w14:paraId="5181B346">
            <w:pPr>
              <w:pStyle w:val="11"/>
              <w:bidi w:val="0"/>
              <w:rPr>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施工扬尘</w:t>
            </w:r>
          </w:p>
          <w:p w14:paraId="3A699E6B">
            <w:pPr>
              <w:pStyle w:val="11"/>
              <w:bidi w:val="0"/>
              <w:rPr>
                <w:color w:val="auto"/>
                <w:highlight w:val="none"/>
              </w:rPr>
            </w:pPr>
            <w:r>
              <w:rPr>
                <w:rFonts w:hint="eastAsia"/>
                <w:color w:val="auto"/>
                <w:highlight w:val="none"/>
              </w:rPr>
              <w:t>本</w:t>
            </w:r>
            <w:r>
              <w:rPr>
                <w:color w:val="auto"/>
                <w:highlight w:val="none"/>
              </w:rPr>
              <w:t>项目建设施工过程中的大气污染主要来自施工场地扬尘。在整个施工期，产生扬尘的作业有土地平整、开挖、回填、道路</w:t>
            </w:r>
            <w:r>
              <w:rPr>
                <w:rFonts w:hint="eastAsia"/>
                <w:color w:val="auto"/>
                <w:highlight w:val="none"/>
              </w:rPr>
              <w:t>浇筑</w:t>
            </w:r>
            <w:r>
              <w:rPr>
                <w:color w:val="auto"/>
                <w:highlight w:val="none"/>
              </w:rPr>
              <w:t>、建材运输、露天堆放、装卸等过程，如遇干旱无雨季节，加上大风，施工扬尘更严重。施工扬尘起尘量与许多因素有关，主要决定于运用挖土机进行土石方开挖、堆存及土石方外运时产生的扬尘量，属无组织面源排放，源强不易确定，沉降快，一般影响范围较小。</w:t>
            </w:r>
          </w:p>
          <w:p w14:paraId="47591EEC">
            <w:pPr>
              <w:pStyle w:val="11"/>
              <w:bidi w:val="0"/>
              <w:rPr>
                <w:color w:val="auto"/>
                <w:highlight w:val="none"/>
              </w:rPr>
            </w:pPr>
            <w:r>
              <w:rPr>
                <w:color w:val="auto"/>
                <w:highlight w:val="none"/>
              </w:rPr>
              <w:t>本项目施工期严格按照</w:t>
            </w:r>
            <w:r>
              <w:rPr>
                <w:rFonts w:hint="eastAsia"/>
                <w:color w:val="auto"/>
                <w:highlight w:val="none"/>
                <w:lang w:eastAsia="zh-CN"/>
              </w:rPr>
              <w:t>《</w:t>
            </w:r>
            <w:r>
              <w:rPr>
                <w:rFonts w:hint="eastAsia"/>
                <w:color w:val="auto"/>
                <w:sz w:val="24"/>
                <w:highlight w:val="none"/>
                <w:lang w:val="en-US" w:eastAsia="zh-CN"/>
              </w:rPr>
              <w:t>陕西省大气污染防治条例》（2019修正版）、《汉中市大气污染治理专项行动工作方案》（2023-2027年）</w:t>
            </w:r>
            <w:r>
              <w:rPr>
                <w:color w:val="auto"/>
                <w:highlight w:val="none"/>
              </w:rPr>
              <w:t>等相关规定，具体如下：</w:t>
            </w:r>
          </w:p>
          <w:p w14:paraId="1F1FC35F">
            <w:pPr>
              <w:pStyle w:val="11"/>
              <w:bidi w:val="0"/>
              <w:rPr>
                <w:color w:val="auto"/>
                <w:highlight w:val="none"/>
              </w:rPr>
            </w:pPr>
            <w:r>
              <w:rPr>
                <w:rFonts w:hint="eastAsia"/>
                <w:color w:val="auto"/>
                <w:highlight w:val="none"/>
              </w:rPr>
              <w:t>①</w:t>
            </w:r>
            <w:r>
              <w:rPr>
                <w:color w:val="auto"/>
                <w:highlight w:val="none"/>
              </w:rPr>
              <w:t>施工过程中使用水泥、石灰、砂石等易产生扬尘的建筑材料应入库贮存装卸，搬运时轻拿轻放，避免包装破裂产生扬尘。</w:t>
            </w:r>
          </w:p>
          <w:p w14:paraId="19466588">
            <w:pPr>
              <w:pStyle w:val="11"/>
              <w:bidi w:val="0"/>
              <w:rPr>
                <w:color w:val="auto"/>
                <w:highlight w:val="none"/>
              </w:rPr>
            </w:pPr>
            <w:r>
              <w:rPr>
                <w:rFonts w:hint="eastAsia"/>
                <w:color w:val="auto"/>
                <w:highlight w:val="none"/>
              </w:rPr>
              <w:t>②</w:t>
            </w:r>
            <w:r>
              <w:rPr>
                <w:color w:val="auto"/>
                <w:highlight w:val="none"/>
              </w:rPr>
              <w:t>干燥季节要适时对现场存放的土方洒水，保持其表面潮湿，以避免扬尘。</w:t>
            </w:r>
          </w:p>
          <w:p w14:paraId="395B4FEA">
            <w:pPr>
              <w:pStyle w:val="11"/>
              <w:bidi w:val="0"/>
              <w:rPr>
                <w:color w:val="auto"/>
                <w:highlight w:val="none"/>
              </w:rPr>
            </w:pPr>
            <w:r>
              <w:rPr>
                <w:rFonts w:hint="eastAsia"/>
                <w:color w:val="auto"/>
                <w:highlight w:val="none"/>
              </w:rPr>
              <w:t>③</w:t>
            </w:r>
            <w:r>
              <w:rPr>
                <w:color w:val="auto"/>
                <w:highlight w:val="none"/>
              </w:rPr>
              <w:t>施工内部工地裸露地面应覆盖防尘布或防尘网、定时水雾喷洒降低施工场地扬尘、配置文明施工等措施防止扬尘造成影响。</w:t>
            </w:r>
          </w:p>
          <w:p w14:paraId="6C0DDD78">
            <w:pPr>
              <w:pStyle w:val="11"/>
              <w:bidi w:val="0"/>
              <w:rPr>
                <w:color w:val="auto"/>
                <w:highlight w:val="none"/>
              </w:rPr>
            </w:pPr>
            <w:r>
              <w:rPr>
                <w:rFonts w:hint="eastAsia"/>
                <w:color w:val="auto"/>
                <w:highlight w:val="none"/>
              </w:rPr>
              <w:t>④</w:t>
            </w:r>
            <w:r>
              <w:rPr>
                <w:color w:val="auto"/>
                <w:highlight w:val="none"/>
              </w:rPr>
              <w:t>多尘物料应使用帆布覆盖，采用封闭的运输车或篷布覆盖的运输车进行运输，不得超载，并控制车辆行驶速度，防止运输过程中的飞扬和洒落。</w:t>
            </w:r>
          </w:p>
          <w:p w14:paraId="3FC15C96">
            <w:pPr>
              <w:pStyle w:val="11"/>
              <w:bidi w:val="0"/>
              <w:rPr>
                <w:color w:val="auto"/>
                <w:highlight w:val="none"/>
              </w:rPr>
            </w:pPr>
            <w:r>
              <w:rPr>
                <w:rFonts w:hint="eastAsia"/>
                <w:color w:val="auto"/>
                <w:highlight w:val="none"/>
              </w:rPr>
              <w:t>⑤</w:t>
            </w:r>
            <w:r>
              <w:rPr>
                <w:color w:val="auto"/>
                <w:highlight w:val="none"/>
              </w:rPr>
              <w:t>施工期使用混凝土应使用预拌商品混凝土，不得现场露天搅拌混凝土、消化石灰及拌石灰土。</w:t>
            </w:r>
          </w:p>
          <w:p w14:paraId="016462C6">
            <w:pPr>
              <w:pStyle w:val="11"/>
              <w:bidi w:val="0"/>
              <w:rPr>
                <w:color w:val="auto"/>
                <w:highlight w:val="none"/>
              </w:rPr>
            </w:pPr>
            <w:r>
              <w:rPr>
                <w:rFonts w:hint="eastAsia"/>
                <w:color w:val="auto"/>
                <w:highlight w:val="none"/>
              </w:rPr>
              <w:t>⑥</w:t>
            </w:r>
            <w:r>
              <w:rPr>
                <w:color w:val="auto"/>
                <w:highlight w:val="none"/>
              </w:rPr>
              <w:t>施工过程中必须实施“六个100%管理+红黄绿牌结果管理”的防治联动制度，即施工区域100%标准围挡、裸露黄土100%覆盖、施工道路100%硬化、渣土运输车辆100%密闭拉运、施工现场出入车辆100%冲洗清洁建筑物拆除100%湿法作业。</w:t>
            </w:r>
          </w:p>
          <w:p w14:paraId="51C1CAAD">
            <w:pPr>
              <w:pStyle w:val="11"/>
              <w:bidi w:val="0"/>
              <w:rPr>
                <w:color w:val="auto"/>
                <w:highlight w:val="none"/>
              </w:rPr>
            </w:pPr>
            <w:r>
              <w:rPr>
                <w:color w:val="auto"/>
                <w:highlight w:val="none"/>
              </w:rPr>
              <w:t>采取以上措施后，项目施工期间对环境空气的影响较小，可满足《施工场界扬尘排放限值》（DB61/1078-2017）要求，而且项目工期较短，随着施工活动的结束，这些污染也将消失。</w:t>
            </w:r>
          </w:p>
          <w:p w14:paraId="08538249">
            <w:pPr>
              <w:pStyle w:val="11"/>
              <w:bidi w:val="0"/>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color w:val="auto"/>
                <w:highlight w:val="none"/>
              </w:rPr>
              <w:t>施工机械废气及运输车辆尾气</w:t>
            </w:r>
          </w:p>
          <w:p w14:paraId="34D3A9E5">
            <w:pPr>
              <w:pStyle w:val="11"/>
              <w:bidi w:val="0"/>
              <w:rPr>
                <w:color w:val="auto"/>
                <w:highlight w:val="none"/>
              </w:rPr>
            </w:pPr>
            <w:r>
              <w:rPr>
                <w:color w:val="auto"/>
                <w:highlight w:val="none"/>
              </w:rPr>
              <w:t>施工作业机械如挖掘机、装载机和运输车辆会排放尾气，施工作业机械和运输车辆均以柴油作为动力源，施工作业机械和运输车辆产生的尾气主要污染物为CO、THC、NO</w:t>
            </w:r>
            <w:r>
              <w:rPr>
                <w:color w:val="auto"/>
                <w:highlight w:val="none"/>
                <w:vertAlign w:val="subscript"/>
              </w:rPr>
              <w:t>x</w:t>
            </w:r>
            <w:r>
              <w:rPr>
                <w:color w:val="auto"/>
                <w:highlight w:val="none"/>
              </w:rPr>
              <w:t>、SO</w:t>
            </w:r>
            <w:r>
              <w:rPr>
                <w:color w:val="auto"/>
                <w:highlight w:val="none"/>
                <w:vertAlign w:val="subscript"/>
              </w:rPr>
              <w:t>2</w:t>
            </w:r>
            <w:r>
              <w:rPr>
                <w:color w:val="auto"/>
                <w:highlight w:val="none"/>
              </w:rPr>
              <w:t>等，在施工高峰期会造成局部地域环境空气的污染影响。但只要加强施工机械及运输车辆的日常保养与维护，将不会造成明显的环境空气质量影响，并且其影响是局部和间断的。</w:t>
            </w:r>
          </w:p>
          <w:p w14:paraId="25ECB342">
            <w:pPr>
              <w:pStyle w:val="11"/>
              <w:bidi w:val="0"/>
              <w:rPr>
                <w:color w:val="auto"/>
                <w:highlight w:val="none"/>
              </w:rPr>
            </w:pPr>
            <w:r>
              <w:rPr>
                <w:color w:val="auto"/>
                <w:highlight w:val="none"/>
              </w:rPr>
              <w:t>评价要求，建设单位在施工过程中应加强施工机械和车辆运行管理与维护保养，对施工过程中非道路移动机械用柴油机废气排放必须执行并满足《非道路移动机械用柴油机排气污染物排放限值及测量方法》（GB</w:t>
            </w:r>
            <w:r>
              <w:rPr>
                <w:rFonts w:hint="eastAsia"/>
                <w:color w:val="auto"/>
                <w:highlight w:val="none"/>
              </w:rPr>
              <w:t>36886</w:t>
            </w:r>
            <w:r>
              <w:rPr>
                <w:color w:val="auto"/>
                <w:highlight w:val="none"/>
              </w:rPr>
              <w:t>-20</w:t>
            </w:r>
            <w:r>
              <w:rPr>
                <w:rFonts w:hint="eastAsia"/>
                <w:color w:val="auto"/>
                <w:highlight w:val="none"/>
              </w:rPr>
              <w:t>18</w:t>
            </w:r>
            <w:r>
              <w:rPr>
                <w:color w:val="auto"/>
                <w:highlight w:val="none"/>
              </w:rPr>
              <w:t>）标准限值的要求。</w:t>
            </w:r>
          </w:p>
          <w:p w14:paraId="5B2DE0FC">
            <w:pPr>
              <w:pStyle w:val="11"/>
              <w:bidi w:val="0"/>
              <w:rPr>
                <w:rFonts w:hint="eastAsia"/>
                <w:color w:val="auto"/>
                <w:highlight w:val="none"/>
                <w:lang w:val="en-US" w:eastAsia="zh-CN"/>
              </w:rPr>
            </w:pPr>
            <w:r>
              <w:rPr>
                <w:rFonts w:hint="eastAsia"/>
                <w:color w:val="auto"/>
                <w:highlight w:val="none"/>
                <w:lang w:val="en-US" w:eastAsia="zh-CN"/>
              </w:rPr>
              <w:t>同时，本项目场址距离陕西汉中朱鹮国家级自然保护区较近，紧邻朱鹮珍稀鸟类栖息、觅食敏感生态区域。结合项目与保护区相对位置、区域常年主导风向及朱鹮生态习性。为避免施工期废气影响朱鹮保护区栖息环境，保障保护区空气质量及鸟类活动安全，还应加强以下保护措施：</w:t>
            </w:r>
          </w:p>
          <w:p w14:paraId="2AF465E4">
            <w:pPr>
              <w:pStyle w:val="11"/>
              <w:bidi w:val="0"/>
              <w:rPr>
                <w:rFonts w:hint="eastAsia"/>
                <w:color w:val="auto"/>
                <w:highlight w:val="none"/>
                <w:lang w:val="en-US" w:eastAsia="zh-CN"/>
              </w:rPr>
            </w:pPr>
            <w:r>
              <w:rPr>
                <w:rFonts w:hint="eastAsia"/>
                <w:color w:val="auto"/>
                <w:highlight w:val="none"/>
                <w:lang w:val="en-US" w:eastAsia="zh-CN"/>
              </w:rPr>
              <w:t>①</w:t>
            </w:r>
            <w:r>
              <w:rPr>
                <w:color w:val="auto"/>
                <w:highlight w:val="none"/>
                <w:lang w:val="en-US" w:eastAsia="zh-CN"/>
              </w:rPr>
              <w:t>项目临近保护区一侧</w:t>
            </w:r>
            <w:r>
              <w:rPr>
                <w:rFonts w:hint="eastAsia"/>
                <w:color w:val="auto"/>
                <w:highlight w:val="none"/>
                <w:lang w:val="en-US" w:eastAsia="zh-CN"/>
              </w:rPr>
              <w:t>加强</w:t>
            </w:r>
            <w:r>
              <w:rPr>
                <w:color w:val="auto"/>
                <w:highlight w:val="none"/>
                <w:lang w:val="en-US" w:eastAsia="zh-CN"/>
              </w:rPr>
              <w:t>围挡</w:t>
            </w:r>
            <w:r>
              <w:rPr>
                <w:rFonts w:hint="eastAsia"/>
                <w:color w:val="auto"/>
                <w:highlight w:val="none"/>
                <w:lang w:val="en-US" w:eastAsia="zh-CN"/>
              </w:rPr>
              <w:t>设置，增加施工期洒水抑尘频率。</w:t>
            </w:r>
          </w:p>
          <w:p w14:paraId="7254F885">
            <w:pPr>
              <w:pStyle w:val="11"/>
              <w:bidi w:val="0"/>
              <w:rPr>
                <w:rFonts w:hint="eastAsia"/>
                <w:color w:val="auto"/>
                <w:highlight w:val="none"/>
                <w:lang w:val="en-US" w:eastAsia="zh-CN"/>
              </w:rPr>
            </w:pPr>
            <w:r>
              <w:rPr>
                <w:rFonts w:hint="eastAsia"/>
                <w:color w:val="auto"/>
                <w:highlight w:val="none"/>
                <w:lang w:val="en-US" w:eastAsia="zh-CN"/>
              </w:rPr>
              <w:t>②大风天气禁止高起尘土方作业，严禁朝向保护区扰动裸土；朱鹮日间活跃时段严控高排放机械集中作业，减少废气、扬尘叠加影响。</w:t>
            </w:r>
          </w:p>
          <w:p w14:paraId="34458047">
            <w:pPr>
              <w:pStyle w:val="11"/>
              <w:bidi w:val="0"/>
              <w:rPr>
                <w:rFonts w:hint="eastAsia"/>
                <w:color w:val="auto"/>
                <w:highlight w:val="none"/>
                <w:lang w:val="en-US" w:eastAsia="zh-CN"/>
              </w:rPr>
            </w:pPr>
            <w:r>
              <w:rPr>
                <w:rFonts w:hint="eastAsia"/>
                <w:color w:val="auto"/>
                <w:highlight w:val="none"/>
                <w:lang w:val="en-US" w:eastAsia="zh-CN"/>
              </w:rPr>
              <w:t>③物料、渣土运输全程密闭限速，禁止在保护区周边滞留、怠速及装卸作业。</w:t>
            </w:r>
          </w:p>
          <w:p w14:paraId="6DB78011">
            <w:pPr>
              <w:pStyle w:val="11"/>
              <w:bidi w:val="0"/>
              <w:rPr>
                <w:rFonts w:ascii="宋体" w:hAnsi="宋体" w:eastAsia="宋体" w:cs="宋体"/>
                <w:color w:val="auto"/>
                <w:kern w:val="0"/>
                <w:sz w:val="24"/>
                <w:szCs w:val="24"/>
                <w:highlight w:val="none"/>
                <w:lang w:val="en-US" w:eastAsia="zh-CN" w:bidi="ar"/>
              </w:rPr>
            </w:pPr>
            <w:r>
              <w:rPr>
                <w:rFonts w:hint="eastAsia"/>
                <w:color w:val="auto"/>
                <w:highlight w:val="none"/>
                <w:lang w:val="en-US" w:eastAsia="zh-CN"/>
              </w:rPr>
              <w:t>④</w:t>
            </w:r>
            <w:r>
              <w:rPr>
                <w:rFonts w:ascii="宋体" w:hAnsi="宋体" w:eastAsia="宋体" w:cs="宋体"/>
                <w:color w:val="auto"/>
                <w:kern w:val="0"/>
                <w:sz w:val="24"/>
                <w:szCs w:val="24"/>
                <w:highlight w:val="none"/>
                <w:lang w:val="en-US" w:eastAsia="zh-CN" w:bidi="ar"/>
              </w:rPr>
              <w:t>保护区邻近区域裸土、堆土实行防尘网全覆盖+定时洒水保湿，并安排专人常态化巡查维护，确保抑尘效果稳定。</w:t>
            </w:r>
          </w:p>
          <w:p w14:paraId="2A17986F">
            <w:pPr>
              <w:pStyle w:val="11"/>
              <w:bidi w:val="0"/>
              <w:rPr>
                <w:color w:val="auto"/>
                <w:highlight w:val="none"/>
              </w:rPr>
            </w:pPr>
            <w:r>
              <w:rPr>
                <w:color w:val="auto"/>
                <w:highlight w:val="none"/>
                <w:lang w:val="en-US" w:eastAsia="zh-CN"/>
              </w:rPr>
              <w:t>综上，项目通过落实施工期废气综合治理及保护区专项防控措施，施工扬尘、机械尾气均可稳定达标排放，影响具有短时、局部、可恢复的特征，不会对</w:t>
            </w:r>
            <w:r>
              <w:rPr>
                <w:rFonts w:hint="eastAsia"/>
                <w:color w:val="auto"/>
                <w:highlight w:val="none"/>
                <w:lang w:val="en-US" w:eastAsia="zh-CN"/>
              </w:rPr>
              <w:t>周边环境及</w:t>
            </w:r>
            <w:r>
              <w:rPr>
                <w:color w:val="auto"/>
                <w:highlight w:val="none"/>
                <w:lang w:val="en-US" w:eastAsia="zh-CN"/>
              </w:rPr>
              <w:t>陕西汉中朱鹮国家级自然保护区造成不利影响。</w:t>
            </w:r>
          </w:p>
          <w:p w14:paraId="5100E827">
            <w:pPr>
              <w:pStyle w:val="11"/>
              <w:bidi w:val="0"/>
              <w:rPr>
                <w:rFonts w:hint="eastAsia"/>
                <w:b/>
                <w:bCs w:val="0"/>
                <w:color w:val="auto"/>
                <w:highlight w:val="none"/>
              </w:rPr>
            </w:pPr>
            <w:r>
              <w:rPr>
                <w:rFonts w:hint="eastAsia"/>
                <w:b/>
                <w:bCs w:val="0"/>
                <w:color w:val="auto"/>
                <w:spacing w:val="-10"/>
                <w:highlight w:val="none"/>
                <w:lang w:val="en-US" w:eastAsia="zh-CN"/>
              </w:rPr>
              <w:t>2</w:t>
            </w:r>
            <w:r>
              <w:rPr>
                <w:b/>
                <w:bCs w:val="0"/>
                <w:color w:val="auto"/>
                <w:highlight w:val="none"/>
              </w:rPr>
              <w:t>、施工期废水防治措施</w:t>
            </w:r>
          </w:p>
          <w:p w14:paraId="102FD806">
            <w:pPr>
              <w:pStyle w:val="11"/>
              <w:bidi w:val="0"/>
              <w:rPr>
                <w:color w:val="auto"/>
                <w:highlight w:val="none"/>
              </w:rPr>
            </w:pPr>
            <w:r>
              <w:rPr>
                <w:color w:val="auto"/>
                <w:highlight w:val="none"/>
              </w:rPr>
              <w:t>项目施工期采用商品</w:t>
            </w:r>
            <w:r>
              <w:rPr>
                <w:rFonts w:hint="eastAsia"/>
                <w:color w:val="auto"/>
                <w:highlight w:val="none"/>
              </w:rPr>
              <w:t>混凝土</w:t>
            </w:r>
            <w:r>
              <w:rPr>
                <w:color w:val="auto"/>
                <w:highlight w:val="none"/>
              </w:rPr>
              <w:t>，不产生混凝土</w:t>
            </w:r>
            <w:r>
              <w:rPr>
                <w:rFonts w:hint="eastAsia"/>
                <w:color w:val="auto"/>
                <w:highlight w:val="none"/>
                <w:lang w:eastAsia="zh-CN"/>
              </w:rPr>
              <w:t>拌合</w:t>
            </w:r>
            <w:r>
              <w:rPr>
                <w:color w:val="auto"/>
                <w:highlight w:val="none"/>
              </w:rPr>
              <w:t>废水，施工期废水主要为施工废水和生活污水。</w:t>
            </w:r>
          </w:p>
          <w:p w14:paraId="470E3C59">
            <w:pPr>
              <w:pStyle w:val="11"/>
              <w:bidi w:val="0"/>
              <w:rPr>
                <w:color w:val="auto"/>
                <w:highlight w:val="none"/>
              </w:rPr>
            </w:pPr>
            <w:r>
              <w:rPr>
                <w:rFonts w:hint="eastAsia"/>
                <w:color w:val="auto"/>
                <w:highlight w:val="none"/>
              </w:rPr>
              <w:t>（1）</w:t>
            </w:r>
            <w:r>
              <w:rPr>
                <w:color w:val="auto"/>
                <w:highlight w:val="none"/>
              </w:rPr>
              <w:t>施工废水</w:t>
            </w:r>
          </w:p>
          <w:p w14:paraId="143EBF98">
            <w:pPr>
              <w:pStyle w:val="11"/>
              <w:bidi w:val="0"/>
              <w:rPr>
                <w:color w:val="auto"/>
                <w:sz w:val="24"/>
                <w:highlight w:val="none"/>
              </w:rPr>
            </w:pPr>
            <w:r>
              <w:rPr>
                <w:color w:val="auto"/>
                <w:sz w:val="24"/>
                <w:highlight w:val="none"/>
              </w:rPr>
              <w:t>施工废水主要包括打桩阶段的泥浆废水、各种车辆冲洗水。根据类比监测调查，施工废水主要污染物是SS，SS浓度为1000~3000mg/L之间，产生量约1.2m</w:t>
            </w:r>
            <w:r>
              <w:rPr>
                <w:color w:val="auto"/>
                <w:sz w:val="24"/>
                <w:highlight w:val="none"/>
                <w:vertAlign w:val="superscript"/>
              </w:rPr>
              <w:t>3</w:t>
            </w:r>
            <w:r>
              <w:rPr>
                <w:color w:val="auto"/>
                <w:sz w:val="24"/>
                <w:highlight w:val="none"/>
              </w:rPr>
              <w:t>/d，施工期</w:t>
            </w:r>
            <w:r>
              <w:rPr>
                <w:rFonts w:hint="eastAsia"/>
                <w:color w:val="auto"/>
                <w:sz w:val="24"/>
                <w:highlight w:val="none"/>
                <w:lang w:val="en-US" w:eastAsia="zh-CN"/>
              </w:rPr>
              <w:t>6</w:t>
            </w:r>
            <w:r>
              <w:rPr>
                <w:color w:val="auto"/>
                <w:sz w:val="24"/>
                <w:highlight w:val="none"/>
              </w:rPr>
              <w:t>个月，施工废水产生量共为</w:t>
            </w:r>
            <w:r>
              <w:rPr>
                <w:rFonts w:hint="eastAsia"/>
                <w:color w:val="auto"/>
                <w:sz w:val="24"/>
                <w:highlight w:val="none"/>
                <w:lang w:val="en-US" w:eastAsia="zh-CN"/>
              </w:rPr>
              <w:t>216</w:t>
            </w:r>
            <w:r>
              <w:rPr>
                <w:color w:val="auto"/>
                <w:sz w:val="24"/>
                <w:highlight w:val="none"/>
              </w:rPr>
              <w:t>m</w:t>
            </w:r>
            <w:r>
              <w:rPr>
                <w:color w:val="auto"/>
                <w:sz w:val="24"/>
                <w:highlight w:val="none"/>
                <w:vertAlign w:val="superscript"/>
              </w:rPr>
              <w:t>3</w:t>
            </w:r>
            <w:r>
              <w:rPr>
                <w:color w:val="auto"/>
                <w:sz w:val="24"/>
                <w:highlight w:val="none"/>
              </w:rPr>
              <w:t>。施工废水经沉淀池沉淀后用于厂区洒水降尘，不外排。</w:t>
            </w:r>
          </w:p>
          <w:p w14:paraId="2B0F8757">
            <w:pPr>
              <w:adjustRightInd w:val="0"/>
              <w:snapToGrid w:val="0"/>
              <w:spacing w:line="360" w:lineRule="auto"/>
              <w:ind w:firstLine="480" w:firstLineChars="200"/>
              <w:rPr>
                <w:color w:val="auto"/>
                <w:sz w:val="24"/>
                <w:highlight w:val="none"/>
              </w:rPr>
            </w:pPr>
            <w:r>
              <w:rPr>
                <w:rFonts w:hint="eastAsia"/>
                <w:color w:val="auto"/>
                <w:sz w:val="24"/>
                <w:highlight w:val="none"/>
              </w:rPr>
              <w:t>（2）</w:t>
            </w:r>
            <w:r>
              <w:rPr>
                <w:color w:val="auto"/>
                <w:sz w:val="24"/>
                <w:highlight w:val="none"/>
              </w:rPr>
              <w:t>生活污水</w:t>
            </w:r>
          </w:p>
          <w:p w14:paraId="49072802">
            <w:pPr>
              <w:spacing w:line="360" w:lineRule="auto"/>
              <w:ind w:firstLine="480" w:firstLineChars="200"/>
              <w:rPr>
                <w:color w:val="auto"/>
                <w:sz w:val="24"/>
                <w:szCs w:val="32"/>
                <w:highlight w:val="none"/>
              </w:rPr>
            </w:pPr>
            <w:r>
              <w:rPr>
                <w:color w:val="auto"/>
                <w:sz w:val="24"/>
                <w:highlight w:val="none"/>
              </w:rPr>
              <w:t>生活污水主要来源于施工</w:t>
            </w:r>
            <w:r>
              <w:rPr>
                <w:rFonts w:hint="eastAsia"/>
                <w:color w:val="auto"/>
                <w:sz w:val="24"/>
                <w:highlight w:val="none"/>
              </w:rPr>
              <w:t>过程的</w:t>
            </w:r>
            <w:r>
              <w:rPr>
                <w:color w:val="auto"/>
                <w:sz w:val="24"/>
                <w:highlight w:val="none"/>
              </w:rPr>
              <w:t>生活排污，主要污染物为COD、BOD</w:t>
            </w:r>
            <w:r>
              <w:rPr>
                <w:color w:val="auto"/>
                <w:sz w:val="24"/>
                <w:highlight w:val="none"/>
                <w:vertAlign w:val="subscript"/>
              </w:rPr>
              <w:t>5</w:t>
            </w:r>
            <w:r>
              <w:rPr>
                <w:color w:val="auto"/>
                <w:sz w:val="24"/>
                <w:highlight w:val="none"/>
              </w:rPr>
              <w:t>、SS和氨氮等，根据同类已建工程施工区生活污水监测资料，COD浓度为300mg/L，BOD</w:t>
            </w:r>
            <w:r>
              <w:rPr>
                <w:color w:val="auto"/>
                <w:sz w:val="24"/>
                <w:highlight w:val="none"/>
                <w:vertAlign w:val="subscript"/>
              </w:rPr>
              <w:t>5</w:t>
            </w:r>
            <w:r>
              <w:rPr>
                <w:color w:val="auto"/>
                <w:sz w:val="24"/>
                <w:highlight w:val="none"/>
              </w:rPr>
              <w:t>浓度为200mg/L，SS浓度为200mg/L，氨氮浓度为30mg/L。本工程施工高峰人数为</w:t>
            </w:r>
            <w:r>
              <w:rPr>
                <w:rFonts w:hint="eastAsia"/>
                <w:color w:val="auto"/>
                <w:sz w:val="24"/>
                <w:highlight w:val="none"/>
              </w:rPr>
              <w:t>2</w:t>
            </w:r>
            <w:r>
              <w:rPr>
                <w:color w:val="auto"/>
                <w:sz w:val="24"/>
                <w:highlight w:val="none"/>
              </w:rPr>
              <w:t>0人，生活用水量按35L/人·d计，废水产生系数为0.8，则生活污水产生量为</w:t>
            </w:r>
            <w:r>
              <w:rPr>
                <w:rFonts w:hint="eastAsia"/>
                <w:color w:val="auto"/>
                <w:sz w:val="24"/>
                <w:highlight w:val="none"/>
              </w:rPr>
              <w:t>0.56</w:t>
            </w:r>
            <w:r>
              <w:rPr>
                <w:color w:val="auto"/>
                <w:sz w:val="24"/>
                <w:highlight w:val="none"/>
              </w:rPr>
              <w:t>m</w:t>
            </w:r>
            <w:r>
              <w:rPr>
                <w:color w:val="auto"/>
                <w:sz w:val="24"/>
                <w:highlight w:val="none"/>
                <w:vertAlign w:val="superscript"/>
              </w:rPr>
              <w:t>3</w:t>
            </w:r>
            <w:r>
              <w:rPr>
                <w:color w:val="auto"/>
                <w:sz w:val="24"/>
                <w:highlight w:val="none"/>
              </w:rPr>
              <w:t>/d，施工期</w:t>
            </w:r>
            <w:r>
              <w:rPr>
                <w:rFonts w:hint="eastAsia"/>
                <w:color w:val="auto"/>
                <w:sz w:val="24"/>
                <w:highlight w:val="none"/>
                <w:lang w:val="en-US" w:eastAsia="zh-CN"/>
              </w:rPr>
              <w:t>6</w:t>
            </w:r>
            <w:r>
              <w:rPr>
                <w:color w:val="auto"/>
                <w:sz w:val="24"/>
                <w:highlight w:val="none"/>
              </w:rPr>
              <w:t>个月，生活污水产生量共为</w:t>
            </w:r>
            <w:r>
              <w:rPr>
                <w:rFonts w:hint="eastAsia"/>
                <w:color w:val="auto"/>
                <w:sz w:val="24"/>
                <w:highlight w:val="none"/>
                <w:lang w:val="en-US" w:eastAsia="zh-CN"/>
              </w:rPr>
              <w:t>10.08</w:t>
            </w:r>
            <w:r>
              <w:rPr>
                <w:color w:val="auto"/>
                <w:sz w:val="24"/>
                <w:highlight w:val="none"/>
              </w:rPr>
              <w:t>m</w:t>
            </w:r>
            <w:r>
              <w:rPr>
                <w:color w:val="auto"/>
                <w:sz w:val="24"/>
                <w:highlight w:val="none"/>
                <w:vertAlign w:val="superscript"/>
              </w:rPr>
              <w:t>3</w:t>
            </w:r>
            <w:r>
              <w:rPr>
                <w:color w:val="auto"/>
                <w:sz w:val="24"/>
                <w:highlight w:val="none"/>
              </w:rPr>
              <w:t>。施工区生活污水</w:t>
            </w:r>
            <w:r>
              <w:rPr>
                <w:rFonts w:hint="eastAsia"/>
                <w:color w:val="auto"/>
                <w:sz w:val="24"/>
                <w:highlight w:val="none"/>
              </w:rPr>
              <w:t>设置临时旱厕</w:t>
            </w:r>
            <w:r>
              <w:rPr>
                <w:color w:val="auto"/>
                <w:sz w:val="24"/>
                <w:highlight w:val="none"/>
              </w:rPr>
              <w:t>。</w:t>
            </w:r>
          </w:p>
          <w:p w14:paraId="7786B466">
            <w:pPr>
              <w:spacing w:line="360" w:lineRule="auto"/>
              <w:ind w:firstLine="480" w:firstLineChars="200"/>
              <w:rPr>
                <w:color w:val="auto"/>
                <w:sz w:val="24"/>
                <w:szCs w:val="32"/>
                <w:highlight w:val="none"/>
              </w:rPr>
            </w:pPr>
            <w:r>
              <w:rPr>
                <w:color w:val="auto"/>
                <w:sz w:val="24"/>
                <w:highlight w:val="none"/>
              </w:rPr>
              <w:t>采取上述措施，可有效控制施工期废水对周边环境的影响。</w:t>
            </w:r>
          </w:p>
          <w:p w14:paraId="29AA3D17">
            <w:pPr>
              <w:pStyle w:val="11"/>
              <w:bidi w:val="0"/>
              <w:rPr>
                <w:b/>
                <w:bCs/>
                <w:color w:val="auto"/>
                <w:highlight w:val="none"/>
              </w:rPr>
            </w:pPr>
            <w:r>
              <w:rPr>
                <w:rFonts w:hint="eastAsia"/>
                <w:b/>
                <w:bCs/>
                <w:color w:val="auto"/>
                <w:highlight w:val="none"/>
                <w:lang w:val="en-US" w:eastAsia="zh-CN"/>
              </w:rPr>
              <w:t>3</w:t>
            </w:r>
            <w:r>
              <w:rPr>
                <w:b/>
                <w:bCs/>
                <w:color w:val="auto"/>
                <w:highlight w:val="none"/>
              </w:rPr>
              <w:t>、施工噪声防治措施</w:t>
            </w:r>
          </w:p>
          <w:p w14:paraId="66B10D9F">
            <w:pPr>
              <w:pStyle w:val="11"/>
              <w:bidi w:val="0"/>
              <w:rPr>
                <w:color w:val="auto"/>
                <w:highlight w:val="none"/>
              </w:rPr>
            </w:pPr>
            <w:r>
              <w:rPr>
                <w:color w:val="auto"/>
                <w:highlight w:val="none"/>
              </w:rPr>
              <w:t>施工期噪声源主要是施工机械设备和运输车辆运行噪声。各个施工阶段使用的主要机械设备噪声源强见表</w:t>
            </w:r>
            <w:r>
              <w:rPr>
                <w:rFonts w:hint="eastAsia"/>
                <w:color w:val="auto"/>
                <w:highlight w:val="none"/>
              </w:rPr>
              <w:t>4-1</w:t>
            </w:r>
            <w:r>
              <w:rPr>
                <w:color w:val="auto"/>
                <w:highlight w:val="none"/>
              </w:rPr>
              <w:t>。施工期运输车辆噪声类型及声级见</w:t>
            </w:r>
            <w:r>
              <w:rPr>
                <w:rFonts w:hint="eastAsia"/>
                <w:color w:val="auto"/>
                <w:highlight w:val="none"/>
              </w:rPr>
              <w:t>4-2</w:t>
            </w:r>
            <w:r>
              <w:rPr>
                <w:color w:val="auto"/>
                <w:highlight w:val="none"/>
              </w:rPr>
              <w:t>。</w:t>
            </w:r>
          </w:p>
          <w:p w14:paraId="0E226AAA">
            <w:pPr>
              <w:pStyle w:val="32"/>
              <w:bidi w:val="0"/>
              <w:rPr>
                <w:color w:val="auto"/>
                <w:highlight w:val="none"/>
              </w:rPr>
            </w:pPr>
            <w:r>
              <w:rPr>
                <w:color w:val="auto"/>
                <w:highlight w:val="none"/>
              </w:rPr>
              <w:t>表</w:t>
            </w:r>
            <w:r>
              <w:rPr>
                <w:rFonts w:hint="eastAsia"/>
                <w:color w:val="auto"/>
                <w:highlight w:val="none"/>
              </w:rPr>
              <w:t>4-1</w:t>
            </w:r>
            <w:r>
              <w:rPr>
                <w:rFonts w:hint="eastAsia"/>
                <w:color w:val="auto"/>
                <w:highlight w:val="none"/>
                <w:lang w:val="en-US" w:eastAsia="zh-CN"/>
              </w:rPr>
              <w:t xml:space="preserve">     </w:t>
            </w:r>
            <w:r>
              <w:rPr>
                <w:color w:val="auto"/>
                <w:highlight w:val="none"/>
              </w:rPr>
              <w:t>施工期主要机械设备噪声源强表单位：dB（A）</w:t>
            </w:r>
          </w:p>
          <w:tbl>
            <w:tblPr>
              <w:tblStyle w:val="27"/>
              <w:tblW w:w="158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092"/>
              <w:gridCol w:w="820"/>
              <w:gridCol w:w="836"/>
              <w:gridCol w:w="960"/>
              <w:gridCol w:w="411"/>
              <w:gridCol w:w="962"/>
              <w:gridCol w:w="728"/>
              <w:gridCol w:w="1194"/>
              <w:gridCol w:w="7"/>
              <w:gridCol w:w="882"/>
              <w:gridCol w:w="883"/>
              <w:gridCol w:w="883"/>
              <w:gridCol w:w="883"/>
              <w:gridCol w:w="883"/>
              <w:gridCol w:w="883"/>
              <w:gridCol w:w="883"/>
              <w:gridCol w:w="883"/>
              <w:gridCol w:w="883"/>
            </w:tblGrid>
            <w:tr w14:paraId="3173F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Align w:val="center"/>
                </w:tcPr>
                <w:p w14:paraId="7F9B671F">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施工阶段</w:t>
                  </w:r>
                </w:p>
              </w:tc>
              <w:tc>
                <w:tcPr>
                  <w:tcW w:w="1092" w:type="dxa"/>
                  <w:vAlign w:val="center"/>
                </w:tcPr>
                <w:p w14:paraId="32F84ED6">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设备名</w:t>
                  </w:r>
                </w:p>
              </w:tc>
              <w:tc>
                <w:tcPr>
                  <w:tcW w:w="820" w:type="dxa"/>
                  <w:vAlign w:val="center"/>
                </w:tcPr>
                <w:p w14:paraId="087FE201">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声级</w:t>
                  </w:r>
                </w:p>
              </w:tc>
              <w:tc>
                <w:tcPr>
                  <w:tcW w:w="836" w:type="dxa"/>
                  <w:vAlign w:val="center"/>
                </w:tcPr>
                <w:p w14:paraId="730B08EC">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距声源距离（m）</w:t>
                  </w:r>
                </w:p>
              </w:tc>
              <w:tc>
                <w:tcPr>
                  <w:tcW w:w="960" w:type="dxa"/>
                  <w:vAlign w:val="center"/>
                </w:tcPr>
                <w:p w14:paraId="23F11333">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施工阶段</w:t>
                  </w:r>
                </w:p>
              </w:tc>
              <w:tc>
                <w:tcPr>
                  <w:tcW w:w="1373" w:type="dxa"/>
                  <w:gridSpan w:val="2"/>
                  <w:vAlign w:val="center"/>
                </w:tcPr>
                <w:p w14:paraId="1E14F9A9">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设备名称</w:t>
                  </w:r>
                </w:p>
              </w:tc>
              <w:tc>
                <w:tcPr>
                  <w:tcW w:w="728" w:type="dxa"/>
                  <w:vAlign w:val="center"/>
                </w:tcPr>
                <w:p w14:paraId="356B4941">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声级</w:t>
                  </w:r>
                </w:p>
              </w:tc>
              <w:tc>
                <w:tcPr>
                  <w:tcW w:w="1194" w:type="dxa"/>
                  <w:vAlign w:val="center"/>
                </w:tcPr>
                <w:p w14:paraId="4131001B">
                  <w:pPr>
                    <w:pStyle w:val="49"/>
                    <w:bidi w:val="0"/>
                    <w:ind w:left="0" w:leftChars="0" w:firstLine="0" w:firstLineChars="0"/>
                    <w:rPr>
                      <w:rFonts w:ascii="Times New Roman" w:hAnsi="Times New Roman" w:eastAsia="宋体" w:cs="Times New Roman"/>
                      <w:b/>
                      <w:bCs/>
                      <w:color w:val="auto"/>
                      <w:kern w:val="0"/>
                      <w:sz w:val="21"/>
                      <w:szCs w:val="20"/>
                      <w:highlight w:val="none"/>
                      <w:lang w:val="en-US" w:eastAsia="zh-CN" w:bidi="ar-SA"/>
                    </w:rPr>
                  </w:pPr>
                  <w:r>
                    <w:rPr>
                      <w:b/>
                      <w:bCs/>
                      <w:color w:val="auto"/>
                      <w:highlight w:val="none"/>
                    </w:rPr>
                    <w:t>距声源距离（m）</w:t>
                  </w:r>
                </w:p>
              </w:tc>
              <w:tc>
                <w:tcPr>
                  <w:tcW w:w="7" w:type="dxa"/>
                </w:tcPr>
                <w:p w14:paraId="2DA3828F">
                  <w:pPr>
                    <w:pStyle w:val="32"/>
                    <w:bidi w:val="0"/>
                    <w:rPr>
                      <w:color w:val="auto"/>
                      <w:highlight w:val="none"/>
                      <w:vertAlign w:val="baseline"/>
                    </w:rPr>
                  </w:pPr>
                </w:p>
              </w:tc>
              <w:tc>
                <w:tcPr>
                  <w:tcW w:w="882" w:type="dxa"/>
                </w:tcPr>
                <w:p w14:paraId="3B96D38C">
                  <w:pPr>
                    <w:pStyle w:val="32"/>
                    <w:bidi w:val="0"/>
                    <w:rPr>
                      <w:color w:val="auto"/>
                      <w:highlight w:val="none"/>
                      <w:vertAlign w:val="baseline"/>
                    </w:rPr>
                  </w:pPr>
                </w:p>
              </w:tc>
              <w:tc>
                <w:tcPr>
                  <w:tcW w:w="883" w:type="dxa"/>
                </w:tcPr>
                <w:p w14:paraId="19F5663F">
                  <w:pPr>
                    <w:pStyle w:val="32"/>
                    <w:bidi w:val="0"/>
                    <w:rPr>
                      <w:color w:val="auto"/>
                      <w:highlight w:val="none"/>
                      <w:vertAlign w:val="baseline"/>
                    </w:rPr>
                  </w:pPr>
                </w:p>
              </w:tc>
              <w:tc>
                <w:tcPr>
                  <w:tcW w:w="883" w:type="dxa"/>
                </w:tcPr>
                <w:p w14:paraId="03A7C423">
                  <w:pPr>
                    <w:pStyle w:val="32"/>
                    <w:bidi w:val="0"/>
                    <w:rPr>
                      <w:color w:val="auto"/>
                      <w:highlight w:val="none"/>
                      <w:vertAlign w:val="baseline"/>
                    </w:rPr>
                  </w:pPr>
                </w:p>
              </w:tc>
              <w:tc>
                <w:tcPr>
                  <w:tcW w:w="883" w:type="dxa"/>
                </w:tcPr>
                <w:p w14:paraId="797662B1">
                  <w:pPr>
                    <w:pStyle w:val="32"/>
                    <w:bidi w:val="0"/>
                    <w:rPr>
                      <w:color w:val="auto"/>
                      <w:highlight w:val="none"/>
                      <w:vertAlign w:val="baseline"/>
                    </w:rPr>
                  </w:pPr>
                </w:p>
              </w:tc>
              <w:tc>
                <w:tcPr>
                  <w:tcW w:w="883" w:type="dxa"/>
                </w:tcPr>
                <w:p w14:paraId="1D945813">
                  <w:pPr>
                    <w:pStyle w:val="32"/>
                    <w:bidi w:val="0"/>
                    <w:rPr>
                      <w:color w:val="auto"/>
                      <w:highlight w:val="none"/>
                      <w:vertAlign w:val="baseline"/>
                    </w:rPr>
                  </w:pPr>
                </w:p>
              </w:tc>
              <w:tc>
                <w:tcPr>
                  <w:tcW w:w="883" w:type="dxa"/>
                </w:tcPr>
                <w:p w14:paraId="07873EFD">
                  <w:pPr>
                    <w:pStyle w:val="32"/>
                    <w:bidi w:val="0"/>
                    <w:rPr>
                      <w:color w:val="auto"/>
                      <w:highlight w:val="none"/>
                      <w:vertAlign w:val="baseline"/>
                    </w:rPr>
                  </w:pPr>
                </w:p>
              </w:tc>
              <w:tc>
                <w:tcPr>
                  <w:tcW w:w="883" w:type="dxa"/>
                </w:tcPr>
                <w:p w14:paraId="162DD7BF">
                  <w:pPr>
                    <w:pStyle w:val="32"/>
                    <w:bidi w:val="0"/>
                    <w:rPr>
                      <w:color w:val="auto"/>
                      <w:highlight w:val="none"/>
                      <w:vertAlign w:val="baseline"/>
                    </w:rPr>
                  </w:pPr>
                </w:p>
              </w:tc>
              <w:tc>
                <w:tcPr>
                  <w:tcW w:w="883" w:type="dxa"/>
                </w:tcPr>
                <w:p w14:paraId="627C0948">
                  <w:pPr>
                    <w:pStyle w:val="32"/>
                    <w:bidi w:val="0"/>
                    <w:rPr>
                      <w:color w:val="auto"/>
                      <w:highlight w:val="none"/>
                      <w:vertAlign w:val="baseline"/>
                    </w:rPr>
                  </w:pPr>
                </w:p>
              </w:tc>
              <w:tc>
                <w:tcPr>
                  <w:tcW w:w="883" w:type="dxa"/>
                </w:tcPr>
                <w:p w14:paraId="1BA4BF21">
                  <w:pPr>
                    <w:pStyle w:val="32"/>
                    <w:bidi w:val="0"/>
                    <w:rPr>
                      <w:color w:val="auto"/>
                      <w:highlight w:val="none"/>
                      <w:vertAlign w:val="baseline"/>
                    </w:rPr>
                  </w:pPr>
                </w:p>
              </w:tc>
            </w:tr>
            <w:tr w14:paraId="039F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Merge w:val="restart"/>
                  <w:vAlign w:val="center"/>
                </w:tcPr>
                <w:p w14:paraId="33E91A47">
                  <w:pPr>
                    <w:pStyle w:val="49"/>
                    <w:bidi w:val="0"/>
                    <w:rPr>
                      <w:rFonts w:hint="eastAsia"/>
                      <w:color w:val="auto"/>
                      <w:highlight w:val="none"/>
                    </w:rPr>
                  </w:pPr>
                  <w:r>
                    <w:rPr>
                      <w:color w:val="auto"/>
                      <w:highlight w:val="none"/>
                    </w:rPr>
                    <w:t>结构</w:t>
                  </w:r>
                </w:p>
                <w:p w14:paraId="78F02C2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施工</w:t>
                  </w:r>
                </w:p>
              </w:tc>
              <w:tc>
                <w:tcPr>
                  <w:tcW w:w="1092" w:type="dxa"/>
                  <w:vMerge w:val="restart"/>
                  <w:vAlign w:val="center"/>
                </w:tcPr>
                <w:p w14:paraId="22B4D72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振捣棒</w:t>
                  </w:r>
                </w:p>
              </w:tc>
              <w:tc>
                <w:tcPr>
                  <w:tcW w:w="820" w:type="dxa"/>
                  <w:vMerge w:val="restart"/>
                  <w:vAlign w:val="center"/>
                </w:tcPr>
                <w:p w14:paraId="74F7F62B">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86</w:t>
                  </w:r>
                </w:p>
              </w:tc>
              <w:tc>
                <w:tcPr>
                  <w:tcW w:w="836" w:type="dxa"/>
                  <w:vMerge w:val="restart"/>
                  <w:vAlign w:val="center"/>
                </w:tcPr>
                <w:p w14:paraId="28BEDEBA">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1</w:t>
                  </w:r>
                </w:p>
              </w:tc>
              <w:tc>
                <w:tcPr>
                  <w:tcW w:w="960" w:type="dxa"/>
                  <w:vMerge w:val="restart"/>
                  <w:vAlign w:val="center"/>
                </w:tcPr>
                <w:p w14:paraId="5D0B8D69">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装修安装</w:t>
                  </w:r>
                </w:p>
              </w:tc>
              <w:tc>
                <w:tcPr>
                  <w:tcW w:w="1373" w:type="dxa"/>
                  <w:gridSpan w:val="2"/>
                  <w:vAlign w:val="center"/>
                </w:tcPr>
                <w:p w14:paraId="3905D07A">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升降机</w:t>
                  </w:r>
                </w:p>
              </w:tc>
              <w:tc>
                <w:tcPr>
                  <w:tcW w:w="728" w:type="dxa"/>
                  <w:vAlign w:val="center"/>
                </w:tcPr>
                <w:p w14:paraId="66DD838C">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78</w:t>
                  </w:r>
                </w:p>
              </w:tc>
              <w:tc>
                <w:tcPr>
                  <w:tcW w:w="1194" w:type="dxa"/>
                  <w:vAlign w:val="center"/>
                </w:tcPr>
                <w:p w14:paraId="1B4AF4BE">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1</w:t>
                  </w:r>
                </w:p>
              </w:tc>
              <w:tc>
                <w:tcPr>
                  <w:tcW w:w="7" w:type="dxa"/>
                </w:tcPr>
                <w:p w14:paraId="1A439929">
                  <w:pPr>
                    <w:pStyle w:val="32"/>
                    <w:bidi w:val="0"/>
                    <w:rPr>
                      <w:color w:val="auto"/>
                      <w:highlight w:val="none"/>
                      <w:vertAlign w:val="baseline"/>
                    </w:rPr>
                  </w:pPr>
                </w:p>
              </w:tc>
              <w:tc>
                <w:tcPr>
                  <w:tcW w:w="882" w:type="dxa"/>
                </w:tcPr>
                <w:p w14:paraId="2A329F14">
                  <w:pPr>
                    <w:pStyle w:val="32"/>
                    <w:bidi w:val="0"/>
                    <w:rPr>
                      <w:color w:val="auto"/>
                      <w:highlight w:val="none"/>
                      <w:vertAlign w:val="baseline"/>
                    </w:rPr>
                  </w:pPr>
                </w:p>
              </w:tc>
              <w:tc>
                <w:tcPr>
                  <w:tcW w:w="883" w:type="dxa"/>
                </w:tcPr>
                <w:p w14:paraId="5D0C6C79">
                  <w:pPr>
                    <w:pStyle w:val="32"/>
                    <w:bidi w:val="0"/>
                    <w:rPr>
                      <w:color w:val="auto"/>
                      <w:highlight w:val="none"/>
                      <w:vertAlign w:val="baseline"/>
                    </w:rPr>
                  </w:pPr>
                </w:p>
              </w:tc>
              <w:tc>
                <w:tcPr>
                  <w:tcW w:w="883" w:type="dxa"/>
                </w:tcPr>
                <w:p w14:paraId="0A7BE860">
                  <w:pPr>
                    <w:pStyle w:val="32"/>
                    <w:bidi w:val="0"/>
                    <w:rPr>
                      <w:color w:val="auto"/>
                      <w:highlight w:val="none"/>
                      <w:vertAlign w:val="baseline"/>
                    </w:rPr>
                  </w:pPr>
                </w:p>
              </w:tc>
              <w:tc>
                <w:tcPr>
                  <w:tcW w:w="883" w:type="dxa"/>
                </w:tcPr>
                <w:p w14:paraId="4723EA8D">
                  <w:pPr>
                    <w:pStyle w:val="32"/>
                    <w:bidi w:val="0"/>
                    <w:rPr>
                      <w:color w:val="auto"/>
                      <w:highlight w:val="none"/>
                      <w:vertAlign w:val="baseline"/>
                    </w:rPr>
                  </w:pPr>
                </w:p>
              </w:tc>
              <w:tc>
                <w:tcPr>
                  <w:tcW w:w="883" w:type="dxa"/>
                </w:tcPr>
                <w:p w14:paraId="1E2CC554">
                  <w:pPr>
                    <w:pStyle w:val="32"/>
                    <w:bidi w:val="0"/>
                    <w:rPr>
                      <w:color w:val="auto"/>
                      <w:highlight w:val="none"/>
                      <w:vertAlign w:val="baseline"/>
                    </w:rPr>
                  </w:pPr>
                </w:p>
              </w:tc>
              <w:tc>
                <w:tcPr>
                  <w:tcW w:w="883" w:type="dxa"/>
                </w:tcPr>
                <w:p w14:paraId="7DAE6A08">
                  <w:pPr>
                    <w:pStyle w:val="32"/>
                    <w:bidi w:val="0"/>
                    <w:rPr>
                      <w:color w:val="auto"/>
                      <w:highlight w:val="none"/>
                      <w:vertAlign w:val="baseline"/>
                    </w:rPr>
                  </w:pPr>
                </w:p>
              </w:tc>
              <w:tc>
                <w:tcPr>
                  <w:tcW w:w="883" w:type="dxa"/>
                </w:tcPr>
                <w:p w14:paraId="0E6250B2">
                  <w:pPr>
                    <w:pStyle w:val="32"/>
                    <w:bidi w:val="0"/>
                    <w:rPr>
                      <w:color w:val="auto"/>
                      <w:highlight w:val="none"/>
                      <w:vertAlign w:val="baseline"/>
                    </w:rPr>
                  </w:pPr>
                </w:p>
              </w:tc>
              <w:tc>
                <w:tcPr>
                  <w:tcW w:w="883" w:type="dxa"/>
                </w:tcPr>
                <w:p w14:paraId="1217F891">
                  <w:pPr>
                    <w:pStyle w:val="32"/>
                    <w:bidi w:val="0"/>
                    <w:rPr>
                      <w:color w:val="auto"/>
                      <w:highlight w:val="none"/>
                      <w:vertAlign w:val="baseline"/>
                    </w:rPr>
                  </w:pPr>
                </w:p>
              </w:tc>
              <w:tc>
                <w:tcPr>
                  <w:tcW w:w="883" w:type="dxa"/>
                </w:tcPr>
                <w:p w14:paraId="1F9C2AB1">
                  <w:pPr>
                    <w:pStyle w:val="32"/>
                    <w:bidi w:val="0"/>
                    <w:rPr>
                      <w:color w:val="auto"/>
                      <w:highlight w:val="none"/>
                      <w:vertAlign w:val="baseline"/>
                    </w:rPr>
                  </w:pPr>
                </w:p>
              </w:tc>
            </w:tr>
            <w:tr w14:paraId="53B7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Merge w:val="continue"/>
                  <w:vAlign w:val="center"/>
                </w:tcPr>
                <w:p w14:paraId="58048E38">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1092" w:type="dxa"/>
                  <w:vMerge w:val="continue"/>
                  <w:vAlign w:val="center"/>
                </w:tcPr>
                <w:p w14:paraId="4A6944D9">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20" w:type="dxa"/>
                  <w:vMerge w:val="continue"/>
                  <w:vAlign w:val="center"/>
                </w:tcPr>
                <w:p w14:paraId="6A97A938">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36" w:type="dxa"/>
                  <w:vMerge w:val="continue"/>
                  <w:vAlign w:val="center"/>
                </w:tcPr>
                <w:p w14:paraId="660E59E7">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960" w:type="dxa"/>
                  <w:vMerge w:val="continue"/>
                  <w:vAlign w:val="center"/>
                </w:tcPr>
                <w:p w14:paraId="039BD68F">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1373" w:type="dxa"/>
                  <w:gridSpan w:val="2"/>
                  <w:vAlign w:val="center"/>
                </w:tcPr>
                <w:p w14:paraId="4812C7AD">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切割机</w:t>
                  </w:r>
                </w:p>
              </w:tc>
              <w:tc>
                <w:tcPr>
                  <w:tcW w:w="728" w:type="dxa"/>
                  <w:vAlign w:val="center"/>
                </w:tcPr>
                <w:p w14:paraId="684F3738">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88</w:t>
                  </w:r>
                </w:p>
              </w:tc>
              <w:tc>
                <w:tcPr>
                  <w:tcW w:w="1194" w:type="dxa"/>
                  <w:vAlign w:val="center"/>
                </w:tcPr>
                <w:p w14:paraId="242DC6E6">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1</w:t>
                  </w:r>
                </w:p>
              </w:tc>
              <w:tc>
                <w:tcPr>
                  <w:tcW w:w="7" w:type="dxa"/>
                </w:tcPr>
                <w:p w14:paraId="774E09C8">
                  <w:pPr>
                    <w:pStyle w:val="32"/>
                    <w:bidi w:val="0"/>
                    <w:rPr>
                      <w:color w:val="auto"/>
                      <w:highlight w:val="none"/>
                      <w:vertAlign w:val="baseline"/>
                    </w:rPr>
                  </w:pPr>
                </w:p>
              </w:tc>
              <w:tc>
                <w:tcPr>
                  <w:tcW w:w="882" w:type="dxa"/>
                </w:tcPr>
                <w:p w14:paraId="0BA5FAC8">
                  <w:pPr>
                    <w:pStyle w:val="32"/>
                    <w:bidi w:val="0"/>
                    <w:rPr>
                      <w:color w:val="auto"/>
                      <w:highlight w:val="none"/>
                      <w:vertAlign w:val="baseline"/>
                    </w:rPr>
                  </w:pPr>
                </w:p>
              </w:tc>
              <w:tc>
                <w:tcPr>
                  <w:tcW w:w="883" w:type="dxa"/>
                </w:tcPr>
                <w:p w14:paraId="496FB802">
                  <w:pPr>
                    <w:pStyle w:val="32"/>
                    <w:bidi w:val="0"/>
                    <w:rPr>
                      <w:color w:val="auto"/>
                      <w:highlight w:val="none"/>
                      <w:vertAlign w:val="baseline"/>
                    </w:rPr>
                  </w:pPr>
                </w:p>
              </w:tc>
              <w:tc>
                <w:tcPr>
                  <w:tcW w:w="883" w:type="dxa"/>
                </w:tcPr>
                <w:p w14:paraId="25FC52A4">
                  <w:pPr>
                    <w:pStyle w:val="32"/>
                    <w:bidi w:val="0"/>
                    <w:rPr>
                      <w:color w:val="auto"/>
                      <w:highlight w:val="none"/>
                      <w:vertAlign w:val="baseline"/>
                    </w:rPr>
                  </w:pPr>
                </w:p>
              </w:tc>
              <w:tc>
                <w:tcPr>
                  <w:tcW w:w="883" w:type="dxa"/>
                </w:tcPr>
                <w:p w14:paraId="6635CA0F">
                  <w:pPr>
                    <w:pStyle w:val="32"/>
                    <w:bidi w:val="0"/>
                    <w:rPr>
                      <w:color w:val="auto"/>
                      <w:highlight w:val="none"/>
                      <w:vertAlign w:val="baseline"/>
                    </w:rPr>
                  </w:pPr>
                </w:p>
              </w:tc>
              <w:tc>
                <w:tcPr>
                  <w:tcW w:w="883" w:type="dxa"/>
                </w:tcPr>
                <w:p w14:paraId="78839AD1">
                  <w:pPr>
                    <w:pStyle w:val="32"/>
                    <w:bidi w:val="0"/>
                    <w:rPr>
                      <w:color w:val="auto"/>
                      <w:highlight w:val="none"/>
                      <w:vertAlign w:val="baseline"/>
                    </w:rPr>
                  </w:pPr>
                </w:p>
              </w:tc>
              <w:tc>
                <w:tcPr>
                  <w:tcW w:w="883" w:type="dxa"/>
                </w:tcPr>
                <w:p w14:paraId="71444D9A">
                  <w:pPr>
                    <w:pStyle w:val="32"/>
                    <w:bidi w:val="0"/>
                    <w:rPr>
                      <w:color w:val="auto"/>
                      <w:highlight w:val="none"/>
                      <w:vertAlign w:val="baseline"/>
                    </w:rPr>
                  </w:pPr>
                </w:p>
              </w:tc>
              <w:tc>
                <w:tcPr>
                  <w:tcW w:w="883" w:type="dxa"/>
                </w:tcPr>
                <w:p w14:paraId="69066B9E">
                  <w:pPr>
                    <w:pStyle w:val="32"/>
                    <w:bidi w:val="0"/>
                    <w:rPr>
                      <w:color w:val="auto"/>
                      <w:highlight w:val="none"/>
                      <w:vertAlign w:val="baseline"/>
                    </w:rPr>
                  </w:pPr>
                </w:p>
              </w:tc>
              <w:tc>
                <w:tcPr>
                  <w:tcW w:w="883" w:type="dxa"/>
                </w:tcPr>
                <w:p w14:paraId="04839DB8">
                  <w:pPr>
                    <w:pStyle w:val="32"/>
                    <w:bidi w:val="0"/>
                    <w:rPr>
                      <w:color w:val="auto"/>
                      <w:highlight w:val="none"/>
                      <w:vertAlign w:val="baseline"/>
                    </w:rPr>
                  </w:pPr>
                </w:p>
              </w:tc>
              <w:tc>
                <w:tcPr>
                  <w:tcW w:w="883" w:type="dxa"/>
                </w:tcPr>
                <w:p w14:paraId="44319718">
                  <w:pPr>
                    <w:pStyle w:val="32"/>
                    <w:bidi w:val="0"/>
                    <w:rPr>
                      <w:color w:val="auto"/>
                      <w:highlight w:val="none"/>
                      <w:vertAlign w:val="baseline"/>
                    </w:rPr>
                  </w:pPr>
                </w:p>
              </w:tc>
            </w:tr>
            <w:tr w14:paraId="39199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Merge w:val="continue"/>
                  <w:vAlign w:val="center"/>
                </w:tcPr>
                <w:p w14:paraId="6A78073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1092" w:type="dxa"/>
                  <w:vMerge w:val="restart"/>
                  <w:vAlign w:val="center"/>
                </w:tcPr>
                <w:p w14:paraId="7B0740C3">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吊车</w:t>
                  </w:r>
                </w:p>
              </w:tc>
              <w:tc>
                <w:tcPr>
                  <w:tcW w:w="820" w:type="dxa"/>
                  <w:vMerge w:val="restart"/>
                  <w:vAlign w:val="center"/>
                </w:tcPr>
                <w:p w14:paraId="40A3AF7C">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73</w:t>
                  </w:r>
                </w:p>
              </w:tc>
              <w:tc>
                <w:tcPr>
                  <w:tcW w:w="836" w:type="dxa"/>
                  <w:vMerge w:val="restart"/>
                  <w:vAlign w:val="center"/>
                </w:tcPr>
                <w:p w14:paraId="5969680D">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5</w:t>
                  </w:r>
                </w:p>
              </w:tc>
              <w:tc>
                <w:tcPr>
                  <w:tcW w:w="960" w:type="dxa"/>
                  <w:vMerge w:val="continue"/>
                  <w:vAlign w:val="center"/>
                </w:tcPr>
                <w:p w14:paraId="328BE50E">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411" w:type="dxa"/>
                  <w:vMerge w:val="restart"/>
                  <w:vAlign w:val="center"/>
                </w:tcPr>
                <w:p w14:paraId="30004407">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室内</w:t>
                  </w:r>
                </w:p>
              </w:tc>
              <w:tc>
                <w:tcPr>
                  <w:tcW w:w="962" w:type="dxa"/>
                  <w:vAlign w:val="center"/>
                </w:tcPr>
                <w:p w14:paraId="6DB60ACC">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角磨机</w:t>
                  </w:r>
                </w:p>
              </w:tc>
              <w:tc>
                <w:tcPr>
                  <w:tcW w:w="728" w:type="dxa"/>
                  <w:vAlign w:val="center"/>
                </w:tcPr>
                <w:p w14:paraId="3B90D902">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90</w:t>
                  </w:r>
                </w:p>
              </w:tc>
              <w:tc>
                <w:tcPr>
                  <w:tcW w:w="1201" w:type="dxa"/>
                  <w:gridSpan w:val="2"/>
                  <w:vAlign w:val="center"/>
                </w:tcPr>
                <w:p w14:paraId="74087067">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5</w:t>
                  </w:r>
                </w:p>
              </w:tc>
              <w:tc>
                <w:tcPr>
                  <w:tcW w:w="882" w:type="dxa"/>
                </w:tcPr>
                <w:p w14:paraId="43FC494F">
                  <w:pPr>
                    <w:pStyle w:val="32"/>
                    <w:bidi w:val="0"/>
                    <w:rPr>
                      <w:color w:val="auto"/>
                      <w:highlight w:val="none"/>
                      <w:vertAlign w:val="baseline"/>
                    </w:rPr>
                  </w:pPr>
                </w:p>
              </w:tc>
              <w:tc>
                <w:tcPr>
                  <w:tcW w:w="883" w:type="dxa"/>
                </w:tcPr>
                <w:p w14:paraId="635A043D">
                  <w:pPr>
                    <w:pStyle w:val="32"/>
                    <w:bidi w:val="0"/>
                    <w:rPr>
                      <w:color w:val="auto"/>
                      <w:highlight w:val="none"/>
                      <w:vertAlign w:val="baseline"/>
                    </w:rPr>
                  </w:pPr>
                </w:p>
              </w:tc>
              <w:tc>
                <w:tcPr>
                  <w:tcW w:w="883" w:type="dxa"/>
                </w:tcPr>
                <w:p w14:paraId="45D88245">
                  <w:pPr>
                    <w:pStyle w:val="32"/>
                    <w:bidi w:val="0"/>
                    <w:rPr>
                      <w:color w:val="auto"/>
                      <w:highlight w:val="none"/>
                      <w:vertAlign w:val="baseline"/>
                    </w:rPr>
                  </w:pPr>
                </w:p>
              </w:tc>
              <w:tc>
                <w:tcPr>
                  <w:tcW w:w="883" w:type="dxa"/>
                </w:tcPr>
                <w:p w14:paraId="09413390">
                  <w:pPr>
                    <w:pStyle w:val="32"/>
                    <w:bidi w:val="0"/>
                    <w:rPr>
                      <w:color w:val="auto"/>
                      <w:highlight w:val="none"/>
                      <w:vertAlign w:val="baseline"/>
                    </w:rPr>
                  </w:pPr>
                </w:p>
              </w:tc>
              <w:tc>
                <w:tcPr>
                  <w:tcW w:w="883" w:type="dxa"/>
                </w:tcPr>
                <w:p w14:paraId="6233455A">
                  <w:pPr>
                    <w:pStyle w:val="32"/>
                    <w:bidi w:val="0"/>
                    <w:rPr>
                      <w:color w:val="auto"/>
                      <w:highlight w:val="none"/>
                      <w:vertAlign w:val="baseline"/>
                    </w:rPr>
                  </w:pPr>
                </w:p>
              </w:tc>
              <w:tc>
                <w:tcPr>
                  <w:tcW w:w="883" w:type="dxa"/>
                </w:tcPr>
                <w:p w14:paraId="556B6699">
                  <w:pPr>
                    <w:pStyle w:val="32"/>
                    <w:bidi w:val="0"/>
                    <w:rPr>
                      <w:color w:val="auto"/>
                      <w:highlight w:val="none"/>
                      <w:vertAlign w:val="baseline"/>
                    </w:rPr>
                  </w:pPr>
                </w:p>
              </w:tc>
              <w:tc>
                <w:tcPr>
                  <w:tcW w:w="883" w:type="dxa"/>
                </w:tcPr>
                <w:p w14:paraId="397DB7B6">
                  <w:pPr>
                    <w:pStyle w:val="32"/>
                    <w:bidi w:val="0"/>
                    <w:rPr>
                      <w:color w:val="auto"/>
                      <w:highlight w:val="none"/>
                      <w:vertAlign w:val="baseline"/>
                    </w:rPr>
                  </w:pPr>
                </w:p>
              </w:tc>
              <w:tc>
                <w:tcPr>
                  <w:tcW w:w="883" w:type="dxa"/>
                </w:tcPr>
                <w:p w14:paraId="717BCC37">
                  <w:pPr>
                    <w:pStyle w:val="32"/>
                    <w:bidi w:val="0"/>
                    <w:rPr>
                      <w:color w:val="auto"/>
                      <w:highlight w:val="none"/>
                      <w:vertAlign w:val="baseline"/>
                    </w:rPr>
                  </w:pPr>
                </w:p>
              </w:tc>
              <w:tc>
                <w:tcPr>
                  <w:tcW w:w="883" w:type="dxa"/>
                </w:tcPr>
                <w:p w14:paraId="53627522">
                  <w:pPr>
                    <w:pStyle w:val="32"/>
                    <w:bidi w:val="0"/>
                    <w:rPr>
                      <w:color w:val="auto"/>
                      <w:highlight w:val="none"/>
                      <w:vertAlign w:val="baseline"/>
                    </w:rPr>
                  </w:pPr>
                </w:p>
              </w:tc>
            </w:tr>
            <w:tr w14:paraId="0F4E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Merge w:val="continue"/>
                  <w:vAlign w:val="center"/>
                </w:tcPr>
                <w:p w14:paraId="7215EE3A">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1092" w:type="dxa"/>
                  <w:vMerge w:val="continue"/>
                  <w:vAlign w:val="center"/>
                </w:tcPr>
                <w:p w14:paraId="7ADD885E">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20" w:type="dxa"/>
                  <w:vMerge w:val="continue"/>
                  <w:vAlign w:val="center"/>
                </w:tcPr>
                <w:p w14:paraId="3768E3AB">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36" w:type="dxa"/>
                  <w:vMerge w:val="continue"/>
                  <w:vAlign w:val="center"/>
                </w:tcPr>
                <w:p w14:paraId="75FE3A9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960" w:type="dxa"/>
                  <w:vMerge w:val="continue"/>
                  <w:vAlign w:val="center"/>
                </w:tcPr>
                <w:p w14:paraId="14E8D477">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411" w:type="dxa"/>
                  <w:vMerge w:val="continue"/>
                  <w:vAlign w:val="center"/>
                </w:tcPr>
                <w:p w14:paraId="7E9443A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962" w:type="dxa"/>
                  <w:vAlign w:val="center"/>
                </w:tcPr>
                <w:p w14:paraId="4A37FF16">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电锯</w:t>
                  </w:r>
                </w:p>
              </w:tc>
              <w:tc>
                <w:tcPr>
                  <w:tcW w:w="728" w:type="dxa"/>
                  <w:vAlign w:val="center"/>
                </w:tcPr>
                <w:p w14:paraId="78F97292">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93</w:t>
                  </w:r>
                </w:p>
              </w:tc>
              <w:tc>
                <w:tcPr>
                  <w:tcW w:w="1201" w:type="dxa"/>
                  <w:gridSpan w:val="2"/>
                  <w:vAlign w:val="center"/>
                </w:tcPr>
                <w:p w14:paraId="6CF67B55">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5</w:t>
                  </w:r>
                </w:p>
              </w:tc>
              <w:tc>
                <w:tcPr>
                  <w:tcW w:w="882" w:type="dxa"/>
                </w:tcPr>
                <w:p w14:paraId="55809C2C">
                  <w:pPr>
                    <w:pStyle w:val="32"/>
                    <w:bidi w:val="0"/>
                    <w:rPr>
                      <w:color w:val="auto"/>
                      <w:highlight w:val="none"/>
                      <w:vertAlign w:val="baseline"/>
                    </w:rPr>
                  </w:pPr>
                </w:p>
              </w:tc>
              <w:tc>
                <w:tcPr>
                  <w:tcW w:w="883" w:type="dxa"/>
                </w:tcPr>
                <w:p w14:paraId="01C382F5">
                  <w:pPr>
                    <w:pStyle w:val="32"/>
                    <w:bidi w:val="0"/>
                    <w:rPr>
                      <w:color w:val="auto"/>
                      <w:highlight w:val="none"/>
                      <w:vertAlign w:val="baseline"/>
                    </w:rPr>
                  </w:pPr>
                </w:p>
              </w:tc>
              <w:tc>
                <w:tcPr>
                  <w:tcW w:w="883" w:type="dxa"/>
                </w:tcPr>
                <w:p w14:paraId="05DCF603">
                  <w:pPr>
                    <w:pStyle w:val="32"/>
                    <w:bidi w:val="0"/>
                    <w:rPr>
                      <w:color w:val="auto"/>
                      <w:highlight w:val="none"/>
                      <w:vertAlign w:val="baseline"/>
                    </w:rPr>
                  </w:pPr>
                </w:p>
              </w:tc>
              <w:tc>
                <w:tcPr>
                  <w:tcW w:w="883" w:type="dxa"/>
                </w:tcPr>
                <w:p w14:paraId="5ECC64FF">
                  <w:pPr>
                    <w:pStyle w:val="32"/>
                    <w:bidi w:val="0"/>
                    <w:rPr>
                      <w:color w:val="auto"/>
                      <w:highlight w:val="none"/>
                      <w:vertAlign w:val="baseline"/>
                    </w:rPr>
                  </w:pPr>
                </w:p>
              </w:tc>
              <w:tc>
                <w:tcPr>
                  <w:tcW w:w="883" w:type="dxa"/>
                </w:tcPr>
                <w:p w14:paraId="17F2D5C1">
                  <w:pPr>
                    <w:pStyle w:val="32"/>
                    <w:bidi w:val="0"/>
                    <w:rPr>
                      <w:color w:val="auto"/>
                      <w:highlight w:val="none"/>
                      <w:vertAlign w:val="baseline"/>
                    </w:rPr>
                  </w:pPr>
                </w:p>
              </w:tc>
              <w:tc>
                <w:tcPr>
                  <w:tcW w:w="883" w:type="dxa"/>
                </w:tcPr>
                <w:p w14:paraId="7F186F6D">
                  <w:pPr>
                    <w:pStyle w:val="32"/>
                    <w:bidi w:val="0"/>
                    <w:rPr>
                      <w:color w:val="auto"/>
                      <w:highlight w:val="none"/>
                      <w:vertAlign w:val="baseline"/>
                    </w:rPr>
                  </w:pPr>
                </w:p>
              </w:tc>
              <w:tc>
                <w:tcPr>
                  <w:tcW w:w="883" w:type="dxa"/>
                </w:tcPr>
                <w:p w14:paraId="7A1196BD">
                  <w:pPr>
                    <w:pStyle w:val="32"/>
                    <w:bidi w:val="0"/>
                    <w:rPr>
                      <w:color w:val="auto"/>
                      <w:highlight w:val="none"/>
                      <w:vertAlign w:val="baseline"/>
                    </w:rPr>
                  </w:pPr>
                </w:p>
              </w:tc>
              <w:tc>
                <w:tcPr>
                  <w:tcW w:w="883" w:type="dxa"/>
                </w:tcPr>
                <w:p w14:paraId="4ABF6F07">
                  <w:pPr>
                    <w:pStyle w:val="32"/>
                    <w:bidi w:val="0"/>
                    <w:rPr>
                      <w:color w:val="auto"/>
                      <w:highlight w:val="none"/>
                      <w:vertAlign w:val="baseline"/>
                    </w:rPr>
                  </w:pPr>
                </w:p>
              </w:tc>
              <w:tc>
                <w:tcPr>
                  <w:tcW w:w="883" w:type="dxa"/>
                </w:tcPr>
                <w:p w14:paraId="1C82416B">
                  <w:pPr>
                    <w:pStyle w:val="32"/>
                    <w:bidi w:val="0"/>
                    <w:rPr>
                      <w:color w:val="auto"/>
                      <w:highlight w:val="none"/>
                      <w:vertAlign w:val="baseline"/>
                    </w:rPr>
                  </w:pPr>
                </w:p>
              </w:tc>
            </w:tr>
            <w:tr w14:paraId="45A5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vMerge w:val="continue"/>
                  <w:vAlign w:val="center"/>
                </w:tcPr>
                <w:p w14:paraId="0F28C4D6">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1092" w:type="dxa"/>
                  <w:vMerge w:val="continue"/>
                  <w:vAlign w:val="center"/>
                </w:tcPr>
                <w:p w14:paraId="78507DC2">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20" w:type="dxa"/>
                  <w:vMerge w:val="continue"/>
                  <w:vAlign w:val="center"/>
                </w:tcPr>
                <w:p w14:paraId="2C4A23FA">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836" w:type="dxa"/>
                  <w:vMerge w:val="continue"/>
                  <w:vAlign w:val="center"/>
                </w:tcPr>
                <w:p w14:paraId="4040E6C2">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960" w:type="dxa"/>
                  <w:vMerge w:val="continue"/>
                  <w:vAlign w:val="center"/>
                </w:tcPr>
                <w:p w14:paraId="4FA1EE43">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411" w:type="dxa"/>
                  <w:vMerge w:val="continue"/>
                  <w:vAlign w:val="center"/>
                </w:tcPr>
                <w:p w14:paraId="6D2C6E22">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p>
              </w:tc>
              <w:tc>
                <w:tcPr>
                  <w:tcW w:w="962" w:type="dxa"/>
                  <w:vAlign w:val="center"/>
                </w:tcPr>
                <w:p w14:paraId="35803958">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木工刨</w:t>
                  </w:r>
                </w:p>
              </w:tc>
              <w:tc>
                <w:tcPr>
                  <w:tcW w:w="728" w:type="dxa"/>
                  <w:vAlign w:val="center"/>
                </w:tcPr>
                <w:p w14:paraId="6D5137A3">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90</w:t>
                  </w:r>
                </w:p>
              </w:tc>
              <w:tc>
                <w:tcPr>
                  <w:tcW w:w="1201" w:type="dxa"/>
                  <w:gridSpan w:val="2"/>
                  <w:vAlign w:val="center"/>
                </w:tcPr>
                <w:p w14:paraId="5D21C668">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5</w:t>
                  </w:r>
                </w:p>
              </w:tc>
              <w:tc>
                <w:tcPr>
                  <w:tcW w:w="882" w:type="dxa"/>
                </w:tcPr>
                <w:p w14:paraId="3E91321C">
                  <w:pPr>
                    <w:pStyle w:val="32"/>
                    <w:bidi w:val="0"/>
                    <w:rPr>
                      <w:color w:val="auto"/>
                      <w:highlight w:val="none"/>
                      <w:vertAlign w:val="baseline"/>
                    </w:rPr>
                  </w:pPr>
                </w:p>
              </w:tc>
              <w:tc>
                <w:tcPr>
                  <w:tcW w:w="883" w:type="dxa"/>
                </w:tcPr>
                <w:p w14:paraId="1CB7A62C">
                  <w:pPr>
                    <w:pStyle w:val="32"/>
                    <w:bidi w:val="0"/>
                    <w:rPr>
                      <w:color w:val="auto"/>
                      <w:highlight w:val="none"/>
                      <w:vertAlign w:val="baseline"/>
                    </w:rPr>
                  </w:pPr>
                </w:p>
              </w:tc>
              <w:tc>
                <w:tcPr>
                  <w:tcW w:w="883" w:type="dxa"/>
                </w:tcPr>
                <w:p w14:paraId="04C1AB3D">
                  <w:pPr>
                    <w:pStyle w:val="32"/>
                    <w:bidi w:val="0"/>
                    <w:rPr>
                      <w:color w:val="auto"/>
                      <w:highlight w:val="none"/>
                      <w:vertAlign w:val="baseline"/>
                    </w:rPr>
                  </w:pPr>
                </w:p>
              </w:tc>
              <w:tc>
                <w:tcPr>
                  <w:tcW w:w="883" w:type="dxa"/>
                </w:tcPr>
                <w:p w14:paraId="1D7AF9C5">
                  <w:pPr>
                    <w:pStyle w:val="32"/>
                    <w:bidi w:val="0"/>
                    <w:rPr>
                      <w:color w:val="auto"/>
                      <w:highlight w:val="none"/>
                      <w:vertAlign w:val="baseline"/>
                    </w:rPr>
                  </w:pPr>
                </w:p>
              </w:tc>
              <w:tc>
                <w:tcPr>
                  <w:tcW w:w="883" w:type="dxa"/>
                </w:tcPr>
                <w:p w14:paraId="53EBEA66">
                  <w:pPr>
                    <w:pStyle w:val="32"/>
                    <w:bidi w:val="0"/>
                    <w:rPr>
                      <w:color w:val="auto"/>
                      <w:highlight w:val="none"/>
                      <w:vertAlign w:val="baseline"/>
                    </w:rPr>
                  </w:pPr>
                </w:p>
              </w:tc>
              <w:tc>
                <w:tcPr>
                  <w:tcW w:w="883" w:type="dxa"/>
                </w:tcPr>
                <w:p w14:paraId="52CAFF23">
                  <w:pPr>
                    <w:pStyle w:val="32"/>
                    <w:bidi w:val="0"/>
                    <w:rPr>
                      <w:color w:val="auto"/>
                      <w:highlight w:val="none"/>
                      <w:vertAlign w:val="baseline"/>
                    </w:rPr>
                  </w:pPr>
                </w:p>
              </w:tc>
              <w:tc>
                <w:tcPr>
                  <w:tcW w:w="883" w:type="dxa"/>
                </w:tcPr>
                <w:p w14:paraId="40D9DF8C">
                  <w:pPr>
                    <w:pStyle w:val="32"/>
                    <w:bidi w:val="0"/>
                    <w:rPr>
                      <w:color w:val="auto"/>
                      <w:highlight w:val="none"/>
                      <w:vertAlign w:val="baseline"/>
                    </w:rPr>
                  </w:pPr>
                </w:p>
              </w:tc>
              <w:tc>
                <w:tcPr>
                  <w:tcW w:w="883" w:type="dxa"/>
                </w:tcPr>
                <w:p w14:paraId="71D8EC0A">
                  <w:pPr>
                    <w:pStyle w:val="32"/>
                    <w:bidi w:val="0"/>
                    <w:rPr>
                      <w:color w:val="auto"/>
                      <w:highlight w:val="none"/>
                      <w:vertAlign w:val="baseline"/>
                    </w:rPr>
                  </w:pPr>
                </w:p>
              </w:tc>
              <w:tc>
                <w:tcPr>
                  <w:tcW w:w="883" w:type="dxa"/>
                </w:tcPr>
                <w:p w14:paraId="728EAC06">
                  <w:pPr>
                    <w:pStyle w:val="32"/>
                    <w:bidi w:val="0"/>
                    <w:rPr>
                      <w:color w:val="auto"/>
                      <w:highlight w:val="none"/>
                      <w:vertAlign w:val="baseline"/>
                    </w:rPr>
                  </w:pPr>
                </w:p>
              </w:tc>
            </w:tr>
          </w:tbl>
          <w:p w14:paraId="04C2F873">
            <w:pPr>
              <w:pStyle w:val="32"/>
              <w:bidi w:val="0"/>
              <w:rPr>
                <w:color w:val="auto"/>
                <w:highlight w:val="none"/>
              </w:rPr>
            </w:pPr>
            <w:r>
              <w:rPr>
                <w:color w:val="auto"/>
                <w:highlight w:val="none"/>
              </w:rPr>
              <w:t>表</w:t>
            </w:r>
            <w:r>
              <w:rPr>
                <w:rFonts w:hint="eastAsia"/>
                <w:color w:val="auto"/>
                <w:highlight w:val="none"/>
              </w:rPr>
              <w:t>4-2</w:t>
            </w:r>
            <w:r>
              <w:rPr>
                <w:rFonts w:hint="eastAsia"/>
                <w:color w:val="auto"/>
                <w:highlight w:val="none"/>
                <w:lang w:val="en-US" w:eastAsia="zh-CN"/>
              </w:rPr>
              <w:t xml:space="preserve">     </w:t>
            </w:r>
            <w:r>
              <w:rPr>
                <w:color w:val="auto"/>
                <w:highlight w:val="none"/>
              </w:rPr>
              <w:t>施工期运输车辆声级</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544"/>
              <w:gridCol w:w="3595"/>
              <w:gridCol w:w="1797"/>
            </w:tblGrid>
            <w:tr w14:paraId="103CF7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824" w:type="dxa"/>
                  <w:noWrap w:val="0"/>
                  <w:vAlign w:val="center"/>
                </w:tcPr>
                <w:p w14:paraId="59EA68B8">
                  <w:pPr>
                    <w:pStyle w:val="49"/>
                    <w:bidi w:val="0"/>
                    <w:rPr>
                      <w:b/>
                      <w:bCs/>
                      <w:color w:val="auto"/>
                      <w:highlight w:val="none"/>
                    </w:rPr>
                  </w:pPr>
                  <w:r>
                    <w:rPr>
                      <w:b/>
                      <w:bCs/>
                      <w:color w:val="auto"/>
                      <w:highlight w:val="none"/>
                    </w:rPr>
                    <w:t>车辆类型</w:t>
                  </w:r>
                </w:p>
              </w:tc>
              <w:tc>
                <w:tcPr>
                  <w:tcW w:w="4000" w:type="dxa"/>
                  <w:noWrap w:val="0"/>
                  <w:vAlign w:val="center"/>
                </w:tcPr>
                <w:p w14:paraId="2CE6ACAE">
                  <w:pPr>
                    <w:pStyle w:val="49"/>
                    <w:bidi w:val="0"/>
                    <w:rPr>
                      <w:b/>
                      <w:bCs/>
                      <w:color w:val="auto"/>
                      <w:highlight w:val="none"/>
                    </w:rPr>
                  </w:pPr>
                  <w:r>
                    <w:rPr>
                      <w:b/>
                      <w:bCs/>
                      <w:color w:val="auto"/>
                      <w:highlight w:val="none"/>
                    </w:rPr>
                    <w:t>运输内容</w:t>
                  </w:r>
                </w:p>
              </w:tc>
              <w:tc>
                <w:tcPr>
                  <w:tcW w:w="1989" w:type="dxa"/>
                  <w:noWrap w:val="0"/>
                  <w:vAlign w:val="center"/>
                </w:tcPr>
                <w:p w14:paraId="703774BC">
                  <w:pPr>
                    <w:pStyle w:val="49"/>
                    <w:bidi w:val="0"/>
                    <w:rPr>
                      <w:b/>
                      <w:bCs/>
                      <w:color w:val="auto"/>
                      <w:highlight w:val="none"/>
                    </w:rPr>
                  </w:pPr>
                  <w:r>
                    <w:rPr>
                      <w:b/>
                      <w:bCs/>
                      <w:color w:val="auto"/>
                      <w:highlight w:val="none"/>
                    </w:rPr>
                    <w:t>声级/dB（A）</w:t>
                  </w:r>
                </w:p>
              </w:tc>
            </w:tr>
            <w:tr w14:paraId="36680C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824" w:type="dxa"/>
                  <w:noWrap w:val="0"/>
                  <w:vAlign w:val="center"/>
                </w:tcPr>
                <w:p w14:paraId="20CABC14">
                  <w:pPr>
                    <w:pStyle w:val="49"/>
                    <w:bidi w:val="0"/>
                    <w:rPr>
                      <w:color w:val="auto"/>
                      <w:highlight w:val="none"/>
                    </w:rPr>
                  </w:pPr>
                  <w:r>
                    <w:rPr>
                      <w:color w:val="auto"/>
                      <w:highlight w:val="none"/>
                    </w:rPr>
                    <w:t>大型载重机</w:t>
                  </w:r>
                </w:p>
              </w:tc>
              <w:tc>
                <w:tcPr>
                  <w:tcW w:w="4000" w:type="dxa"/>
                  <w:noWrap w:val="0"/>
                  <w:vAlign w:val="center"/>
                </w:tcPr>
                <w:p w14:paraId="7E1CAF57">
                  <w:pPr>
                    <w:pStyle w:val="49"/>
                    <w:bidi w:val="0"/>
                    <w:rPr>
                      <w:color w:val="auto"/>
                      <w:highlight w:val="none"/>
                    </w:rPr>
                  </w:pPr>
                  <w:r>
                    <w:rPr>
                      <w:color w:val="auto"/>
                      <w:highlight w:val="none"/>
                    </w:rPr>
                    <w:t>土方外运</w:t>
                  </w:r>
                </w:p>
              </w:tc>
              <w:tc>
                <w:tcPr>
                  <w:tcW w:w="1989" w:type="dxa"/>
                  <w:noWrap w:val="0"/>
                  <w:vAlign w:val="center"/>
                </w:tcPr>
                <w:p w14:paraId="735302D7">
                  <w:pPr>
                    <w:pStyle w:val="49"/>
                    <w:bidi w:val="0"/>
                    <w:rPr>
                      <w:color w:val="auto"/>
                      <w:highlight w:val="none"/>
                    </w:rPr>
                  </w:pPr>
                  <w:r>
                    <w:rPr>
                      <w:color w:val="auto"/>
                      <w:highlight w:val="none"/>
                    </w:rPr>
                    <w:t>90</w:t>
                  </w:r>
                </w:p>
              </w:tc>
            </w:tr>
            <w:tr w14:paraId="1C9A7C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824" w:type="dxa"/>
                  <w:noWrap w:val="0"/>
                  <w:vAlign w:val="center"/>
                </w:tcPr>
                <w:p w14:paraId="58A8F61D">
                  <w:pPr>
                    <w:pStyle w:val="49"/>
                    <w:bidi w:val="0"/>
                    <w:rPr>
                      <w:color w:val="auto"/>
                      <w:highlight w:val="none"/>
                    </w:rPr>
                  </w:pPr>
                  <w:r>
                    <w:rPr>
                      <w:color w:val="auto"/>
                      <w:highlight w:val="none"/>
                    </w:rPr>
                    <w:t>混凝土罐车、载重机</w:t>
                  </w:r>
                </w:p>
              </w:tc>
              <w:tc>
                <w:tcPr>
                  <w:tcW w:w="4000" w:type="dxa"/>
                  <w:noWrap w:val="0"/>
                  <w:vAlign w:val="center"/>
                </w:tcPr>
                <w:p w14:paraId="65B13DE3">
                  <w:pPr>
                    <w:pStyle w:val="49"/>
                    <w:bidi w:val="0"/>
                    <w:rPr>
                      <w:color w:val="auto"/>
                      <w:highlight w:val="none"/>
                    </w:rPr>
                  </w:pPr>
                  <w:r>
                    <w:rPr>
                      <w:color w:val="auto"/>
                      <w:highlight w:val="none"/>
                    </w:rPr>
                    <w:t>钢筋、商品混凝土</w:t>
                  </w:r>
                </w:p>
              </w:tc>
              <w:tc>
                <w:tcPr>
                  <w:tcW w:w="1989" w:type="dxa"/>
                  <w:noWrap w:val="0"/>
                  <w:vAlign w:val="center"/>
                </w:tcPr>
                <w:p w14:paraId="0134D498">
                  <w:pPr>
                    <w:pStyle w:val="49"/>
                    <w:bidi w:val="0"/>
                    <w:rPr>
                      <w:color w:val="auto"/>
                      <w:highlight w:val="none"/>
                    </w:rPr>
                  </w:pPr>
                  <w:r>
                    <w:rPr>
                      <w:color w:val="auto"/>
                      <w:highlight w:val="none"/>
                    </w:rPr>
                    <w:t>80～85</w:t>
                  </w:r>
                </w:p>
              </w:tc>
            </w:tr>
            <w:tr w14:paraId="74DDA83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0" w:hRule="exact"/>
                <w:jc w:val="center"/>
              </w:trPr>
              <w:tc>
                <w:tcPr>
                  <w:tcW w:w="2824" w:type="dxa"/>
                  <w:noWrap w:val="0"/>
                  <w:vAlign w:val="center"/>
                </w:tcPr>
                <w:p w14:paraId="08E02358">
                  <w:pPr>
                    <w:pStyle w:val="49"/>
                    <w:bidi w:val="0"/>
                    <w:rPr>
                      <w:color w:val="auto"/>
                      <w:highlight w:val="none"/>
                    </w:rPr>
                  </w:pPr>
                  <w:r>
                    <w:rPr>
                      <w:color w:val="auto"/>
                      <w:highlight w:val="none"/>
                    </w:rPr>
                    <w:t>轻型载重卡车</w:t>
                  </w:r>
                </w:p>
              </w:tc>
              <w:tc>
                <w:tcPr>
                  <w:tcW w:w="4000" w:type="dxa"/>
                  <w:noWrap w:val="0"/>
                  <w:vAlign w:val="center"/>
                </w:tcPr>
                <w:p w14:paraId="706F1E14">
                  <w:pPr>
                    <w:pStyle w:val="49"/>
                    <w:bidi w:val="0"/>
                    <w:rPr>
                      <w:color w:val="auto"/>
                      <w:highlight w:val="none"/>
                    </w:rPr>
                  </w:pPr>
                  <w:r>
                    <w:rPr>
                      <w:color w:val="auto"/>
                      <w:highlight w:val="none"/>
                    </w:rPr>
                    <w:t>各种装修材料</w:t>
                  </w:r>
                  <w:r>
                    <w:rPr>
                      <w:rFonts w:hint="eastAsia"/>
                      <w:color w:val="auto"/>
                      <w:highlight w:val="none"/>
                      <w:lang w:eastAsia="zh-CN"/>
                    </w:rPr>
                    <w:t>及重</w:t>
                  </w:r>
                  <w:r>
                    <w:rPr>
                      <w:color w:val="auto"/>
                      <w:highlight w:val="none"/>
                    </w:rPr>
                    <w:cr/>
                  </w:r>
                  <w:r>
                    <w:rPr>
                      <w:color w:val="auto"/>
                      <w:highlight w:val="none"/>
                    </w:rPr>
                    <w:t>要的设备</w:t>
                  </w:r>
                </w:p>
              </w:tc>
              <w:tc>
                <w:tcPr>
                  <w:tcW w:w="1989" w:type="dxa"/>
                  <w:noWrap w:val="0"/>
                  <w:vAlign w:val="center"/>
                </w:tcPr>
                <w:p w14:paraId="0D526BF4">
                  <w:pPr>
                    <w:pStyle w:val="49"/>
                    <w:bidi w:val="0"/>
                    <w:rPr>
                      <w:color w:val="auto"/>
                      <w:highlight w:val="none"/>
                    </w:rPr>
                  </w:pPr>
                  <w:r>
                    <w:rPr>
                      <w:color w:val="auto"/>
                      <w:highlight w:val="none"/>
                    </w:rPr>
                    <w:t>75</w:t>
                  </w:r>
                </w:p>
              </w:tc>
            </w:tr>
          </w:tbl>
          <w:p w14:paraId="17ACF17E">
            <w:pPr>
              <w:adjustRightInd w:val="0"/>
              <w:snapToGrid w:val="0"/>
              <w:spacing w:line="360" w:lineRule="auto"/>
              <w:ind w:firstLine="480" w:firstLineChars="200"/>
              <w:rPr>
                <w:color w:val="auto"/>
                <w:sz w:val="24"/>
                <w:highlight w:val="none"/>
              </w:rPr>
            </w:pPr>
            <w:r>
              <w:rPr>
                <w:color w:val="auto"/>
                <w:sz w:val="24"/>
                <w:highlight w:val="none"/>
              </w:rPr>
              <w:t>为减小项目施工对</w:t>
            </w:r>
            <w:r>
              <w:rPr>
                <w:rFonts w:hint="eastAsia"/>
                <w:color w:val="auto"/>
                <w:sz w:val="24"/>
                <w:highlight w:val="none"/>
              </w:rPr>
              <w:t>周围</w:t>
            </w:r>
            <w:r>
              <w:rPr>
                <w:color w:val="auto"/>
                <w:sz w:val="24"/>
                <w:highlight w:val="none"/>
              </w:rPr>
              <w:t>声环境造成影响，项目要求建设单位在工程施工期采取以下噪声控制措施：</w:t>
            </w:r>
          </w:p>
          <w:p w14:paraId="679E72DD">
            <w:pPr>
              <w:pStyle w:val="11"/>
              <w:bidi w:val="0"/>
              <w:rPr>
                <w:color w:val="auto"/>
                <w:highlight w:val="none"/>
              </w:rPr>
            </w:pPr>
            <w:r>
              <w:rPr>
                <w:color w:val="auto"/>
                <w:highlight w:val="none"/>
              </w:rPr>
              <w:t>①建筑施工过程中使用机械设备，可能产生环境噪声污染的，施工单位必须在开工15天前向项目所在地环境保护行政主管部门申报该工程的项目名称、施工场所、占地面积、施工总期限，在各施工段可能产生环境噪声污染范围和污染程度，以及采取防治环境污染的措施，经环保部门审查批准后方可开工；</w:t>
            </w:r>
          </w:p>
          <w:p w14:paraId="4FBC96B5">
            <w:pPr>
              <w:pStyle w:val="11"/>
              <w:bidi w:val="0"/>
              <w:rPr>
                <w:rFonts w:hint="eastAsia" w:eastAsia="宋体"/>
                <w:color w:val="auto"/>
                <w:highlight w:val="none"/>
                <w:lang w:eastAsia="zh-CN"/>
              </w:rPr>
            </w:pPr>
            <w:r>
              <w:rPr>
                <w:color w:val="auto"/>
                <w:highlight w:val="none"/>
              </w:rPr>
              <w:t>②在满足生产的前提下，合理布置施工场地高噪声源位置，项目施工须围墙隔挡，要求将噪声设备尽量安置在距离敏感点</w:t>
            </w:r>
            <w:r>
              <w:rPr>
                <w:rFonts w:hint="eastAsia"/>
                <w:color w:val="auto"/>
                <w:highlight w:val="none"/>
                <w:lang w:val="en-US" w:eastAsia="zh-CN"/>
              </w:rPr>
              <w:t>以及陕西汉中朱鹮国家级自然保护区</w:t>
            </w:r>
            <w:r>
              <w:rPr>
                <w:color w:val="auto"/>
                <w:highlight w:val="none"/>
              </w:rPr>
              <w:t>较远的地方，且要求建设单位夜间（22</w:t>
            </w:r>
            <w:r>
              <w:rPr>
                <w:rFonts w:hint="eastAsia"/>
                <w:color w:val="auto"/>
                <w:highlight w:val="none"/>
                <w:lang w:eastAsia="zh-CN"/>
              </w:rPr>
              <w:t>:</w:t>
            </w:r>
            <w:r>
              <w:rPr>
                <w:color w:val="auto"/>
                <w:highlight w:val="none"/>
              </w:rPr>
              <w:t>00~6</w:t>
            </w:r>
            <w:r>
              <w:rPr>
                <w:rFonts w:hint="eastAsia"/>
                <w:color w:val="auto"/>
                <w:highlight w:val="none"/>
                <w:lang w:eastAsia="zh-CN"/>
              </w:rPr>
              <w:t>:</w:t>
            </w:r>
            <w:r>
              <w:rPr>
                <w:color w:val="auto"/>
                <w:highlight w:val="none"/>
              </w:rPr>
              <w:t>00）禁止施工</w:t>
            </w:r>
            <w:r>
              <w:rPr>
                <w:rFonts w:hint="eastAsia"/>
                <w:color w:val="auto"/>
                <w:highlight w:val="none"/>
                <w:lang w:eastAsia="zh-CN"/>
              </w:rPr>
              <w:t>；临近保护区一侧围挡增设隔声衬垫，阻断噪声向保护区传播，土石方破碎、振捣等高噪声工序避开朱鹮日间栖息、觅食高峰时段，保护区周边禁止多台高噪设备同步作业，现场严禁使用高音喇叭，避免突发强噪声惊扰朱鹮。</w:t>
            </w:r>
          </w:p>
          <w:p w14:paraId="4CE49999">
            <w:pPr>
              <w:pStyle w:val="11"/>
              <w:bidi w:val="0"/>
              <w:rPr>
                <w:color w:val="auto"/>
                <w:highlight w:val="none"/>
              </w:rPr>
            </w:pPr>
            <w:r>
              <w:rPr>
                <w:color w:val="auto"/>
                <w:highlight w:val="none"/>
              </w:rPr>
              <w:t>③选用低噪声施工机械设备，严格限制或禁止使用高噪声的气锤打桩方式，推行混凝土灌注桩和静压桩等低噪音新工艺；</w:t>
            </w:r>
          </w:p>
          <w:p w14:paraId="1172ADBF">
            <w:pPr>
              <w:pStyle w:val="11"/>
              <w:bidi w:val="0"/>
              <w:rPr>
                <w:color w:val="auto"/>
                <w:highlight w:val="none"/>
              </w:rPr>
            </w:pPr>
            <w:r>
              <w:rPr>
                <w:color w:val="auto"/>
                <w:highlight w:val="none"/>
              </w:rPr>
              <w:t>④建议使用商品混凝土。与施工场地设置混凝土搅拌机相比，商品混凝土具有占地少、施工量小、施工方便、噪声污染小等特点，同时可大大减少建筑材料水泥</w:t>
            </w:r>
            <w:r>
              <w:rPr>
                <w:rFonts w:hint="eastAsia"/>
                <w:color w:val="auto"/>
                <w:highlight w:val="none"/>
                <w:lang w:eastAsia="zh-CN"/>
              </w:rPr>
              <w:t>砂石</w:t>
            </w:r>
            <w:r>
              <w:rPr>
                <w:color w:val="auto"/>
                <w:highlight w:val="none"/>
              </w:rPr>
              <w:t>的汽车运量，减轻车辆交通噪声影响。</w:t>
            </w:r>
          </w:p>
          <w:p w14:paraId="6213E224">
            <w:pPr>
              <w:pStyle w:val="11"/>
              <w:bidi w:val="0"/>
              <w:rPr>
                <w:color w:val="auto"/>
                <w:highlight w:val="none"/>
              </w:rPr>
            </w:pPr>
            <w:r>
              <w:rPr>
                <w:color w:val="auto"/>
                <w:highlight w:val="none"/>
              </w:rPr>
              <w:t>⑤杜绝人为敲打、野蛮装卸现象，合理安排运输车辆管理，控制运输车辆不得在靠近敏感点的位置鸣笛，减少运输车辆噪声的影响。</w:t>
            </w:r>
          </w:p>
          <w:p w14:paraId="54E268BB">
            <w:pPr>
              <w:pStyle w:val="11"/>
              <w:bidi w:val="0"/>
              <w:rPr>
                <w:color w:val="auto"/>
                <w:highlight w:val="none"/>
              </w:rPr>
            </w:pPr>
            <w:r>
              <w:rPr>
                <w:color w:val="auto"/>
                <w:highlight w:val="none"/>
              </w:rPr>
              <w:t>⑥对位置相对固定的施工机械，如切割机、电锯等，应将其设置在专门的工棚内，同时选用低噪声设备，并采取一定的</w:t>
            </w:r>
            <w:r>
              <w:rPr>
                <w:rFonts w:hint="eastAsia"/>
                <w:color w:val="auto"/>
                <w:highlight w:val="none"/>
                <w:lang w:eastAsia="zh-CN"/>
              </w:rPr>
              <w:t>吸声</w:t>
            </w:r>
            <w:r>
              <w:rPr>
                <w:color w:val="auto"/>
                <w:highlight w:val="none"/>
              </w:rPr>
              <w:t>、隔声、降噪措施，控制施工机械噪声符合《建筑施工场界环境噪声排放标准》（GB12523-2011），做到施工场界噪声达标排放。</w:t>
            </w:r>
          </w:p>
          <w:p w14:paraId="7407E02B">
            <w:pPr>
              <w:pStyle w:val="11"/>
              <w:bidi w:val="0"/>
              <w:rPr>
                <w:color w:val="auto"/>
                <w:highlight w:val="none"/>
              </w:rPr>
            </w:pPr>
            <w:r>
              <w:rPr>
                <w:color w:val="auto"/>
                <w:highlight w:val="none"/>
              </w:rPr>
              <w:fldChar w:fldCharType="begin"/>
            </w:r>
            <w:r>
              <w:rPr>
                <w:color w:val="auto"/>
                <w:highlight w:val="none"/>
              </w:rPr>
              <w:instrText xml:space="preserve"> = 7 \* GB3 \* MERGEFORMAT </w:instrText>
            </w:r>
            <w:r>
              <w:rPr>
                <w:color w:val="auto"/>
                <w:highlight w:val="none"/>
              </w:rPr>
              <w:fldChar w:fldCharType="separate"/>
            </w:r>
            <w:r>
              <w:rPr>
                <w:color w:val="auto"/>
                <w:highlight w:val="none"/>
              </w:rPr>
              <w:t>⑦</w:t>
            </w:r>
            <w:r>
              <w:rPr>
                <w:color w:val="auto"/>
                <w:highlight w:val="none"/>
              </w:rPr>
              <w:fldChar w:fldCharType="end"/>
            </w:r>
            <w:r>
              <w:rPr>
                <w:color w:val="auto"/>
                <w:highlight w:val="none"/>
              </w:rPr>
              <w:t>提高施工人员特别是现场施工负责人员的环保意识，施工部门负责人应学习国家相关环保法律、法规，增强环保意识，</w:t>
            </w:r>
            <w:r>
              <w:rPr>
                <w:color w:val="auto"/>
                <w:highlight w:val="none"/>
                <w:lang w:val="en-US" w:eastAsia="zh-CN"/>
              </w:rPr>
              <w:t>强化噪声管控与珍稀鸟类生态保护责任意识。</w:t>
            </w:r>
          </w:p>
          <w:p w14:paraId="3E5574FB">
            <w:pPr>
              <w:pStyle w:val="11"/>
              <w:bidi w:val="0"/>
              <w:rPr>
                <w:color w:val="auto"/>
                <w:highlight w:val="none"/>
              </w:rPr>
            </w:pPr>
            <w:r>
              <w:rPr>
                <w:color w:val="auto"/>
                <w:highlight w:val="none"/>
              </w:rPr>
              <w:t>为了有效地控制施工噪声影响，除落实有关的控制措施外，还必须加强施工环境管理，由环保部门实施统一的监督管理，建设单位与施工单位在工程承包时，应将环境保护内容列入承包合同，落实各项施工噪声的控制措施和有关主管部门的要求。</w:t>
            </w:r>
            <w:r>
              <w:rPr>
                <w:rFonts w:hint="eastAsia"/>
                <w:color w:val="auto"/>
                <w:highlight w:val="none"/>
              </w:rPr>
              <w:t>综合采取上述措施后，施工噪声影响仅短期、局部存在，不会干扰</w:t>
            </w:r>
            <w:r>
              <w:rPr>
                <w:rFonts w:hint="eastAsia"/>
                <w:color w:val="auto"/>
                <w:highlight w:val="none"/>
                <w:lang w:val="en-US" w:eastAsia="zh-CN"/>
              </w:rPr>
              <w:t>周边环境，尤其是</w:t>
            </w:r>
            <w:r>
              <w:rPr>
                <w:rFonts w:hint="eastAsia"/>
                <w:color w:val="auto"/>
                <w:highlight w:val="none"/>
              </w:rPr>
              <w:t>保护区朱鹮正常栖息、觅食活动。</w:t>
            </w:r>
          </w:p>
          <w:p w14:paraId="2491114D">
            <w:pPr>
              <w:pStyle w:val="11"/>
              <w:bidi w:val="0"/>
              <w:rPr>
                <w:b/>
                <w:bCs/>
                <w:color w:val="auto"/>
                <w:highlight w:val="none"/>
              </w:rPr>
            </w:pPr>
            <w:r>
              <w:rPr>
                <w:rFonts w:hint="eastAsia"/>
                <w:b/>
                <w:bCs/>
                <w:color w:val="auto"/>
                <w:highlight w:val="none"/>
                <w:lang w:val="en-US" w:eastAsia="zh-CN"/>
              </w:rPr>
              <w:t>4</w:t>
            </w:r>
            <w:r>
              <w:rPr>
                <w:b/>
                <w:bCs/>
                <w:color w:val="auto"/>
                <w:highlight w:val="none"/>
              </w:rPr>
              <w:t>、施工期固体废物防治措施</w:t>
            </w:r>
          </w:p>
          <w:p w14:paraId="7C65BCE7">
            <w:pPr>
              <w:pStyle w:val="11"/>
              <w:bidi w:val="0"/>
              <w:rPr>
                <w:color w:val="auto"/>
                <w:highlight w:val="none"/>
              </w:rPr>
            </w:pPr>
            <w:r>
              <w:rPr>
                <w:color w:val="auto"/>
                <w:highlight w:val="none"/>
              </w:rPr>
              <w:t>施工期固体废物主要包括建筑垃圾、施工人员的生活垃圾等。</w:t>
            </w:r>
          </w:p>
          <w:p w14:paraId="095B386E">
            <w:pPr>
              <w:pStyle w:val="11"/>
              <w:bidi w:val="0"/>
              <w:rPr>
                <w:rFonts w:hint="eastAsia"/>
                <w:color w:val="auto"/>
                <w:highlight w:val="none"/>
              </w:rPr>
            </w:pPr>
            <w:r>
              <w:rPr>
                <w:rFonts w:hint="eastAsia"/>
                <w:color w:val="auto"/>
                <w:highlight w:val="none"/>
                <w:lang w:val="en-US" w:eastAsia="zh-CN"/>
              </w:rPr>
              <w:t>①</w:t>
            </w:r>
            <w:r>
              <w:rPr>
                <w:color w:val="auto"/>
                <w:highlight w:val="none"/>
              </w:rPr>
              <w:t>施工建筑垃圾主要为</w:t>
            </w:r>
            <w:r>
              <w:rPr>
                <w:rFonts w:hint="eastAsia"/>
                <w:color w:val="auto"/>
                <w:highlight w:val="none"/>
              </w:rPr>
              <w:t>改造</w:t>
            </w:r>
            <w:r>
              <w:rPr>
                <w:color w:val="auto"/>
                <w:highlight w:val="none"/>
              </w:rPr>
              <w:t>过</w:t>
            </w:r>
            <w:r>
              <w:rPr>
                <w:rFonts w:hint="eastAsia"/>
                <w:color w:val="auto"/>
                <w:highlight w:val="none"/>
                <w:lang w:eastAsia="zh-CN"/>
              </w:rPr>
              <w:t>程中</w:t>
            </w:r>
            <w:r>
              <w:rPr>
                <w:color w:val="auto"/>
                <w:highlight w:val="none"/>
              </w:rPr>
              <w:t>产生的施工砖瓦石块、渣土、泥土、废弃的混凝土、水泥和砂浆等。对于建筑垃圾应采取有计划的堆放，分类处置、综合利用，可以自行回填利用一部分，少量就近运往指定的建筑垃圾填埋场处置。</w:t>
            </w:r>
          </w:p>
          <w:p w14:paraId="0AFF272E">
            <w:pPr>
              <w:pStyle w:val="11"/>
              <w:bidi w:val="0"/>
              <w:rPr>
                <w:color w:val="auto"/>
                <w:highlight w:val="none"/>
              </w:rPr>
            </w:pPr>
            <w:r>
              <w:rPr>
                <w:rFonts w:hint="eastAsia"/>
                <w:color w:val="auto"/>
                <w:highlight w:val="none"/>
                <w:lang w:val="en-US" w:eastAsia="zh-CN"/>
              </w:rPr>
              <w:t>②</w:t>
            </w:r>
            <w:r>
              <w:rPr>
                <w:rFonts w:hint="eastAsia"/>
                <w:color w:val="auto"/>
                <w:highlight w:val="none"/>
              </w:rPr>
              <w:t>生活垃圾</w:t>
            </w:r>
            <w:r>
              <w:rPr>
                <w:color w:val="auto"/>
                <w:highlight w:val="none"/>
              </w:rPr>
              <w:t>来源于施工人员生活过程中遗弃的废弃物，以有机物为主，收集后由环卫部门统一处置。</w:t>
            </w:r>
          </w:p>
          <w:p w14:paraId="1EFDD397">
            <w:pPr>
              <w:pStyle w:val="11"/>
              <w:bidi w:val="0"/>
              <w:rPr>
                <w:color w:val="auto"/>
                <w:highlight w:val="none"/>
              </w:rPr>
            </w:pPr>
            <w:r>
              <w:rPr>
                <w:color w:val="auto"/>
                <w:highlight w:val="none"/>
              </w:rPr>
              <w:t>在采取上述污染防治措施后，可有效将施工期固废不利影响控制在最小程度和范围内，防治措施可行。</w:t>
            </w:r>
          </w:p>
          <w:p w14:paraId="6285CD91">
            <w:pPr>
              <w:pStyle w:val="11"/>
              <w:bidi w:val="0"/>
              <w:rPr>
                <w:rFonts w:hint="default"/>
                <w:color w:val="auto"/>
                <w:highlight w:val="none"/>
                <w:lang w:val="en-US" w:eastAsia="zh-CN"/>
              </w:rPr>
            </w:pPr>
          </w:p>
          <w:p w14:paraId="580FB09D">
            <w:pPr>
              <w:pStyle w:val="11"/>
              <w:bidi w:val="0"/>
              <w:rPr>
                <w:rFonts w:hint="default"/>
                <w:color w:val="auto"/>
                <w:highlight w:val="none"/>
                <w:lang w:val="en-US" w:eastAsia="zh-CN"/>
              </w:rPr>
            </w:pPr>
          </w:p>
          <w:p w14:paraId="086C66E8">
            <w:pPr>
              <w:pStyle w:val="11"/>
              <w:bidi w:val="0"/>
              <w:rPr>
                <w:rFonts w:hint="default"/>
                <w:color w:val="auto"/>
                <w:highlight w:val="none"/>
                <w:lang w:val="en-US" w:eastAsia="zh-CN"/>
              </w:rPr>
            </w:pPr>
          </w:p>
          <w:p w14:paraId="5DD9DE32">
            <w:pPr>
              <w:pStyle w:val="11"/>
              <w:bidi w:val="0"/>
              <w:rPr>
                <w:rFonts w:hint="default"/>
                <w:color w:val="auto"/>
                <w:highlight w:val="none"/>
                <w:lang w:val="en-US" w:eastAsia="zh-CN"/>
              </w:rPr>
            </w:pPr>
          </w:p>
          <w:p w14:paraId="0386F4AC">
            <w:pPr>
              <w:pStyle w:val="11"/>
              <w:bidi w:val="0"/>
              <w:rPr>
                <w:rFonts w:hint="default"/>
                <w:color w:val="auto"/>
                <w:highlight w:val="none"/>
                <w:lang w:val="en-US" w:eastAsia="zh-CN"/>
              </w:rPr>
            </w:pPr>
          </w:p>
          <w:p w14:paraId="278CE3C8">
            <w:pPr>
              <w:pStyle w:val="11"/>
              <w:bidi w:val="0"/>
              <w:rPr>
                <w:rFonts w:hint="default"/>
                <w:color w:val="auto"/>
                <w:highlight w:val="none"/>
                <w:lang w:val="en-US" w:eastAsia="zh-CN"/>
              </w:rPr>
            </w:pPr>
          </w:p>
          <w:p w14:paraId="6AD4A864">
            <w:pPr>
              <w:pStyle w:val="11"/>
              <w:bidi w:val="0"/>
              <w:rPr>
                <w:rFonts w:hint="default"/>
                <w:color w:val="auto"/>
                <w:highlight w:val="none"/>
                <w:lang w:val="en-US" w:eastAsia="zh-CN"/>
              </w:rPr>
            </w:pPr>
          </w:p>
          <w:p w14:paraId="3056BAC5">
            <w:pPr>
              <w:pStyle w:val="11"/>
              <w:bidi w:val="0"/>
              <w:ind w:left="0" w:leftChars="0" w:firstLine="0" w:firstLineChars="0"/>
              <w:rPr>
                <w:rFonts w:hint="default"/>
                <w:color w:val="auto"/>
                <w:highlight w:val="none"/>
                <w:lang w:val="en-US" w:eastAsia="zh-CN"/>
              </w:rPr>
            </w:pPr>
          </w:p>
          <w:p w14:paraId="0A68324C">
            <w:pPr>
              <w:pStyle w:val="11"/>
              <w:bidi w:val="0"/>
              <w:rPr>
                <w:rFonts w:hint="default"/>
                <w:color w:val="auto"/>
                <w:highlight w:val="none"/>
                <w:lang w:val="en-US" w:eastAsia="zh-CN"/>
              </w:rPr>
            </w:pPr>
          </w:p>
        </w:tc>
      </w:tr>
    </w:tbl>
    <w:p w14:paraId="344D2EB3">
      <w:pPr>
        <w:rPr>
          <w:color w:val="auto"/>
          <w:highlight w:val="none"/>
        </w:rPr>
        <w:sectPr>
          <w:pgSz w:w="11907" w:h="16840"/>
          <w:pgMar w:top="1701" w:right="1531" w:bottom="2127" w:left="1531" w:header="851" w:footer="851" w:gutter="0"/>
          <w:pgNumType w:fmt="decimal"/>
          <w:cols w:space="720" w:num="1"/>
          <w:docGrid w:linePitch="312" w:charSpace="0"/>
        </w:sectPr>
      </w:pPr>
    </w:p>
    <w:tbl>
      <w:tblPr>
        <w:tblStyle w:val="26"/>
        <w:tblW w:w="48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2119"/>
      </w:tblGrid>
      <w:tr w14:paraId="4D1E7E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748" w:type="dxa"/>
            <w:noWrap w:val="0"/>
            <w:tcMar>
              <w:left w:w="28" w:type="dxa"/>
              <w:right w:w="28" w:type="dxa"/>
            </w:tcMar>
            <w:vAlign w:val="center"/>
          </w:tcPr>
          <w:p w14:paraId="0BF10E00">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运营</w:t>
            </w:r>
          </w:p>
          <w:p w14:paraId="247161F2">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期环</w:t>
            </w:r>
          </w:p>
          <w:p w14:paraId="307A19B8">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境影</w:t>
            </w:r>
          </w:p>
          <w:p w14:paraId="0460E3AA">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响和</w:t>
            </w:r>
          </w:p>
          <w:p w14:paraId="61952824">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保护</w:t>
            </w:r>
          </w:p>
          <w:p w14:paraId="1EA1E9B4">
            <w:pPr>
              <w:adjustRightInd w:val="0"/>
              <w:snapToGrid w:val="0"/>
              <w:jc w:val="center"/>
              <w:rPr>
                <w:rFonts w:hint="eastAsia" w:ascii="宋体" w:hAnsi="宋体" w:cs="宋体"/>
                <w:bCs/>
                <w:color w:val="auto"/>
                <w:sz w:val="24"/>
                <w:szCs w:val="24"/>
                <w:highlight w:val="none"/>
              </w:rPr>
            </w:pPr>
            <w:r>
              <w:rPr>
                <w:rFonts w:hint="eastAsia" w:ascii="宋体" w:hAnsi="宋体" w:cs="宋体"/>
                <w:bCs/>
                <w:color w:val="auto"/>
                <w:sz w:val="24"/>
                <w:szCs w:val="24"/>
                <w:highlight w:val="none"/>
              </w:rPr>
              <w:t>措施</w:t>
            </w:r>
          </w:p>
        </w:tc>
        <w:tc>
          <w:tcPr>
            <w:tcW w:w="12047" w:type="dxa"/>
            <w:noWrap w:val="0"/>
            <w:vAlign w:val="center"/>
          </w:tcPr>
          <w:p w14:paraId="363EEB48">
            <w:pPr>
              <w:pStyle w:val="11"/>
              <w:bidi w:val="0"/>
              <w:rPr>
                <w:rFonts w:hint="eastAsia" w:eastAsia="宋体"/>
                <w:b/>
                <w:bCs/>
                <w:color w:val="auto"/>
                <w:highlight w:val="none"/>
                <w:lang w:eastAsia="zh-CN"/>
              </w:rPr>
            </w:pPr>
            <w:r>
              <w:rPr>
                <w:rFonts w:hint="eastAsia"/>
                <w:b/>
                <w:bCs/>
                <w:color w:val="auto"/>
                <w:highlight w:val="none"/>
                <w:lang w:val="en-US" w:eastAsia="zh-CN"/>
              </w:rPr>
              <w:t>1</w:t>
            </w:r>
            <w:r>
              <w:rPr>
                <w:b/>
                <w:bCs/>
                <w:color w:val="auto"/>
                <w:highlight w:val="none"/>
              </w:rPr>
              <w:t>、</w:t>
            </w:r>
            <w:r>
              <w:rPr>
                <w:rFonts w:hint="eastAsia"/>
                <w:b/>
                <w:bCs/>
                <w:color w:val="auto"/>
                <w:highlight w:val="none"/>
                <w:lang w:val="en-US" w:eastAsia="zh-CN"/>
              </w:rPr>
              <w:t>运营期大气环境影响和保护措施</w:t>
            </w:r>
          </w:p>
          <w:p w14:paraId="6CEEB02B">
            <w:pPr>
              <w:pStyle w:val="11"/>
              <w:bidi w:val="0"/>
              <w:rPr>
                <w:rFonts w:hint="eastAsia"/>
                <w:color w:val="auto"/>
                <w:highlight w:val="none"/>
                <w:lang w:val="en-US" w:eastAsia="zh-CN"/>
              </w:rPr>
            </w:pPr>
            <w:r>
              <w:rPr>
                <w:rFonts w:hint="eastAsia"/>
                <w:color w:val="auto"/>
                <w:highlight w:val="none"/>
                <w:lang w:val="en-US" w:eastAsia="zh-CN"/>
              </w:rPr>
              <w:t>（1）废气产排污汇总</w:t>
            </w:r>
          </w:p>
          <w:p w14:paraId="7480B98A">
            <w:pPr>
              <w:pStyle w:val="11"/>
              <w:bidi w:val="0"/>
              <w:rPr>
                <w:rFonts w:hint="default"/>
                <w:color w:val="auto"/>
                <w:highlight w:val="none"/>
              </w:rPr>
            </w:pPr>
            <w:r>
              <w:rPr>
                <w:rFonts w:hint="default"/>
                <w:color w:val="auto"/>
                <w:highlight w:val="none"/>
              </w:rPr>
              <w:t>本次项目废气产排污汇总情况如下表：</w:t>
            </w:r>
          </w:p>
          <w:p w14:paraId="28B5F947">
            <w:pPr>
              <w:pStyle w:val="32"/>
              <w:bidi w:val="0"/>
              <w:rPr>
                <w:rFonts w:hint="eastAsia"/>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 xml:space="preserve">3     </w:t>
            </w:r>
            <w:r>
              <w:rPr>
                <w:color w:val="auto"/>
                <w:highlight w:val="none"/>
              </w:rPr>
              <w:t>项目有组织废气污染源排放清单</w:t>
            </w:r>
            <w:r>
              <w:rPr>
                <w:rFonts w:hint="eastAsia"/>
                <w:color w:val="auto"/>
                <w:highlight w:val="none"/>
              </w:rPr>
              <w:t>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0"/>
              <w:gridCol w:w="1138"/>
              <w:gridCol w:w="923"/>
              <w:gridCol w:w="1159"/>
              <w:gridCol w:w="683"/>
              <w:gridCol w:w="738"/>
              <w:gridCol w:w="969"/>
              <w:gridCol w:w="1642"/>
              <w:gridCol w:w="819"/>
              <w:gridCol w:w="823"/>
              <w:gridCol w:w="1185"/>
              <w:gridCol w:w="1414"/>
            </w:tblGrid>
            <w:tr w14:paraId="6C33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388D3148">
                  <w:pPr>
                    <w:pStyle w:val="49"/>
                    <w:bidi w:val="0"/>
                    <w:rPr>
                      <w:b/>
                      <w:bCs/>
                      <w:color w:val="auto"/>
                      <w:highlight w:val="none"/>
                    </w:rPr>
                  </w:pPr>
                  <w:r>
                    <w:rPr>
                      <w:b/>
                      <w:bCs/>
                      <w:color w:val="auto"/>
                      <w:highlight w:val="none"/>
                    </w:rPr>
                    <w:t>产排污环节</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697F94ED">
                  <w:pPr>
                    <w:pStyle w:val="49"/>
                    <w:bidi w:val="0"/>
                    <w:rPr>
                      <w:rFonts w:hint="default" w:eastAsia="宋体"/>
                      <w:color w:val="auto"/>
                      <w:highlight w:val="none"/>
                      <w:lang w:val="en-US" w:eastAsia="zh-CN"/>
                    </w:rPr>
                  </w:pPr>
                  <w:r>
                    <w:rPr>
                      <w:rFonts w:hint="eastAsia"/>
                      <w:color w:val="auto"/>
                      <w:highlight w:val="none"/>
                      <w:lang w:val="en-US" w:eastAsia="zh-CN"/>
                    </w:rPr>
                    <w:t>秸秆炭产线-装卸工序</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674FC3FC">
                  <w:pPr>
                    <w:pStyle w:val="49"/>
                    <w:bidi w:val="0"/>
                    <w:rPr>
                      <w:color w:val="auto"/>
                      <w:highlight w:val="none"/>
                    </w:rPr>
                  </w:pPr>
                  <w:r>
                    <w:rPr>
                      <w:rFonts w:hint="eastAsia"/>
                      <w:color w:val="auto"/>
                      <w:highlight w:val="none"/>
                      <w:lang w:val="en-US" w:eastAsia="zh-CN"/>
                    </w:rPr>
                    <w:t>秸秆炭产线-</w:t>
                  </w:r>
                  <w:r>
                    <w:rPr>
                      <w:rFonts w:hint="eastAsia"/>
                      <w:color w:val="auto"/>
                      <w:highlight w:val="none"/>
                    </w:rPr>
                    <w:t>粉碎</w:t>
                  </w:r>
                  <w:r>
                    <w:rPr>
                      <w:color w:val="auto"/>
                      <w:highlight w:val="none"/>
                    </w:rPr>
                    <w:t>工序</w:t>
                  </w:r>
                </w:p>
              </w:tc>
              <w:tc>
                <w:tcPr>
                  <w:tcW w:w="1004" w:type="pct"/>
                  <w:gridSpan w:val="3"/>
                  <w:tcBorders>
                    <w:top w:val="single" w:color="auto" w:sz="4" w:space="0"/>
                    <w:left w:val="single" w:color="auto" w:sz="4" w:space="0"/>
                    <w:bottom w:val="single" w:color="auto" w:sz="4" w:space="0"/>
                    <w:right w:val="single" w:color="auto" w:sz="4" w:space="0"/>
                  </w:tcBorders>
                  <w:noWrap w:val="0"/>
                  <w:vAlign w:val="center"/>
                </w:tcPr>
                <w:p w14:paraId="0766E8D1">
                  <w:pPr>
                    <w:pStyle w:val="49"/>
                    <w:bidi w:val="0"/>
                    <w:rPr>
                      <w:rFonts w:hint="default" w:eastAsia="宋体"/>
                      <w:color w:val="auto"/>
                      <w:highlight w:val="none"/>
                      <w:lang w:val="en-US" w:eastAsia="zh-CN"/>
                    </w:rPr>
                  </w:pPr>
                  <w:r>
                    <w:rPr>
                      <w:rFonts w:hint="eastAsia"/>
                      <w:color w:val="auto"/>
                      <w:highlight w:val="none"/>
                      <w:lang w:val="en-US" w:eastAsia="zh-CN"/>
                    </w:rPr>
                    <w:t>秸秆炭产线-烘干工序</w:t>
                  </w:r>
                </w:p>
              </w:tc>
              <w:tc>
                <w:tcPr>
                  <w:tcW w:w="690" w:type="pct"/>
                  <w:tcBorders>
                    <w:top w:val="single" w:color="auto" w:sz="4" w:space="0"/>
                    <w:left w:val="single" w:color="auto" w:sz="4" w:space="0"/>
                    <w:bottom w:val="single" w:color="auto" w:sz="4" w:space="0"/>
                    <w:right w:val="single" w:color="auto" w:sz="4" w:space="0"/>
                  </w:tcBorders>
                  <w:noWrap w:val="0"/>
                  <w:vAlign w:val="center"/>
                </w:tcPr>
                <w:p w14:paraId="6C544349">
                  <w:pPr>
                    <w:pStyle w:val="49"/>
                    <w:bidi w:val="0"/>
                    <w:rPr>
                      <w:rFonts w:hint="default"/>
                      <w:color w:val="auto"/>
                      <w:highlight w:val="none"/>
                      <w:lang w:val="en-US" w:eastAsia="zh-CN"/>
                    </w:rPr>
                  </w:pPr>
                  <w:r>
                    <w:rPr>
                      <w:rFonts w:hint="eastAsia"/>
                      <w:color w:val="auto"/>
                      <w:highlight w:val="none"/>
                      <w:lang w:val="en-US" w:eastAsia="zh-CN"/>
                    </w:rPr>
                    <w:t>储罐呼吸废气</w:t>
                  </w:r>
                </w:p>
              </w:tc>
              <w:tc>
                <w:tcPr>
                  <w:tcW w:w="690" w:type="pct"/>
                  <w:gridSpan w:val="2"/>
                  <w:tcBorders>
                    <w:top w:val="single" w:color="auto" w:sz="4" w:space="0"/>
                    <w:left w:val="single" w:color="auto" w:sz="4" w:space="0"/>
                    <w:bottom w:val="single" w:color="auto" w:sz="4" w:space="0"/>
                    <w:right w:val="single" w:color="auto" w:sz="4" w:space="0"/>
                  </w:tcBorders>
                  <w:noWrap w:val="0"/>
                  <w:vAlign w:val="center"/>
                </w:tcPr>
                <w:p w14:paraId="5953AE2C">
                  <w:pPr>
                    <w:pStyle w:val="49"/>
                    <w:bidi w:val="0"/>
                    <w:rPr>
                      <w:rFonts w:hint="default"/>
                      <w:color w:val="auto"/>
                      <w:highlight w:val="none"/>
                      <w:lang w:val="en-US" w:eastAsia="zh-CN"/>
                    </w:rPr>
                  </w:pPr>
                  <w:r>
                    <w:rPr>
                      <w:rFonts w:hint="eastAsia"/>
                      <w:color w:val="auto"/>
                      <w:highlight w:val="none"/>
                      <w:lang w:val="en-US" w:eastAsia="zh-CN"/>
                    </w:rPr>
                    <w:t>有机肥产线-发酵废气</w:t>
                  </w:r>
                </w:p>
              </w:tc>
              <w:tc>
                <w:tcPr>
                  <w:tcW w:w="498" w:type="pct"/>
                  <w:tcBorders>
                    <w:top w:val="single" w:color="auto" w:sz="4" w:space="0"/>
                    <w:left w:val="single" w:color="auto" w:sz="4" w:space="0"/>
                    <w:bottom w:val="single" w:color="auto" w:sz="4" w:space="0"/>
                    <w:right w:val="single" w:color="auto" w:sz="4" w:space="0"/>
                  </w:tcBorders>
                  <w:noWrap w:val="0"/>
                  <w:vAlign w:val="center"/>
                </w:tcPr>
                <w:p w14:paraId="797328A4">
                  <w:pPr>
                    <w:pStyle w:val="49"/>
                    <w:bidi w:val="0"/>
                    <w:rPr>
                      <w:rFonts w:hint="default"/>
                      <w:color w:val="auto"/>
                      <w:highlight w:val="none"/>
                      <w:lang w:val="en-US" w:eastAsia="zh-CN"/>
                    </w:rPr>
                  </w:pPr>
                  <w:r>
                    <w:rPr>
                      <w:rFonts w:hint="eastAsia"/>
                      <w:color w:val="auto"/>
                      <w:highlight w:val="none"/>
                      <w:lang w:val="en-US" w:eastAsia="zh-CN"/>
                    </w:rPr>
                    <w:t>有机肥产线-粉尘</w:t>
                  </w:r>
                </w:p>
              </w:tc>
              <w:tc>
                <w:tcPr>
                  <w:tcW w:w="594" w:type="pct"/>
                  <w:tcBorders>
                    <w:top w:val="single" w:color="auto" w:sz="4" w:space="0"/>
                    <w:left w:val="single" w:color="auto" w:sz="4" w:space="0"/>
                    <w:bottom w:val="single" w:color="auto" w:sz="4" w:space="0"/>
                    <w:right w:val="single" w:color="auto" w:sz="4" w:space="0"/>
                  </w:tcBorders>
                  <w:noWrap w:val="0"/>
                  <w:vAlign w:val="center"/>
                </w:tcPr>
                <w:p w14:paraId="40915943">
                  <w:pPr>
                    <w:pStyle w:val="49"/>
                    <w:bidi w:val="0"/>
                    <w:rPr>
                      <w:rFonts w:hint="eastAsia" w:eastAsia="宋体"/>
                      <w:color w:val="auto"/>
                      <w:highlight w:val="none"/>
                      <w:lang w:val="en-US" w:eastAsia="zh-CN"/>
                    </w:rPr>
                  </w:pPr>
                  <w:r>
                    <w:rPr>
                      <w:rFonts w:hint="eastAsia"/>
                      <w:color w:val="auto"/>
                      <w:highlight w:val="none"/>
                      <w:lang w:val="en-US" w:eastAsia="zh-CN"/>
                    </w:rPr>
                    <w:t>食堂</w:t>
                  </w:r>
                </w:p>
              </w:tc>
            </w:tr>
            <w:tr w14:paraId="6D7E5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205CD03C">
                  <w:pPr>
                    <w:pStyle w:val="49"/>
                    <w:bidi w:val="0"/>
                    <w:rPr>
                      <w:b/>
                      <w:bCs/>
                      <w:color w:val="auto"/>
                      <w:highlight w:val="none"/>
                    </w:rPr>
                  </w:pPr>
                  <w:r>
                    <w:rPr>
                      <w:b/>
                      <w:bCs/>
                      <w:color w:val="auto"/>
                      <w:highlight w:val="none"/>
                    </w:rPr>
                    <w:t>污染物种类</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5E3384A1">
                  <w:pPr>
                    <w:pStyle w:val="49"/>
                    <w:bidi w:val="0"/>
                    <w:rPr>
                      <w:color w:val="auto"/>
                      <w:highlight w:val="none"/>
                    </w:rPr>
                  </w:pPr>
                  <w:r>
                    <w:rPr>
                      <w:rFonts w:hint="eastAsia"/>
                      <w:color w:val="auto"/>
                      <w:highlight w:val="none"/>
                    </w:rPr>
                    <w:t>粉尘</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25D6417E">
                  <w:pPr>
                    <w:pStyle w:val="49"/>
                    <w:bidi w:val="0"/>
                    <w:rPr>
                      <w:color w:val="auto"/>
                      <w:highlight w:val="none"/>
                    </w:rPr>
                  </w:pPr>
                  <w:r>
                    <w:rPr>
                      <w:rFonts w:hint="eastAsia"/>
                      <w:color w:val="auto"/>
                      <w:highlight w:val="none"/>
                    </w:rPr>
                    <w:t>粉尘</w:t>
                  </w:r>
                </w:p>
              </w:tc>
              <w:tc>
                <w:tcPr>
                  <w:tcW w:w="1004" w:type="pct"/>
                  <w:gridSpan w:val="3"/>
                  <w:tcBorders>
                    <w:top w:val="single" w:color="auto" w:sz="4" w:space="0"/>
                    <w:left w:val="single" w:color="auto" w:sz="4" w:space="0"/>
                    <w:bottom w:val="single" w:color="auto" w:sz="4" w:space="0"/>
                    <w:right w:val="single" w:color="auto" w:sz="4" w:space="0"/>
                  </w:tcBorders>
                  <w:noWrap w:val="0"/>
                  <w:vAlign w:val="center"/>
                </w:tcPr>
                <w:p w14:paraId="649E2A7D">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rPr>
                    <w:t>粉尘</w:t>
                  </w:r>
                </w:p>
              </w:tc>
              <w:tc>
                <w:tcPr>
                  <w:tcW w:w="690" w:type="pct"/>
                  <w:tcBorders>
                    <w:top w:val="single" w:color="auto" w:sz="4" w:space="0"/>
                    <w:left w:val="single" w:color="auto" w:sz="4" w:space="0"/>
                    <w:bottom w:val="single" w:color="auto" w:sz="4" w:space="0"/>
                    <w:right w:val="single" w:color="auto" w:sz="4" w:space="0"/>
                  </w:tcBorders>
                  <w:noWrap w:val="0"/>
                  <w:vAlign w:val="center"/>
                </w:tcPr>
                <w:p w14:paraId="49782DEB">
                  <w:pPr>
                    <w:pStyle w:val="49"/>
                    <w:bidi w:val="0"/>
                    <w:rPr>
                      <w:rFonts w:hint="default"/>
                      <w:color w:val="auto"/>
                      <w:highlight w:val="none"/>
                      <w:lang w:val="en-US" w:eastAsia="zh-CN"/>
                    </w:rPr>
                  </w:pPr>
                  <w:r>
                    <w:rPr>
                      <w:rFonts w:hint="eastAsia"/>
                      <w:color w:val="auto"/>
                      <w:highlight w:val="none"/>
                      <w:lang w:val="en-US" w:eastAsia="zh-CN"/>
                    </w:rPr>
                    <w:t>VOCs</w:t>
                  </w:r>
                </w:p>
              </w:tc>
              <w:tc>
                <w:tcPr>
                  <w:tcW w:w="690" w:type="pct"/>
                  <w:gridSpan w:val="2"/>
                  <w:tcBorders>
                    <w:top w:val="single" w:color="auto" w:sz="4" w:space="0"/>
                    <w:left w:val="single" w:color="auto" w:sz="4" w:space="0"/>
                    <w:bottom w:val="single" w:color="auto" w:sz="4" w:space="0"/>
                    <w:right w:val="single" w:color="auto" w:sz="4" w:space="0"/>
                  </w:tcBorders>
                  <w:noWrap w:val="0"/>
                  <w:vAlign w:val="center"/>
                </w:tcPr>
                <w:p w14:paraId="7E2DB1B5">
                  <w:pPr>
                    <w:pStyle w:val="49"/>
                    <w:bidi w:val="0"/>
                    <w:rPr>
                      <w:rFonts w:hint="default"/>
                      <w:color w:val="auto"/>
                      <w:highlight w:val="none"/>
                      <w:lang w:val="en-US" w:eastAsia="zh-CN"/>
                    </w:rPr>
                  </w:pPr>
                  <w:r>
                    <w:rPr>
                      <w:rFonts w:hint="eastAsia"/>
                      <w:color w:val="auto"/>
                      <w:highlight w:val="none"/>
                      <w:lang w:val="en-US" w:eastAsia="zh-CN"/>
                    </w:rPr>
                    <w:t>恶臭气体</w:t>
                  </w:r>
                </w:p>
              </w:tc>
              <w:tc>
                <w:tcPr>
                  <w:tcW w:w="498" w:type="pct"/>
                  <w:tcBorders>
                    <w:top w:val="single" w:color="auto" w:sz="4" w:space="0"/>
                    <w:left w:val="single" w:color="auto" w:sz="4" w:space="0"/>
                    <w:bottom w:val="single" w:color="auto" w:sz="4" w:space="0"/>
                    <w:right w:val="single" w:color="auto" w:sz="4" w:space="0"/>
                  </w:tcBorders>
                  <w:noWrap w:val="0"/>
                  <w:vAlign w:val="center"/>
                </w:tcPr>
                <w:p w14:paraId="282432BA">
                  <w:pPr>
                    <w:pStyle w:val="49"/>
                    <w:bidi w:val="0"/>
                    <w:rPr>
                      <w:rFonts w:hint="default"/>
                      <w:color w:val="auto"/>
                      <w:highlight w:val="none"/>
                      <w:lang w:val="en-US" w:eastAsia="zh-CN"/>
                    </w:rPr>
                  </w:pPr>
                  <w:r>
                    <w:rPr>
                      <w:rFonts w:hint="eastAsia"/>
                      <w:color w:val="auto"/>
                      <w:highlight w:val="none"/>
                      <w:lang w:val="en-US" w:eastAsia="zh-CN"/>
                    </w:rPr>
                    <w:t>粉尘</w:t>
                  </w:r>
                </w:p>
              </w:tc>
              <w:tc>
                <w:tcPr>
                  <w:tcW w:w="594" w:type="pct"/>
                  <w:tcBorders>
                    <w:top w:val="single" w:color="auto" w:sz="4" w:space="0"/>
                    <w:left w:val="single" w:color="auto" w:sz="4" w:space="0"/>
                    <w:bottom w:val="single" w:color="auto" w:sz="4" w:space="0"/>
                    <w:right w:val="single" w:color="auto" w:sz="4" w:space="0"/>
                  </w:tcBorders>
                  <w:noWrap w:val="0"/>
                  <w:vAlign w:val="center"/>
                </w:tcPr>
                <w:p w14:paraId="2707BB94">
                  <w:pPr>
                    <w:pStyle w:val="49"/>
                    <w:bidi w:val="0"/>
                    <w:rPr>
                      <w:rFonts w:hint="default" w:eastAsia="宋体"/>
                      <w:color w:val="auto"/>
                      <w:highlight w:val="none"/>
                      <w:lang w:val="en-US" w:eastAsia="zh-CN"/>
                    </w:rPr>
                  </w:pPr>
                  <w:r>
                    <w:rPr>
                      <w:rFonts w:hint="eastAsia"/>
                      <w:color w:val="auto"/>
                      <w:highlight w:val="none"/>
                      <w:lang w:val="en-US" w:eastAsia="zh-CN"/>
                    </w:rPr>
                    <w:t>油烟</w:t>
                  </w:r>
                </w:p>
              </w:tc>
            </w:tr>
            <w:tr w14:paraId="3AC1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73081611">
                  <w:pPr>
                    <w:pStyle w:val="49"/>
                    <w:bidi w:val="0"/>
                    <w:rPr>
                      <w:b/>
                      <w:bCs/>
                      <w:color w:val="auto"/>
                      <w:highlight w:val="none"/>
                    </w:rPr>
                  </w:pPr>
                  <w:r>
                    <w:rPr>
                      <w:b/>
                      <w:bCs/>
                      <w:color w:val="auto"/>
                      <w:highlight w:val="none"/>
                    </w:rPr>
                    <w:t>污染物</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1F9A3C69">
                  <w:pPr>
                    <w:pStyle w:val="49"/>
                    <w:bidi w:val="0"/>
                    <w:rPr>
                      <w:color w:val="auto"/>
                      <w:highlight w:val="none"/>
                    </w:rPr>
                  </w:pPr>
                  <w:r>
                    <w:rPr>
                      <w:color w:val="auto"/>
                      <w:highlight w:val="none"/>
                    </w:rPr>
                    <w:t>颗粒物</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02AE6BD7">
                  <w:pPr>
                    <w:pStyle w:val="49"/>
                    <w:bidi w:val="0"/>
                    <w:rPr>
                      <w:color w:val="auto"/>
                      <w:highlight w:val="none"/>
                    </w:rPr>
                  </w:pPr>
                  <w:r>
                    <w:rPr>
                      <w:color w:val="auto"/>
                      <w:highlight w:val="none"/>
                    </w:rPr>
                    <w:t>颗粒物</w:t>
                  </w:r>
                </w:p>
              </w:tc>
              <w:tc>
                <w:tcPr>
                  <w:tcW w:w="287" w:type="pct"/>
                  <w:tcBorders>
                    <w:left w:val="single" w:color="auto" w:sz="4" w:space="0"/>
                    <w:right w:val="single" w:color="auto" w:sz="4" w:space="0"/>
                  </w:tcBorders>
                  <w:noWrap w:val="0"/>
                  <w:vAlign w:val="center"/>
                </w:tcPr>
                <w:p w14:paraId="3A8DB457">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颗粒物</w:t>
                  </w:r>
                </w:p>
              </w:tc>
              <w:tc>
                <w:tcPr>
                  <w:tcW w:w="310" w:type="pct"/>
                  <w:tcBorders>
                    <w:left w:val="single" w:color="auto" w:sz="4" w:space="0"/>
                    <w:right w:val="single" w:color="auto" w:sz="4" w:space="0"/>
                  </w:tcBorders>
                  <w:noWrap w:val="0"/>
                  <w:vAlign w:val="center"/>
                </w:tcPr>
                <w:p w14:paraId="5E02D79E">
                  <w:pPr>
                    <w:pStyle w:val="49"/>
                    <w:bidi w:val="0"/>
                    <w:ind w:left="0" w:leftChars="0" w:firstLine="0" w:firstLineChars="0"/>
                    <w:rPr>
                      <w:rFonts w:hint="eastAsia" w:eastAsia="宋体"/>
                      <w:color w:val="auto"/>
                      <w:highlight w:val="none"/>
                      <w:lang w:val="en-US" w:eastAsia="zh-CN"/>
                    </w:rPr>
                  </w:pPr>
                  <w:r>
                    <w:rPr>
                      <w:rFonts w:hint="eastAsia"/>
                      <w:color w:val="auto"/>
                      <w:highlight w:val="none"/>
                      <w:lang w:val="en-US" w:eastAsia="zh-CN"/>
                    </w:rPr>
                    <w:t>氮氧化物</w:t>
                  </w:r>
                </w:p>
              </w:tc>
              <w:tc>
                <w:tcPr>
                  <w:tcW w:w="407" w:type="pct"/>
                  <w:tcBorders>
                    <w:left w:val="single" w:color="auto" w:sz="4" w:space="0"/>
                    <w:right w:val="single" w:color="auto" w:sz="4" w:space="0"/>
                  </w:tcBorders>
                  <w:noWrap w:val="0"/>
                  <w:vAlign w:val="center"/>
                </w:tcPr>
                <w:p w14:paraId="615F42D7">
                  <w:pPr>
                    <w:pStyle w:val="49"/>
                    <w:bidi w:val="0"/>
                    <w:ind w:left="0" w:leftChars="0" w:firstLine="0" w:firstLineChars="0"/>
                    <w:rPr>
                      <w:rFonts w:hint="eastAsia" w:eastAsia="宋体"/>
                      <w:color w:val="auto"/>
                      <w:highlight w:val="none"/>
                      <w:lang w:val="en-US" w:eastAsia="zh-CN"/>
                    </w:rPr>
                  </w:pPr>
                  <w:r>
                    <w:rPr>
                      <w:rFonts w:hint="eastAsia"/>
                      <w:color w:val="auto"/>
                      <w:highlight w:val="none"/>
                      <w:lang w:val="en-US" w:eastAsia="zh-CN"/>
                    </w:rPr>
                    <w:t>二氧化硫</w:t>
                  </w:r>
                </w:p>
              </w:tc>
              <w:tc>
                <w:tcPr>
                  <w:tcW w:w="690" w:type="pct"/>
                  <w:tcBorders>
                    <w:left w:val="single" w:color="auto" w:sz="4" w:space="0"/>
                    <w:right w:val="single" w:color="auto" w:sz="4" w:space="0"/>
                  </w:tcBorders>
                  <w:noWrap w:val="0"/>
                  <w:vAlign w:val="center"/>
                </w:tcPr>
                <w:p w14:paraId="1FE6E239">
                  <w:pPr>
                    <w:pStyle w:val="49"/>
                    <w:bidi w:val="0"/>
                    <w:jc w:val="center"/>
                    <w:rPr>
                      <w:rFonts w:hint="default"/>
                      <w:color w:val="auto"/>
                      <w:highlight w:val="none"/>
                      <w:lang w:val="en-US" w:eastAsia="zh-CN"/>
                    </w:rPr>
                  </w:pPr>
                  <w:r>
                    <w:rPr>
                      <w:rFonts w:hint="eastAsia"/>
                      <w:color w:val="auto"/>
                      <w:highlight w:val="none"/>
                      <w:lang w:val="en-US" w:eastAsia="zh-CN"/>
                    </w:rPr>
                    <w:t>NHMC</w:t>
                  </w:r>
                </w:p>
              </w:tc>
              <w:tc>
                <w:tcPr>
                  <w:tcW w:w="344" w:type="pct"/>
                  <w:tcBorders>
                    <w:left w:val="single" w:color="auto" w:sz="4" w:space="0"/>
                    <w:right w:val="single" w:color="auto" w:sz="4" w:space="0"/>
                  </w:tcBorders>
                  <w:noWrap w:val="0"/>
                  <w:vAlign w:val="center"/>
                </w:tcPr>
                <w:p w14:paraId="621F3C3D">
                  <w:pPr>
                    <w:pStyle w:val="49"/>
                    <w:bidi w:val="0"/>
                    <w:rPr>
                      <w:rFonts w:hint="default"/>
                      <w:color w:val="auto"/>
                      <w:highlight w:val="none"/>
                      <w:vertAlign w:val="subscript"/>
                      <w:lang w:val="en-US" w:eastAsia="zh-CN"/>
                    </w:rPr>
                  </w:pPr>
                  <w:r>
                    <w:rPr>
                      <w:rFonts w:hint="eastAsia"/>
                      <w:color w:val="auto"/>
                      <w:highlight w:val="none"/>
                      <w:lang w:val="en-US" w:eastAsia="zh-CN"/>
                    </w:rPr>
                    <w:t>NH</w:t>
                  </w:r>
                  <w:r>
                    <w:rPr>
                      <w:rFonts w:hint="eastAsia"/>
                      <w:color w:val="auto"/>
                      <w:highlight w:val="none"/>
                      <w:vertAlign w:val="subscript"/>
                      <w:lang w:val="en-US" w:eastAsia="zh-CN"/>
                    </w:rPr>
                    <w:t>3</w:t>
                  </w:r>
                </w:p>
              </w:tc>
              <w:tc>
                <w:tcPr>
                  <w:tcW w:w="346" w:type="pct"/>
                  <w:tcBorders>
                    <w:left w:val="single" w:color="auto" w:sz="4" w:space="0"/>
                    <w:right w:val="single" w:color="auto" w:sz="4" w:space="0"/>
                  </w:tcBorders>
                  <w:noWrap w:val="0"/>
                  <w:vAlign w:val="center"/>
                </w:tcPr>
                <w:p w14:paraId="05D12487">
                  <w:pPr>
                    <w:pStyle w:val="49"/>
                    <w:bidi w:val="0"/>
                    <w:rPr>
                      <w:rFonts w:hint="default"/>
                      <w:color w:val="auto"/>
                      <w:highlight w:val="none"/>
                      <w:lang w:val="en-US" w:eastAsia="zh-CN"/>
                    </w:rPr>
                  </w:pP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w:t>
                  </w:r>
                </w:p>
              </w:tc>
              <w:tc>
                <w:tcPr>
                  <w:tcW w:w="498" w:type="pct"/>
                  <w:tcBorders>
                    <w:left w:val="single" w:color="auto" w:sz="4" w:space="0"/>
                    <w:right w:val="single" w:color="auto" w:sz="4" w:space="0"/>
                  </w:tcBorders>
                  <w:noWrap w:val="0"/>
                  <w:vAlign w:val="center"/>
                </w:tcPr>
                <w:p w14:paraId="579B0901">
                  <w:pPr>
                    <w:pStyle w:val="49"/>
                    <w:bidi w:val="0"/>
                    <w:rPr>
                      <w:rFonts w:hint="default"/>
                      <w:color w:val="auto"/>
                      <w:highlight w:val="none"/>
                      <w:lang w:val="en-US" w:eastAsia="zh-CN"/>
                    </w:rPr>
                  </w:pPr>
                  <w:r>
                    <w:rPr>
                      <w:rFonts w:hint="eastAsia"/>
                      <w:color w:val="auto"/>
                      <w:highlight w:val="none"/>
                      <w:lang w:val="en-US" w:eastAsia="zh-CN"/>
                    </w:rPr>
                    <w:t>颗粒物</w:t>
                  </w:r>
                </w:p>
              </w:tc>
              <w:tc>
                <w:tcPr>
                  <w:tcW w:w="594" w:type="pct"/>
                  <w:tcBorders>
                    <w:left w:val="single" w:color="auto" w:sz="4" w:space="0"/>
                    <w:right w:val="single" w:color="auto" w:sz="4" w:space="0"/>
                  </w:tcBorders>
                  <w:noWrap w:val="0"/>
                  <w:vAlign w:val="center"/>
                </w:tcPr>
                <w:p w14:paraId="41180AFD">
                  <w:pPr>
                    <w:pStyle w:val="49"/>
                    <w:bidi w:val="0"/>
                    <w:rPr>
                      <w:rFonts w:hint="eastAsia" w:eastAsia="宋体"/>
                      <w:color w:val="auto"/>
                      <w:highlight w:val="none"/>
                      <w:lang w:val="en-US" w:eastAsia="zh-CN"/>
                    </w:rPr>
                  </w:pPr>
                  <w:r>
                    <w:rPr>
                      <w:rFonts w:hint="eastAsia"/>
                      <w:color w:val="auto"/>
                      <w:highlight w:val="none"/>
                      <w:lang w:val="en-US" w:eastAsia="zh-CN"/>
                    </w:rPr>
                    <w:t>油烟</w:t>
                  </w:r>
                </w:p>
              </w:tc>
            </w:tr>
            <w:tr w14:paraId="2F18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29E7191B">
                  <w:pPr>
                    <w:pStyle w:val="49"/>
                    <w:bidi w:val="0"/>
                    <w:rPr>
                      <w:b/>
                      <w:bCs/>
                      <w:color w:val="auto"/>
                      <w:highlight w:val="none"/>
                    </w:rPr>
                  </w:pPr>
                  <w:r>
                    <w:rPr>
                      <w:b/>
                      <w:bCs/>
                      <w:color w:val="auto"/>
                      <w:highlight w:val="none"/>
                    </w:rPr>
                    <w:t>污染物产生量（t/a）</w:t>
                  </w:r>
                </w:p>
              </w:tc>
              <w:tc>
                <w:tcPr>
                  <w:tcW w:w="388" w:type="pct"/>
                  <w:tcBorders>
                    <w:top w:val="single" w:color="auto" w:sz="4" w:space="0"/>
                    <w:left w:val="single" w:color="auto" w:sz="4" w:space="0"/>
                    <w:right w:val="single" w:color="auto" w:sz="4" w:space="0"/>
                  </w:tcBorders>
                  <w:noWrap w:val="0"/>
                  <w:vAlign w:val="center"/>
                </w:tcPr>
                <w:p w14:paraId="274ECFF1">
                  <w:pPr>
                    <w:pStyle w:val="49"/>
                    <w:bidi w:val="0"/>
                    <w:rPr>
                      <w:rFonts w:hint="default" w:eastAsia="宋体"/>
                      <w:color w:val="auto"/>
                      <w:highlight w:val="none"/>
                      <w:lang w:val="en-US" w:eastAsia="zh-CN"/>
                    </w:rPr>
                  </w:pPr>
                  <w:r>
                    <w:rPr>
                      <w:rFonts w:hint="eastAsia"/>
                      <w:color w:val="auto"/>
                      <w:highlight w:val="none"/>
                      <w:lang w:val="en-US" w:eastAsia="zh-CN"/>
                    </w:rPr>
                    <w:t>10.0</w:t>
                  </w:r>
                </w:p>
              </w:tc>
              <w:tc>
                <w:tcPr>
                  <w:tcW w:w="487" w:type="pct"/>
                  <w:tcBorders>
                    <w:top w:val="single" w:color="auto" w:sz="4" w:space="0"/>
                    <w:left w:val="single" w:color="auto" w:sz="4" w:space="0"/>
                    <w:right w:val="single" w:color="auto" w:sz="4" w:space="0"/>
                  </w:tcBorders>
                  <w:noWrap w:val="0"/>
                  <w:vAlign w:val="center"/>
                </w:tcPr>
                <w:p w14:paraId="0A8D0026">
                  <w:pPr>
                    <w:pStyle w:val="49"/>
                    <w:bidi w:val="0"/>
                    <w:rPr>
                      <w:rFonts w:hint="default" w:eastAsia="宋体"/>
                      <w:color w:val="auto"/>
                      <w:highlight w:val="none"/>
                      <w:lang w:val="en-US" w:eastAsia="zh-CN"/>
                    </w:rPr>
                  </w:pPr>
                  <w:r>
                    <w:rPr>
                      <w:rFonts w:hint="eastAsia"/>
                      <w:color w:val="auto"/>
                      <w:highlight w:val="none"/>
                      <w:lang w:val="en-US" w:eastAsia="zh-CN"/>
                    </w:rPr>
                    <w:t>3.31</w:t>
                  </w:r>
                </w:p>
              </w:tc>
              <w:tc>
                <w:tcPr>
                  <w:tcW w:w="287" w:type="pct"/>
                  <w:tcBorders>
                    <w:left w:val="single" w:color="auto" w:sz="4" w:space="0"/>
                    <w:right w:val="single" w:color="auto" w:sz="4" w:space="0"/>
                  </w:tcBorders>
                  <w:noWrap w:val="0"/>
                  <w:vAlign w:val="center"/>
                </w:tcPr>
                <w:p w14:paraId="4352046B">
                  <w:pPr>
                    <w:pStyle w:val="49"/>
                    <w:bidi w:val="0"/>
                    <w:rPr>
                      <w:rFonts w:hint="default" w:eastAsia="宋体"/>
                      <w:color w:val="auto"/>
                      <w:highlight w:val="none"/>
                      <w:lang w:val="en-US" w:eastAsia="zh-CN"/>
                    </w:rPr>
                  </w:pPr>
                  <w:r>
                    <w:rPr>
                      <w:rFonts w:hint="eastAsia"/>
                      <w:color w:val="auto"/>
                      <w:highlight w:val="none"/>
                      <w:lang w:val="en-US" w:eastAsia="zh-CN"/>
                    </w:rPr>
                    <w:t>19.82</w:t>
                  </w:r>
                </w:p>
              </w:tc>
              <w:tc>
                <w:tcPr>
                  <w:tcW w:w="310" w:type="pct"/>
                  <w:tcBorders>
                    <w:left w:val="single" w:color="auto" w:sz="4" w:space="0"/>
                    <w:right w:val="single" w:color="auto" w:sz="4" w:space="0"/>
                  </w:tcBorders>
                  <w:noWrap w:val="0"/>
                  <w:vAlign w:val="center"/>
                </w:tcPr>
                <w:p w14:paraId="31CA142D">
                  <w:pPr>
                    <w:pStyle w:val="49"/>
                    <w:bidi w:val="0"/>
                    <w:rPr>
                      <w:rFonts w:hint="default"/>
                      <w:color w:val="auto"/>
                      <w:highlight w:val="none"/>
                      <w:lang w:val="en-US" w:eastAsia="zh-CN"/>
                    </w:rPr>
                  </w:pPr>
                  <w:r>
                    <w:rPr>
                      <w:rFonts w:hint="eastAsia"/>
                      <w:color w:val="auto"/>
                      <w:highlight w:val="none"/>
                      <w:lang w:val="en-US" w:eastAsia="zh-CN"/>
                    </w:rPr>
                    <w:t>3.404</w:t>
                  </w:r>
                </w:p>
              </w:tc>
              <w:tc>
                <w:tcPr>
                  <w:tcW w:w="407" w:type="pct"/>
                  <w:tcBorders>
                    <w:left w:val="single" w:color="auto" w:sz="4" w:space="0"/>
                    <w:right w:val="single" w:color="auto" w:sz="4" w:space="0"/>
                  </w:tcBorders>
                  <w:noWrap w:val="0"/>
                  <w:vAlign w:val="center"/>
                </w:tcPr>
                <w:p w14:paraId="41C37C27">
                  <w:pPr>
                    <w:pStyle w:val="49"/>
                    <w:bidi w:val="0"/>
                    <w:rPr>
                      <w:rFonts w:hint="default"/>
                      <w:color w:val="auto"/>
                      <w:highlight w:val="none"/>
                      <w:lang w:val="en-US" w:eastAsia="zh-CN"/>
                    </w:rPr>
                  </w:pPr>
                  <w:r>
                    <w:rPr>
                      <w:rFonts w:hint="eastAsia"/>
                      <w:color w:val="auto"/>
                      <w:highlight w:val="none"/>
                      <w:lang w:val="en-US" w:eastAsia="zh-CN"/>
                    </w:rPr>
                    <w:t>2.372</w:t>
                  </w:r>
                </w:p>
              </w:tc>
              <w:tc>
                <w:tcPr>
                  <w:tcW w:w="690" w:type="pct"/>
                  <w:tcBorders>
                    <w:left w:val="single" w:color="auto" w:sz="4" w:space="0"/>
                    <w:right w:val="single" w:color="auto" w:sz="4" w:space="0"/>
                  </w:tcBorders>
                  <w:noWrap w:val="0"/>
                  <w:vAlign w:val="center"/>
                </w:tcPr>
                <w:p w14:paraId="3726EFD7">
                  <w:pPr>
                    <w:pStyle w:val="49"/>
                    <w:bidi w:val="0"/>
                    <w:rPr>
                      <w:rFonts w:hint="default"/>
                      <w:color w:val="auto"/>
                      <w:highlight w:val="none"/>
                      <w:lang w:val="en-US" w:eastAsia="zh-CN"/>
                    </w:rPr>
                  </w:pPr>
                  <w:r>
                    <w:rPr>
                      <w:rFonts w:hint="eastAsia"/>
                      <w:color w:val="auto"/>
                      <w:highlight w:val="none"/>
                      <w:lang w:val="en-US" w:eastAsia="zh-CN"/>
                    </w:rPr>
                    <w:t>0.3649</w:t>
                  </w:r>
                </w:p>
              </w:tc>
              <w:tc>
                <w:tcPr>
                  <w:tcW w:w="344" w:type="pct"/>
                  <w:tcBorders>
                    <w:left w:val="single" w:color="auto" w:sz="4" w:space="0"/>
                    <w:right w:val="single" w:color="auto" w:sz="4" w:space="0"/>
                  </w:tcBorders>
                  <w:noWrap w:val="0"/>
                  <w:vAlign w:val="center"/>
                </w:tcPr>
                <w:p w14:paraId="3875269C">
                  <w:pPr>
                    <w:pStyle w:val="49"/>
                    <w:bidi w:val="0"/>
                    <w:rPr>
                      <w:rFonts w:hint="default"/>
                      <w:color w:val="auto"/>
                      <w:highlight w:val="none"/>
                      <w:lang w:val="en-US" w:eastAsia="zh-CN"/>
                    </w:rPr>
                  </w:pPr>
                  <w:r>
                    <w:rPr>
                      <w:rFonts w:hint="eastAsia"/>
                      <w:color w:val="auto"/>
                      <w:highlight w:val="none"/>
                      <w:lang w:val="en-US" w:eastAsia="zh-CN"/>
                    </w:rPr>
                    <w:t>0.05</w:t>
                  </w:r>
                </w:p>
              </w:tc>
              <w:tc>
                <w:tcPr>
                  <w:tcW w:w="346" w:type="pct"/>
                  <w:tcBorders>
                    <w:left w:val="single" w:color="auto" w:sz="4" w:space="0"/>
                    <w:right w:val="single" w:color="auto" w:sz="4" w:space="0"/>
                  </w:tcBorders>
                  <w:noWrap w:val="0"/>
                  <w:vAlign w:val="center"/>
                </w:tcPr>
                <w:p w14:paraId="64AA97AD">
                  <w:pPr>
                    <w:pStyle w:val="49"/>
                    <w:bidi w:val="0"/>
                    <w:rPr>
                      <w:rFonts w:hint="default"/>
                      <w:color w:val="auto"/>
                      <w:highlight w:val="none"/>
                      <w:lang w:val="en-US" w:eastAsia="zh-CN"/>
                    </w:rPr>
                  </w:pPr>
                  <w:r>
                    <w:rPr>
                      <w:rFonts w:hint="eastAsia"/>
                      <w:color w:val="auto"/>
                      <w:highlight w:val="none"/>
                      <w:lang w:val="en-US" w:eastAsia="zh-CN"/>
                    </w:rPr>
                    <w:t>0.005</w:t>
                  </w:r>
                </w:p>
              </w:tc>
              <w:tc>
                <w:tcPr>
                  <w:tcW w:w="498" w:type="pct"/>
                  <w:tcBorders>
                    <w:left w:val="single" w:color="auto" w:sz="4" w:space="0"/>
                    <w:right w:val="single" w:color="auto" w:sz="4" w:space="0"/>
                  </w:tcBorders>
                  <w:noWrap w:val="0"/>
                  <w:vAlign w:val="center"/>
                </w:tcPr>
                <w:p w14:paraId="096AD5E0">
                  <w:pPr>
                    <w:pStyle w:val="49"/>
                    <w:bidi w:val="0"/>
                    <w:rPr>
                      <w:rFonts w:hint="default"/>
                      <w:color w:val="auto"/>
                      <w:highlight w:val="none"/>
                      <w:lang w:val="en-US" w:eastAsia="zh-CN"/>
                    </w:rPr>
                  </w:pPr>
                  <w:r>
                    <w:rPr>
                      <w:rFonts w:hint="eastAsia"/>
                      <w:color w:val="auto"/>
                      <w:highlight w:val="none"/>
                      <w:lang w:val="en-US" w:eastAsia="zh-CN"/>
                    </w:rPr>
                    <w:t>1.85</w:t>
                  </w:r>
                </w:p>
              </w:tc>
              <w:tc>
                <w:tcPr>
                  <w:tcW w:w="594" w:type="pct"/>
                  <w:tcBorders>
                    <w:left w:val="single" w:color="auto" w:sz="4" w:space="0"/>
                    <w:right w:val="single" w:color="auto" w:sz="4" w:space="0"/>
                  </w:tcBorders>
                  <w:noWrap w:val="0"/>
                  <w:vAlign w:val="center"/>
                </w:tcPr>
                <w:p w14:paraId="757A04B5">
                  <w:pPr>
                    <w:pStyle w:val="49"/>
                    <w:bidi w:val="0"/>
                    <w:rPr>
                      <w:rFonts w:hint="default" w:eastAsia="宋体"/>
                      <w:color w:val="auto"/>
                      <w:highlight w:val="none"/>
                      <w:lang w:val="en-US" w:eastAsia="zh-CN"/>
                    </w:rPr>
                  </w:pPr>
                  <w:r>
                    <w:rPr>
                      <w:rFonts w:hint="eastAsia"/>
                      <w:color w:val="auto"/>
                      <w:highlight w:val="none"/>
                      <w:lang w:val="en-US" w:eastAsia="zh-CN"/>
                    </w:rPr>
                    <w:t>0.0032</w:t>
                  </w:r>
                </w:p>
              </w:tc>
            </w:tr>
            <w:tr w14:paraId="3663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top w:val="single" w:color="auto" w:sz="4" w:space="0"/>
                    <w:left w:val="single" w:color="auto" w:sz="4" w:space="0"/>
                    <w:bottom w:val="single" w:color="auto" w:sz="4" w:space="0"/>
                    <w:right w:val="single" w:color="auto" w:sz="4" w:space="0"/>
                  </w:tcBorders>
                  <w:noWrap w:val="0"/>
                  <w:vAlign w:val="center"/>
                </w:tcPr>
                <w:p w14:paraId="40D6D8CD">
                  <w:pPr>
                    <w:pStyle w:val="49"/>
                    <w:bidi w:val="0"/>
                    <w:rPr>
                      <w:b/>
                      <w:bCs/>
                      <w:color w:val="auto"/>
                      <w:highlight w:val="none"/>
                    </w:rPr>
                  </w:pPr>
                  <w:r>
                    <w:rPr>
                      <w:b/>
                      <w:bCs/>
                      <w:color w:val="auto"/>
                      <w:highlight w:val="none"/>
                    </w:rPr>
                    <w:t>排放形式</w:t>
                  </w:r>
                </w:p>
              </w:tc>
              <w:tc>
                <w:tcPr>
                  <w:tcW w:w="388" w:type="pct"/>
                  <w:tcBorders>
                    <w:left w:val="single" w:color="auto" w:sz="4" w:space="0"/>
                    <w:right w:val="single" w:color="auto" w:sz="4" w:space="0"/>
                  </w:tcBorders>
                  <w:noWrap w:val="0"/>
                  <w:vAlign w:val="center"/>
                </w:tcPr>
                <w:p w14:paraId="265221B4">
                  <w:pPr>
                    <w:pStyle w:val="49"/>
                    <w:bidi w:val="0"/>
                    <w:rPr>
                      <w:rFonts w:hint="eastAsia" w:eastAsia="宋体"/>
                      <w:color w:val="auto"/>
                      <w:highlight w:val="none"/>
                      <w:lang w:val="en-US" w:eastAsia="zh-CN"/>
                    </w:rPr>
                  </w:pPr>
                  <w:r>
                    <w:rPr>
                      <w:rFonts w:hint="eastAsia"/>
                      <w:color w:val="auto"/>
                      <w:highlight w:val="none"/>
                      <w:lang w:val="en-US" w:eastAsia="zh-CN"/>
                    </w:rPr>
                    <w:t>无组织</w:t>
                  </w:r>
                </w:p>
              </w:tc>
              <w:tc>
                <w:tcPr>
                  <w:tcW w:w="487" w:type="pct"/>
                  <w:tcBorders>
                    <w:left w:val="single" w:color="auto" w:sz="4" w:space="0"/>
                    <w:right w:val="single" w:color="auto" w:sz="4" w:space="0"/>
                  </w:tcBorders>
                  <w:noWrap w:val="0"/>
                  <w:vAlign w:val="center"/>
                </w:tcPr>
                <w:p w14:paraId="163F083C">
                  <w:pPr>
                    <w:pStyle w:val="49"/>
                    <w:bidi w:val="0"/>
                    <w:rPr>
                      <w:color w:val="auto"/>
                      <w:highlight w:val="none"/>
                    </w:rPr>
                  </w:pPr>
                  <w:r>
                    <w:rPr>
                      <w:color w:val="auto"/>
                      <w:highlight w:val="none"/>
                    </w:rPr>
                    <w:t>有组织</w:t>
                  </w:r>
                </w:p>
              </w:tc>
              <w:tc>
                <w:tcPr>
                  <w:tcW w:w="1004" w:type="pct"/>
                  <w:gridSpan w:val="3"/>
                  <w:tcBorders>
                    <w:left w:val="single" w:color="auto" w:sz="4" w:space="0"/>
                    <w:right w:val="single" w:color="auto" w:sz="4" w:space="0"/>
                  </w:tcBorders>
                  <w:noWrap w:val="0"/>
                  <w:vAlign w:val="center"/>
                </w:tcPr>
                <w:p w14:paraId="21B7C28D">
                  <w:pPr>
                    <w:pStyle w:val="49"/>
                    <w:bidi w:val="0"/>
                    <w:rPr>
                      <w:color w:val="auto"/>
                      <w:highlight w:val="none"/>
                    </w:rPr>
                  </w:pPr>
                  <w:r>
                    <w:rPr>
                      <w:color w:val="auto"/>
                      <w:highlight w:val="none"/>
                    </w:rPr>
                    <w:t>有组织</w:t>
                  </w:r>
                </w:p>
              </w:tc>
              <w:tc>
                <w:tcPr>
                  <w:tcW w:w="690" w:type="pct"/>
                  <w:tcBorders>
                    <w:left w:val="single" w:color="auto" w:sz="4" w:space="0"/>
                    <w:right w:val="single" w:color="auto" w:sz="4" w:space="0"/>
                  </w:tcBorders>
                  <w:noWrap w:val="0"/>
                  <w:vAlign w:val="center"/>
                </w:tcPr>
                <w:p w14:paraId="48FA136B">
                  <w:pPr>
                    <w:pStyle w:val="49"/>
                    <w:bidi w:val="0"/>
                    <w:rPr>
                      <w:rFonts w:hint="eastAsia"/>
                      <w:color w:val="auto"/>
                      <w:highlight w:val="none"/>
                      <w:lang w:val="en-US" w:eastAsia="zh-CN"/>
                    </w:rPr>
                  </w:pPr>
                  <w:r>
                    <w:rPr>
                      <w:rFonts w:hint="eastAsia"/>
                      <w:color w:val="auto"/>
                      <w:highlight w:val="none"/>
                      <w:lang w:val="en-US" w:eastAsia="zh-CN"/>
                    </w:rPr>
                    <w:t>无组织</w:t>
                  </w:r>
                </w:p>
              </w:tc>
              <w:tc>
                <w:tcPr>
                  <w:tcW w:w="690" w:type="pct"/>
                  <w:gridSpan w:val="2"/>
                  <w:tcBorders>
                    <w:left w:val="single" w:color="auto" w:sz="4" w:space="0"/>
                    <w:right w:val="single" w:color="auto" w:sz="4" w:space="0"/>
                  </w:tcBorders>
                  <w:noWrap w:val="0"/>
                  <w:vAlign w:val="center"/>
                </w:tcPr>
                <w:p w14:paraId="56913308">
                  <w:pPr>
                    <w:pStyle w:val="49"/>
                    <w:bidi w:val="0"/>
                    <w:rPr>
                      <w:rFonts w:hint="default"/>
                      <w:color w:val="auto"/>
                      <w:highlight w:val="none"/>
                      <w:lang w:val="en-US" w:eastAsia="zh-CN"/>
                    </w:rPr>
                  </w:pPr>
                  <w:r>
                    <w:rPr>
                      <w:rFonts w:hint="eastAsia"/>
                      <w:color w:val="auto"/>
                      <w:highlight w:val="none"/>
                      <w:lang w:val="en-US" w:eastAsia="zh-CN"/>
                    </w:rPr>
                    <w:t>有组织</w:t>
                  </w:r>
                </w:p>
              </w:tc>
              <w:tc>
                <w:tcPr>
                  <w:tcW w:w="498" w:type="pct"/>
                  <w:tcBorders>
                    <w:left w:val="single" w:color="auto" w:sz="4" w:space="0"/>
                    <w:right w:val="single" w:color="auto" w:sz="4" w:space="0"/>
                  </w:tcBorders>
                  <w:noWrap w:val="0"/>
                  <w:vAlign w:val="center"/>
                </w:tcPr>
                <w:p w14:paraId="3BE1372F">
                  <w:pPr>
                    <w:pStyle w:val="49"/>
                    <w:bidi w:val="0"/>
                    <w:rPr>
                      <w:rFonts w:hint="default"/>
                      <w:color w:val="auto"/>
                      <w:highlight w:val="none"/>
                      <w:lang w:val="en-US" w:eastAsia="zh-CN"/>
                    </w:rPr>
                  </w:pPr>
                  <w:r>
                    <w:rPr>
                      <w:rFonts w:hint="eastAsia"/>
                      <w:color w:val="auto"/>
                      <w:highlight w:val="none"/>
                      <w:lang w:val="en-US" w:eastAsia="zh-CN"/>
                    </w:rPr>
                    <w:t>有组织</w:t>
                  </w:r>
                </w:p>
              </w:tc>
              <w:tc>
                <w:tcPr>
                  <w:tcW w:w="594" w:type="pct"/>
                  <w:tcBorders>
                    <w:left w:val="single" w:color="auto" w:sz="4" w:space="0"/>
                    <w:right w:val="single" w:color="auto" w:sz="4" w:space="0"/>
                  </w:tcBorders>
                  <w:noWrap w:val="0"/>
                  <w:vAlign w:val="center"/>
                </w:tcPr>
                <w:p w14:paraId="54945131">
                  <w:pPr>
                    <w:pStyle w:val="49"/>
                    <w:bidi w:val="0"/>
                    <w:rPr>
                      <w:rFonts w:hint="default" w:eastAsia="宋体"/>
                      <w:color w:val="auto"/>
                      <w:highlight w:val="none"/>
                      <w:lang w:val="en-US" w:eastAsia="zh-CN"/>
                    </w:rPr>
                  </w:pPr>
                  <w:r>
                    <w:rPr>
                      <w:rFonts w:hint="eastAsia"/>
                      <w:color w:val="auto"/>
                      <w:highlight w:val="none"/>
                      <w:lang w:val="en-US" w:eastAsia="zh-CN"/>
                    </w:rPr>
                    <w:t>无组织</w:t>
                  </w:r>
                </w:p>
              </w:tc>
            </w:tr>
            <w:tr w14:paraId="0B47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8" w:type="pct"/>
                  <w:vMerge w:val="restart"/>
                  <w:tcBorders>
                    <w:top w:val="single" w:color="auto" w:sz="4" w:space="0"/>
                    <w:left w:val="single" w:color="auto" w:sz="4" w:space="0"/>
                    <w:right w:val="single" w:color="auto" w:sz="4" w:space="0"/>
                  </w:tcBorders>
                  <w:noWrap w:val="0"/>
                  <w:vAlign w:val="center"/>
                </w:tcPr>
                <w:p w14:paraId="7235A327">
                  <w:pPr>
                    <w:pStyle w:val="49"/>
                    <w:bidi w:val="0"/>
                    <w:rPr>
                      <w:b/>
                      <w:bCs/>
                      <w:color w:val="auto"/>
                      <w:highlight w:val="none"/>
                    </w:rPr>
                  </w:pPr>
                  <w:r>
                    <w:rPr>
                      <w:b/>
                      <w:bCs/>
                      <w:color w:val="auto"/>
                      <w:highlight w:val="none"/>
                    </w:rPr>
                    <w:t>治理</w:t>
                  </w:r>
                </w:p>
                <w:p w14:paraId="3EACE970">
                  <w:pPr>
                    <w:pStyle w:val="49"/>
                    <w:bidi w:val="0"/>
                    <w:rPr>
                      <w:b/>
                      <w:bCs/>
                      <w:color w:val="auto"/>
                      <w:highlight w:val="none"/>
                    </w:rPr>
                  </w:pPr>
                  <w:r>
                    <w:rPr>
                      <w:b/>
                      <w:bCs/>
                      <w:color w:val="auto"/>
                      <w:highlight w:val="none"/>
                    </w:rPr>
                    <w:t>设施</w:t>
                  </w:r>
                </w:p>
              </w:tc>
              <w:tc>
                <w:tcPr>
                  <w:tcW w:w="478" w:type="pct"/>
                  <w:tcBorders>
                    <w:top w:val="single" w:color="auto" w:sz="4" w:space="0"/>
                    <w:left w:val="single" w:color="auto" w:sz="4" w:space="0"/>
                    <w:right w:val="single" w:color="auto" w:sz="4" w:space="0"/>
                  </w:tcBorders>
                  <w:noWrap w:val="0"/>
                  <w:vAlign w:val="center"/>
                </w:tcPr>
                <w:p w14:paraId="1F4D276E">
                  <w:pPr>
                    <w:pStyle w:val="49"/>
                    <w:bidi w:val="0"/>
                    <w:rPr>
                      <w:b/>
                      <w:bCs/>
                      <w:color w:val="auto"/>
                      <w:highlight w:val="none"/>
                    </w:rPr>
                  </w:pPr>
                  <w:r>
                    <w:rPr>
                      <w:b/>
                      <w:bCs/>
                      <w:color w:val="auto"/>
                      <w:highlight w:val="none"/>
                    </w:rPr>
                    <w:t>名称</w:t>
                  </w:r>
                </w:p>
              </w:tc>
              <w:tc>
                <w:tcPr>
                  <w:tcW w:w="388" w:type="pct"/>
                  <w:tcBorders>
                    <w:left w:val="single" w:color="auto" w:sz="4" w:space="0"/>
                    <w:right w:val="single" w:color="auto" w:sz="4" w:space="0"/>
                  </w:tcBorders>
                  <w:noWrap w:val="0"/>
                  <w:vAlign w:val="center"/>
                </w:tcPr>
                <w:p w14:paraId="7CCF401E">
                  <w:pPr>
                    <w:pStyle w:val="49"/>
                    <w:bidi w:val="0"/>
                    <w:rPr>
                      <w:rFonts w:hint="default" w:eastAsia="宋体"/>
                      <w:color w:val="auto"/>
                      <w:highlight w:val="none"/>
                      <w:lang w:val="en-US" w:eastAsia="zh-CN"/>
                    </w:rPr>
                  </w:pPr>
                  <w:r>
                    <w:rPr>
                      <w:rFonts w:hint="eastAsia"/>
                      <w:color w:val="auto"/>
                      <w:highlight w:val="none"/>
                      <w:lang w:val="en-US" w:eastAsia="zh-CN"/>
                    </w:rPr>
                    <w:t>自然沉降+喷雾抑尘</w:t>
                  </w:r>
                </w:p>
              </w:tc>
              <w:tc>
                <w:tcPr>
                  <w:tcW w:w="1492" w:type="pct"/>
                  <w:gridSpan w:val="4"/>
                  <w:tcBorders>
                    <w:left w:val="single" w:color="auto" w:sz="4" w:space="0"/>
                    <w:right w:val="single" w:color="auto" w:sz="4" w:space="0"/>
                  </w:tcBorders>
                  <w:noWrap w:val="0"/>
                  <w:vAlign w:val="center"/>
                </w:tcPr>
                <w:p w14:paraId="738754D7">
                  <w:pPr>
                    <w:pStyle w:val="49"/>
                    <w:bidi w:val="0"/>
                    <w:rPr>
                      <w:color w:val="auto"/>
                      <w:highlight w:val="none"/>
                    </w:rPr>
                  </w:pPr>
                  <w:r>
                    <w:rPr>
                      <w:rFonts w:hint="eastAsia"/>
                      <w:color w:val="auto"/>
                      <w:highlight w:val="none"/>
                      <w:lang w:val="en-US" w:eastAsia="zh-CN"/>
                    </w:rPr>
                    <w:t>袋式除尘器+15m高排气筒（DA001）</w:t>
                  </w:r>
                </w:p>
              </w:tc>
              <w:tc>
                <w:tcPr>
                  <w:tcW w:w="690" w:type="pct"/>
                  <w:tcBorders>
                    <w:left w:val="single" w:color="auto" w:sz="4" w:space="0"/>
                    <w:right w:val="single" w:color="auto" w:sz="4" w:space="0"/>
                  </w:tcBorders>
                  <w:noWrap w:val="0"/>
                  <w:vAlign w:val="center"/>
                </w:tcPr>
                <w:p w14:paraId="31B592CD">
                  <w:pPr>
                    <w:pStyle w:val="49"/>
                    <w:bidi w:val="0"/>
                    <w:rPr>
                      <w:rFonts w:hint="default"/>
                      <w:color w:val="auto"/>
                      <w:highlight w:val="none"/>
                      <w:lang w:val="en-US" w:eastAsia="zh-CN"/>
                    </w:rPr>
                  </w:pPr>
                  <w:r>
                    <w:rPr>
                      <w:rFonts w:hint="eastAsia"/>
                      <w:color w:val="auto"/>
                      <w:highlight w:val="none"/>
                      <w:lang w:val="en-US" w:eastAsia="zh-CN"/>
                    </w:rPr>
                    <w:t>/</w:t>
                  </w:r>
                </w:p>
              </w:tc>
              <w:tc>
                <w:tcPr>
                  <w:tcW w:w="690" w:type="pct"/>
                  <w:gridSpan w:val="2"/>
                  <w:tcBorders>
                    <w:left w:val="single" w:color="auto" w:sz="4" w:space="0"/>
                    <w:right w:val="single" w:color="auto" w:sz="4" w:space="0"/>
                  </w:tcBorders>
                  <w:noWrap w:val="0"/>
                  <w:vAlign w:val="center"/>
                </w:tcPr>
                <w:p w14:paraId="21E8B7EF">
                  <w:pPr>
                    <w:pStyle w:val="49"/>
                    <w:bidi w:val="0"/>
                    <w:rPr>
                      <w:rFonts w:hint="default" w:eastAsia="宋体"/>
                      <w:color w:val="auto"/>
                      <w:highlight w:val="none"/>
                      <w:lang w:val="en-US" w:eastAsia="zh-CN"/>
                    </w:rPr>
                  </w:pPr>
                  <w:r>
                    <w:rPr>
                      <w:rFonts w:hint="eastAsia"/>
                      <w:color w:val="auto"/>
                      <w:highlight w:val="none"/>
                      <w:lang w:val="en-US" w:eastAsia="zh-CN"/>
                    </w:rPr>
                    <w:t>生物除臭+15m高排气筒（DA003）</w:t>
                  </w:r>
                </w:p>
              </w:tc>
              <w:tc>
                <w:tcPr>
                  <w:tcW w:w="498" w:type="pct"/>
                  <w:tcBorders>
                    <w:left w:val="single" w:color="auto" w:sz="4" w:space="0"/>
                    <w:right w:val="single" w:color="auto" w:sz="4" w:space="0"/>
                  </w:tcBorders>
                  <w:noWrap w:val="0"/>
                  <w:vAlign w:val="center"/>
                </w:tcPr>
                <w:p w14:paraId="638204E9">
                  <w:pPr>
                    <w:pStyle w:val="49"/>
                    <w:bidi w:val="0"/>
                    <w:ind w:left="0" w:leftChars="0" w:firstLine="0" w:firstLineChars="0"/>
                    <w:rPr>
                      <w:rFonts w:hint="eastAsia"/>
                      <w:color w:val="auto"/>
                      <w:highlight w:val="none"/>
                    </w:rPr>
                  </w:pPr>
                  <w:r>
                    <w:rPr>
                      <w:rFonts w:hint="eastAsia"/>
                      <w:color w:val="auto"/>
                      <w:highlight w:val="none"/>
                      <w:lang w:val="en-US" w:eastAsia="zh-CN"/>
                    </w:rPr>
                    <w:t>袋式除尘器+15m高排气筒（DA002）</w:t>
                  </w:r>
                </w:p>
              </w:tc>
              <w:tc>
                <w:tcPr>
                  <w:tcW w:w="594" w:type="pct"/>
                  <w:tcBorders>
                    <w:left w:val="single" w:color="auto" w:sz="4" w:space="0"/>
                    <w:right w:val="single" w:color="auto" w:sz="4" w:space="0"/>
                  </w:tcBorders>
                  <w:noWrap w:val="0"/>
                  <w:vAlign w:val="center"/>
                </w:tcPr>
                <w:p w14:paraId="43E4CD52">
                  <w:pPr>
                    <w:pStyle w:val="49"/>
                    <w:bidi w:val="0"/>
                    <w:rPr>
                      <w:color w:val="auto"/>
                      <w:highlight w:val="none"/>
                    </w:rPr>
                  </w:pPr>
                  <w:r>
                    <w:rPr>
                      <w:rFonts w:hint="eastAsia"/>
                      <w:color w:val="auto"/>
                      <w:highlight w:val="none"/>
                    </w:rPr>
                    <w:t>油烟净化</w:t>
                  </w:r>
                  <w:r>
                    <w:rPr>
                      <w:rFonts w:hint="eastAsia"/>
                      <w:color w:val="auto"/>
                      <w:highlight w:val="none"/>
                      <w:lang w:val="en-US" w:eastAsia="zh-CN"/>
                    </w:rPr>
                    <w:t>装置</w:t>
                  </w:r>
                </w:p>
              </w:tc>
            </w:tr>
            <w:tr w14:paraId="408C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8" w:type="pct"/>
                  <w:vMerge w:val="continue"/>
                  <w:tcBorders>
                    <w:left w:val="single" w:color="auto" w:sz="4" w:space="0"/>
                    <w:right w:val="single" w:color="auto" w:sz="4" w:space="0"/>
                  </w:tcBorders>
                  <w:noWrap w:val="0"/>
                  <w:vAlign w:val="center"/>
                </w:tcPr>
                <w:p w14:paraId="11E1EA2A">
                  <w:pPr>
                    <w:pStyle w:val="49"/>
                    <w:bidi w:val="0"/>
                    <w:rPr>
                      <w:b/>
                      <w:bCs/>
                      <w:color w:val="auto"/>
                      <w:highlight w:val="none"/>
                    </w:rPr>
                  </w:pPr>
                </w:p>
              </w:tc>
              <w:tc>
                <w:tcPr>
                  <w:tcW w:w="478" w:type="pct"/>
                  <w:tcBorders>
                    <w:left w:val="single" w:color="auto" w:sz="4" w:space="0"/>
                    <w:right w:val="single" w:color="auto" w:sz="4" w:space="0"/>
                  </w:tcBorders>
                  <w:noWrap w:val="0"/>
                  <w:vAlign w:val="center"/>
                </w:tcPr>
                <w:p w14:paraId="18D149C6">
                  <w:pPr>
                    <w:pStyle w:val="49"/>
                    <w:bidi w:val="0"/>
                    <w:rPr>
                      <w:b/>
                      <w:bCs/>
                      <w:color w:val="auto"/>
                      <w:highlight w:val="none"/>
                    </w:rPr>
                  </w:pPr>
                  <w:r>
                    <w:rPr>
                      <w:b/>
                      <w:bCs/>
                      <w:color w:val="auto"/>
                      <w:highlight w:val="none"/>
                    </w:rPr>
                    <w:t>处理能力（m</w:t>
                  </w:r>
                  <w:r>
                    <w:rPr>
                      <w:b/>
                      <w:bCs/>
                      <w:color w:val="auto"/>
                      <w:highlight w:val="none"/>
                      <w:vertAlign w:val="superscript"/>
                    </w:rPr>
                    <w:t>3</w:t>
                  </w:r>
                  <w:r>
                    <w:rPr>
                      <w:b/>
                      <w:bCs/>
                      <w:color w:val="auto"/>
                      <w:highlight w:val="none"/>
                    </w:rPr>
                    <w:t>/h）</w:t>
                  </w:r>
                </w:p>
              </w:tc>
              <w:tc>
                <w:tcPr>
                  <w:tcW w:w="388" w:type="pct"/>
                  <w:tcBorders>
                    <w:left w:val="single" w:color="auto" w:sz="4" w:space="0"/>
                    <w:right w:val="single" w:color="auto" w:sz="4" w:space="0"/>
                  </w:tcBorders>
                  <w:noWrap w:val="0"/>
                  <w:vAlign w:val="center"/>
                </w:tcPr>
                <w:p w14:paraId="56E4D502">
                  <w:pPr>
                    <w:pStyle w:val="49"/>
                    <w:bidi w:val="0"/>
                    <w:rPr>
                      <w:rFonts w:hint="eastAsia" w:eastAsia="宋体"/>
                      <w:color w:val="auto"/>
                      <w:highlight w:val="none"/>
                      <w:lang w:val="en-US" w:eastAsia="zh-CN"/>
                    </w:rPr>
                  </w:pPr>
                  <w:r>
                    <w:rPr>
                      <w:rFonts w:hint="eastAsia"/>
                      <w:color w:val="auto"/>
                      <w:highlight w:val="none"/>
                      <w:lang w:val="en-US" w:eastAsia="zh-CN"/>
                    </w:rPr>
                    <w:t>/</w:t>
                  </w:r>
                </w:p>
              </w:tc>
              <w:tc>
                <w:tcPr>
                  <w:tcW w:w="487" w:type="pct"/>
                  <w:tcBorders>
                    <w:left w:val="single" w:color="auto" w:sz="4" w:space="0"/>
                    <w:right w:val="single" w:color="auto" w:sz="4" w:space="0"/>
                  </w:tcBorders>
                  <w:noWrap w:val="0"/>
                  <w:vAlign w:val="center"/>
                </w:tcPr>
                <w:p w14:paraId="40DE4F24">
                  <w:pPr>
                    <w:pStyle w:val="49"/>
                    <w:bidi w:val="0"/>
                    <w:rPr>
                      <w:rFonts w:hint="default" w:eastAsia="宋体"/>
                      <w:color w:val="auto"/>
                      <w:highlight w:val="none"/>
                      <w:lang w:val="en-US" w:eastAsia="zh-CN"/>
                    </w:rPr>
                  </w:pPr>
                  <w:r>
                    <w:rPr>
                      <w:rFonts w:hint="eastAsia"/>
                      <w:color w:val="auto"/>
                      <w:highlight w:val="none"/>
                      <w:lang w:val="en-US" w:eastAsia="zh-CN"/>
                    </w:rPr>
                    <w:t>5000</w:t>
                  </w:r>
                </w:p>
              </w:tc>
              <w:tc>
                <w:tcPr>
                  <w:tcW w:w="1004" w:type="pct"/>
                  <w:gridSpan w:val="3"/>
                  <w:tcBorders>
                    <w:left w:val="single" w:color="auto" w:sz="4" w:space="0"/>
                    <w:right w:val="single" w:color="auto" w:sz="4" w:space="0"/>
                  </w:tcBorders>
                  <w:noWrap w:val="0"/>
                  <w:vAlign w:val="center"/>
                </w:tcPr>
                <w:p w14:paraId="0B352162">
                  <w:pPr>
                    <w:pStyle w:val="49"/>
                    <w:bidi w:val="0"/>
                    <w:rPr>
                      <w:rFonts w:hint="eastAsia"/>
                      <w:color w:val="auto"/>
                      <w:highlight w:val="none"/>
                      <w:lang w:val="en-US" w:eastAsia="zh-CN"/>
                    </w:rPr>
                  </w:pPr>
                  <w:r>
                    <w:rPr>
                      <w:rFonts w:hint="eastAsia"/>
                      <w:color w:val="auto"/>
                      <w:highlight w:val="none"/>
                      <w:lang w:val="en-US" w:eastAsia="zh-CN"/>
                    </w:rPr>
                    <w:t>15000</w:t>
                  </w:r>
                </w:p>
              </w:tc>
              <w:tc>
                <w:tcPr>
                  <w:tcW w:w="690" w:type="pct"/>
                  <w:tcBorders>
                    <w:left w:val="single" w:color="auto" w:sz="4" w:space="0"/>
                    <w:right w:val="single" w:color="auto" w:sz="4" w:space="0"/>
                  </w:tcBorders>
                  <w:noWrap w:val="0"/>
                  <w:vAlign w:val="center"/>
                </w:tcPr>
                <w:p w14:paraId="6B810248">
                  <w:pPr>
                    <w:pStyle w:val="49"/>
                    <w:bidi w:val="0"/>
                    <w:rPr>
                      <w:rFonts w:hint="default"/>
                      <w:color w:val="auto"/>
                      <w:highlight w:val="none"/>
                      <w:lang w:val="en-US" w:eastAsia="zh-CN"/>
                    </w:rPr>
                  </w:pPr>
                  <w:r>
                    <w:rPr>
                      <w:rFonts w:hint="eastAsia"/>
                      <w:color w:val="auto"/>
                      <w:highlight w:val="none"/>
                      <w:lang w:val="en-US" w:eastAsia="zh-CN"/>
                    </w:rPr>
                    <w:t>/</w:t>
                  </w:r>
                </w:p>
              </w:tc>
              <w:tc>
                <w:tcPr>
                  <w:tcW w:w="690" w:type="pct"/>
                  <w:gridSpan w:val="2"/>
                  <w:tcBorders>
                    <w:left w:val="single" w:color="auto" w:sz="4" w:space="0"/>
                    <w:right w:val="single" w:color="auto" w:sz="4" w:space="0"/>
                  </w:tcBorders>
                  <w:noWrap w:val="0"/>
                  <w:vAlign w:val="center"/>
                </w:tcPr>
                <w:p w14:paraId="713234D2">
                  <w:pPr>
                    <w:pStyle w:val="49"/>
                    <w:bidi w:val="0"/>
                    <w:rPr>
                      <w:rFonts w:hint="default"/>
                      <w:color w:val="auto"/>
                      <w:highlight w:val="none"/>
                      <w:lang w:val="en-US" w:eastAsia="zh-CN"/>
                    </w:rPr>
                  </w:pPr>
                  <w:r>
                    <w:rPr>
                      <w:rFonts w:hint="eastAsia"/>
                      <w:color w:val="auto"/>
                      <w:highlight w:val="none"/>
                      <w:lang w:val="en-US" w:eastAsia="zh-CN"/>
                    </w:rPr>
                    <w:t>/</w:t>
                  </w:r>
                </w:p>
              </w:tc>
              <w:tc>
                <w:tcPr>
                  <w:tcW w:w="498" w:type="pct"/>
                  <w:tcBorders>
                    <w:left w:val="single" w:color="auto" w:sz="4" w:space="0"/>
                    <w:right w:val="single" w:color="auto" w:sz="4" w:space="0"/>
                  </w:tcBorders>
                  <w:noWrap w:val="0"/>
                  <w:vAlign w:val="center"/>
                </w:tcPr>
                <w:p w14:paraId="3AF04248">
                  <w:pPr>
                    <w:pStyle w:val="49"/>
                    <w:bidi w:val="0"/>
                    <w:rPr>
                      <w:rFonts w:hint="default"/>
                      <w:color w:val="auto"/>
                      <w:highlight w:val="none"/>
                      <w:lang w:val="en-US" w:eastAsia="zh-CN"/>
                    </w:rPr>
                  </w:pPr>
                  <w:r>
                    <w:rPr>
                      <w:rFonts w:hint="eastAsia"/>
                      <w:color w:val="auto"/>
                      <w:highlight w:val="none"/>
                      <w:lang w:val="en-US" w:eastAsia="zh-CN"/>
                    </w:rPr>
                    <w:t>3000</w:t>
                  </w:r>
                </w:p>
              </w:tc>
              <w:tc>
                <w:tcPr>
                  <w:tcW w:w="594" w:type="pct"/>
                  <w:tcBorders>
                    <w:left w:val="single" w:color="auto" w:sz="4" w:space="0"/>
                    <w:right w:val="single" w:color="auto" w:sz="4" w:space="0"/>
                  </w:tcBorders>
                  <w:noWrap w:val="0"/>
                  <w:vAlign w:val="center"/>
                </w:tcPr>
                <w:p w14:paraId="4ABCB10B">
                  <w:pPr>
                    <w:pStyle w:val="49"/>
                    <w:bidi w:val="0"/>
                    <w:rPr>
                      <w:rFonts w:hint="default" w:eastAsia="宋体"/>
                      <w:color w:val="auto"/>
                      <w:highlight w:val="none"/>
                      <w:lang w:val="en-US" w:eastAsia="zh-CN"/>
                    </w:rPr>
                  </w:pPr>
                  <w:r>
                    <w:rPr>
                      <w:rFonts w:hint="eastAsia"/>
                      <w:color w:val="auto"/>
                      <w:highlight w:val="none"/>
                      <w:lang w:val="en-US" w:eastAsia="zh-CN"/>
                    </w:rPr>
                    <w:t>800</w:t>
                  </w:r>
                </w:p>
              </w:tc>
            </w:tr>
            <w:tr w14:paraId="745D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 w:type="pct"/>
                  <w:vMerge w:val="continue"/>
                  <w:tcBorders>
                    <w:left w:val="single" w:color="auto" w:sz="4" w:space="0"/>
                    <w:right w:val="single" w:color="auto" w:sz="4" w:space="0"/>
                  </w:tcBorders>
                  <w:noWrap w:val="0"/>
                  <w:vAlign w:val="center"/>
                </w:tcPr>
                <w:p w14:paraId="4023573C">
                  <w:pPr>
                    <w:pStyle w:val="49"/>
                    <w:bidi w:val="0"/>
                    <w:rPr>
                      <w:b/>
                      <w:bCs/>
                      <w:color w:val="auto"/>
                      <w:highlight w:val="none"/>
                    </w:rPr>
                  </w:pPr>
                </w:p>
              </w:tc>
              <w:tc>
                <w:tcPr>
                  <w:tcW w:w="478" w:type="pct"/>
                  <w:tcBorders>
                    <w:left w:val="single" w:color="auto" w:sz="4" w:space="0"/>
                    <w:right w:val="single" w:color="auto" w:sz="4" w:space="0"/>
                  </w:tcBorders>
                  <w:noWrap w:val="0"/>
                  <w:vAlign w:val="center"/>
                </w:tcPr>
                <w:p w14:paraId="7FA9FB00">
                  <w:pPr>
                    <w:pStyle w:val="49"/>
                    <w:bidi w:val="0"/>
                    <w:rPr>
                      <w:b/>
                      <w:bCs/>
                      <w:color w:val="auto"/>
                      <w:highlight w:val="none"/>
                    </w:rPr>
                  </w:pPr>
                  <w:r>
                    <w:rPr>
                      <w:b/>
                      <w:bCs/>
                      <w:color w:val="auto"/>
                      <w:highlight w:val="none"/>
                    </w:rPr>
                    <w:t>收集效率</w:t>
                  </w:r>
                </w:p>
              </w:tc>
              <w:tc>
                <w:tcPr>
                  <w:tcW w:w="388" w:type="pct"/>
                  <w:tcBorders>
                    <w:left w:val="single" w:color="auto" w:sz="4" w:space="0"/>
                    <w:right w:val="single" w:color="auto" w:sz="4" w:space="0"/>
                  </w:tcBorders>
                  <w:noWrap w:val="0"/>
                  <w:vAlign w:val="center"/>
                </w:tcPr>
                <w:p w14:paraId="7B081F2A">
                  <w:pPr>
                    <w:pStyle w:val="49"/>
                    <w:bidi w:val="0"/>
                    <w:rPr>
                      <w:rFonts w:hint="eastAsia" w:eastAsia="宋体"/>
                      <w:color w:val="auto"/>
                      <w:highlight w:val="none"/>
                      <w:lang w:val="en-US" w:eastAsia="zh-CN"/>
                    </w:rPr>
                  </w:pPr>
                  <w:r>
                    <w:rPr>
                      <w:rFonts w:hint="eastAsia"/>
                      <w:color w:val="auto"/>
                      <w:highlight w:val="none"/>
                      <w:lang w:val="en-US" w:eastAsia="zh-CN"/>
                    </w:rPr>
                    <w:t>/</w:t>
                  </w:r>
                </w:p>
              </w:tc>
              <w:tc>
                <w:tcPr>
                  <w:tcW w:w="487" w:type="pct"/>
                  <w:tcBorders>
                    <w:left w:val="single" w:color="auto" w:sz="4" w:space="0"/>
                    <w:right w:val="single" w:color="auto" w:sz="4" w:space="0"/>
                  </w:tcBorders>
                  <w:noWrap w:val="0"/>
                  <w:vAlign w:val="center"/>
                </w:tcPr>
                <w:p w14:paraId="392BC906">
                  <w:pPr>
                    <w:pStyle w:val="49"/>
                    <w:bidi w:val="0"/>
                    <w:rPr>
                      <w:rFonts w:hint="default" w:eastAsia="宋体"/>
                      <w:color w:val="auto"/>
                      <w:highlight w:val="none"/>
                      <w:lang w:val="en-US" w:eastAsia="zh-CN"/>
                    </w:rPr>
                  </w:pPr>
                  <w:r>
                    <w:rPr>
                      <w:rFonts w:hint="eastAsia"/>
                      <w:color w:val="auto"/>
                      <w:highlight w:val="none"/>
                      <w:lang w:val="en-US" w:eastAsia="zh-CN"/>
                    </w:rPr>
                    <w:t>90%</w:t>
                  </w:r>
                </w:p>
              </w:tc>
              <w:tc>
                <w:tcPr>
                  <w:tcW w:w="1004" w:type="pct"/>
                  <w:gridSpan w:val="3"/>
                  <w:tcBorders>
                    <w:left w:val="single" w:color="auto" w:sz="4" w:space="0"/>
                    <w:right w:val="single" w:color="auto" w:sz="4" w:space="0"/>
                  </w:tcBorders>
                  <w:noWrap w:val="0"/>
                  <w:vAlign w:val="center"/>
                </w:tcPr>
                <w:p w14:paraId="6F0C4411">
                  <w:pPr>
                    <w:pStyle w:val="49"/>
                    <w:bidi w:val="0"/>
                    <w:rPr>
                      <w:rFonts w:hint="eastAsia"/>
                      <w:color w:val="auto"/>
                      <w:highlight w:val="none"/>
                      <w:lang w:val="en-US" w:eastAsia="zh-CN"/>
                    </w:rPr>
                  </w:pPr>
                  <w:r>
                    <w:rPr>
                      <w:rFonts w:hint="eastAsia"/>
                      <w:color w:val="auto"/>
                      <w:highlight w:val="none"/>
                      <w:lang w:val="en-US" w:eastAsia="zh-CN"/>
                    </w:rPr>
                    <w:t>100%</w:t>
                  </w:r>
                </w:p>
              </w:tc>
              <w:tc>
                <w:tcPr>
                  <w:tcW w:w="690" w:type="pct"/>
                  <w:tcBorders>
                    <w:left w:val="single" w:color="auto" w:sz="4" w:space="0"/>
                    <w:right w:val="single" w:color="auto" w:sz="4" w:space="0"/>
                  </w:tcBorders>
                  <w:noWrap w:val="0"/>
                  <w:vAlign w:val="center"/>
                </w:tcPr>
                <w:p w14:paraId="56ED7D64">
                  <w:pPr>
                    <w:pStyle w:val="49"/>
                    <w:bidi w:val="0"/>
                    <w:rPr>
                      <w:rFonts w:hint="default"/>
                      <w:color w:val="auto"/>
                      <w:highlight w:val="none"/>
                      <w:lang w:val="en-US" w:eastAsia="zh-CN"/>
                    </w:rPr>
                  </w:pPr>
                  <w:r>
                    <w:rPr>
                      <w:rFonts w:hint="eastAsia"/>
                      <w:color w:val="auto"/>
                      <w:highlight w:val="none"/>
                      <w:lang w:val="en-US" w:eastAsia="zh-CN"/>
                    </w:rPr>
                    <w:t>/</w:t>
                  </w:r>
                </w:p>
              </w:tc>
              <w:tc>
                <w:tcPr>
                  <w:tcW w:w="690" w:type="pct"/>
                  <w:gridSpan w:val="2"/>
                  <w:tcBorders>
                    <w:left w:val="single" w:color="auto" w:sz="4" w:space="0"/>
                    <w:right w:val="single" w:color="auto" w:sz="4" w:space="0"/>
                  </w:tcBorders>
                  <w:noWrap w:val="0"/>
                  <w:vAlign w:val="center"/>
                </w:tcPr>
                <w:p w14:paraId="76F42B2E">
                  <w:pPr>
                    <w:pStyle w:val="49"/>
                    <w:bidi w:val="0"/>
                    <w:rPr>
                      <w:rFonts w:hint="default"/>
                      <w:color w:val="auto"/>
                      <w:highlight w:val="none"/>
                      <w:lang w:val="en-US" w:eastAsia="zh-CN"/>
                    </w:rPr>
                  </w:pPr>
                  <w:r>
                    <w:rPr>
                      <w:rFonts w:hint="eastAsia"/>
                      <w:color w:val="auto"/>
                      <w:highlight w:val="none"/>
                      <w:lang w:val="en-US" w:eastAsia="zh-CN"/>
                    </w:rPr>
                    <w:t>95%</w:t>
                  </w:r>
                </w:p>
              </w:tc>
              <w:tc>
                <w:tcPr>
                  <w:tcW w:w="498" w:type="pct"/>
                  <w:tcBorders>
                    <w:left w:val="single" w:color="auto" w:sz="4" w:space="0"/>
                    <w:right w:val="single" w:color="auto" w:sz="4" w:space="0"/>
                  </w:tcBorders>
                  <w:shd w:val="clear" w:color="auto" w:fill="auto"/>
                  <w:noWrap w:val="0"/>
                  <w:vAlign w:val="center"/>
                </w:tcPr>
                <w:p w14:paraId="7E8D00AA">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90%</w:t>
                  </w:r>
                </w:p>
              </w:tc>
              <w:tc>
                <w:tcPr>
                  <w:tcW w:w="594" w:type="pct"/>
                  <w:tcBorders>
                    <w:left w:val="single" w:color="auto" w:sz="4" w:space="0"/>
                    <w:right w:val="single" w:color="auto" w:sz="4" w:space="0"/>
                  </w:tcBorders>
                  <w:noWrap w:val="0"/>
                  <w:vAlign w:val="center"/>
                </w:tcPr>
                <w:p w14:paraId="60DC6197">
                  <w:pPr>
                    <w:pStyle w:val="49"/>
                    <w:bidi w:val="0"/>
                    <w:rPr>
                      <w:rFonts w:hint="default" w:eastAsia="宋体"/>
                      <w:color w:val="auto"/>
                      <w:highlight w:val="none"/>
                      <w:lang w:val="en-US" w:eastAsia="zh-CN"/>
                    </w:rPr>
                  </w:pPr>
                  <w:r>
                    <w:rPr>
                      <w:rFonts w:hint="eastAsia"/>
                      <w:color w:val="auto"/>
                      <w:highlight w:val="none"/>
                      <w:lang w:val="en-US" w:eastAsia="zh-CN"/>
                    </w:rPr>
                    <w:t>100%</w:t>
                  </w:r>
                </w:p>
              </w:tc>
            </w:tr>
            <w:tr w14:paraId="3C156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8" w:type="pct"/>
                  <w:vMerge w:val="continue"/>
                  <w:tcBorders>
                    <w:left w:val="single" w:color="auto" w:sz="4" w:space="0"/>
                    <w:right w:val="single" w:color="auto" w:sz="4" w:space="0"/>
                  </w:tcBorders>
                  <w:noWrap w:val="0"/>
                  <w:vAlign w:val="center"/>
                </w:tcPr>
                <w:p w14:paraId="3504B251">
                  <w:pPr>
                    <w:pStyle w:val="49"/>
                    <w:bidi w:val="0"/>
                    <w:rPr>
                      <w:b/>
                      <w:bCs/>
                      <w:color w:val="auto"/>
                      <w:highlight w:val="none"/>
                    </w:rPr>
                  </w:pPr>
                </w:p>
              </w:tc>
              <w:tc>
                <w:tcPr>
                  <w:tcW w:w="478" w:type="pct"/>
                  <w:tcBorders>
                    <w:left w:val="single" w:color="auto" w:sz="4" w:space="0"/>
                    <w:right w:val="single" w:color="auto" w:sz="4" w:space="0"/>
                  </w:tcBorders>
                  <w:noWrap w:val="0"/>
                  <w:vAlign w:val="center"/>
                </w:tcPr>
                <w:p w14:paraId="16F11B1F">
                  <w:pPr>
                    <w:pStyle w:val="49"/>
                    <w:bidi w:val="0"/>
                    <w:rPr>
                      <w:b/>
                      <w:bCs/>
                      <w:color w:val="auto"/>
                      <w:highlight w:val="none"/>
                    </w:rPr>
                  </w:pPr>
                  <w:r>
                    <w:rPr>
                      <w:b/>
                      <w:bCs/>
                      <w:color w:val="auto"/>
                      <w:highlight w:val="none"/>
                    </w:rPr>
                    <w:t>去除效率</w:t>
                  </w:r>
                </w:p>
              </w:tc>
              <w:tc>
                <w:tcPr>
                  <w:tcW w:w="388" w:type="pct"/>
                  <w:tcBorders>
                    <w:left w:val="single" w:color="auto" w:sz="4" w:space="0"/>
                    <w:right w:val="single" w:color="auto" w:sz="4" w:space="0"/>
                  </w:tcBorders>
                  <w:noWrap w:val="0"/>
                  <w:vAlign w:val="center"/>
                </w:tcPr>
                <w:p w14:paraId="555DD403">
                  <w:pPr>
                    <w:pStyle w:val="49"/>
                    <w:bidi w:val="0"/>
                    <w:rPr>
                      <w:rFonts w:hint="default" w:eastAsia="宋体"/>
                      <w:color w:val="auto"/>
                      <w:highlight w:val="none"/>
                      <w:lang w:val="en-US" w:eastAsia="zh-CN"/>
                    </w:rPr>
                  </w:pPr>
                  <w:r>
                    <w:rPr>
                      <w:rFonts w:hint="eastAsia"/>
                      <w:color w:val="auto"/>
                      <w:highlight w:val="none"/>
                      <w:lang w:val="en-US" w:eastAsia="zh-CN"/>
                    </w:rPr>
                    <w:t>95%</w:t>
                  </w:r>
                </w:p>
              </w:tc>
              <w:tc>
                <w:tcPr>
                  <w:tcW w:w="487" w:type="pct"/>
                  <w:tcBorders>
                    <w:left w:val="single" w:color="auto" w:sz="4" w:space="0"/>
                    <w:right w:val="single" w:color="auto" w:sz="4" w:space="0"/>
                  </w:tcBorders>
                  <w:noWrap w:val="0"/>
                  <w:vAlign w:val="center"/>
                </w:tcPr>
                <w:p w14:paraId="29451050">
                  <w:pPr>
                    <w:pStyle w:val="49"/>
                    <w:bidi w:val="0"/>
                    <w:rPr>
                      <w:rFonts w:hint="default" w:eastAsia="宋体"/>
                      <w:color w:val="auto"/>
                      <w:highlight w:val="none"/>
                      <w:lang w:val="en-US" w:eastAsia="zh-CN"/>
                    </w:rPr>
                  </w:pPr>
                  <w:r>
                    <w:rPr>
                      <w:rFonts w:hint="eastAsia"/>
                      <w:color w:val="auto"/>
                      <w:highlight w:val="none"/>
                      <w:lang w:val="en-US" w:eastAsia="zh-CN"/>
                    </w:rPr>
                    <w:t>92%</w:t>
                  </w:r>
                </w:p>
              </w:tc>
              <w:tc>
                <w:tcPr>
                  <w:tcW w:w="287" w:type="pct"/>
                  <w:tcBorders>
                    <w:left w:val="single" w:color="auto" w:sz="4" w:space="0"/>
                    <w:right w:val="single" w:color="auto" w:sz="4" w:space="0"/>
                  </w:tcBorders>
                  <w:noWrap w:val="0"/>
                  <w:vAlign w:val="center"/>
                </w:tcPr>
                <w:p w14:paraId="10AAAFFC">
                  <w:pPr>
                    <w:pStyle w:val="49"/>
                    <w:bidi w:val="0"/>
                    <w:rPr>
                      <w:rFonts w:hint="default" w:eastAsia="宋体"/>
                      <w:color w:val="auto"/>
                      <w:highlight w:val="none"/>
                      <w:lang w:val="en-US" w:eastAsia="zh-CN"/>
                    </w:rPr>
                  </w:pPr>
                  <w:r>
                    <w:rPr>
                      <w:rFonts w:hint="eastAsia"/>
                      <w:color w:val="auto"/>
                      <w:highlight w:val="none"/>
                      <w:lang w:val="en-US" w:eastAsia="zh-CN"/>
                    </w:rPr>
                    <w:t>92%</w:t>
                  </w:r>
                </w:p>
              </w:tc>
              <w:tc>
                <w:tcPr>
                  <w:tcW w:w="310" w:type="pct"/>
                  <w:tcBorders>
                    <w:left w:val="single" w:color="auto" w:sz="4" w:space="0"/>
                    <w:right w:val="single" w:color="auto" w:sz="4" w:space="0"/>
                  </w:tcBorders>
                  <w:noWrap w:val="0"/>
                  <w:vAlign w:val="center"/>
                </w:tcPr>
                <w:p w14:paraId="7B319C05">
                  <w:pPr>
                    <w:pStyle w:val="49"/>
                    <w:bidi w:val="0"/>
                    <w:rPr>
                      <w:rFonts w:hint="default"/>
                      <w:color w:val="auto"/>
                      <w:highlight w:val="none"/>
                      <w:lang w:val="en-US" w:eastAsia="zh-CN"/>
                    </w:rPr>
                  </w:pPr>
                  <w:r>
                    <w:rPr>
                      <w:rFonts w:hint="eastAsia"/>
                      <w:color w:val="auto"/>
                      <w:highlight w:val="none"/>
                      <w:lang w:val="en-US" w:eastAsia="zh-CN"/>
                    </w:rPr>
                    <w:t>30%</w:t>
                  </w:r>
                </w:p>
              </w:tc>
              <w:tc>
                <w:tcPr>
                  <w:tcW w:w="407" w:type="pct"/>
                  <w:tcBorders>
                    <w:left w:val="single" w:color="auto" w:sz="4" w:space="0"/>
                    <w:right w:val="single" w:color="auto" w:sz="4" w:space="0"/>
                  </w:tcBorders>
                  <w:shd w:val="clear" w:color="auto" w:fill="auto"/>
                  <w:noWrap w:val="0"/>
                  <w:vAlign w:val="center"/>
                </w:tcPr>
                <w:p w14:paraId="48C8313E">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92%</w:t>
                  </w:r>
                </w:p>
              </w:tc>
              <w:tc>
                <w:tcPr>
                  <w:tcW w:w="690" w:type="pct"/>
                  <w:tcBorders>
                    <w:left w:val="single" w:color="auto" w:sz="4" w:space="0"/>
                    <w:right w:val="single" w:color="auto" w:sz="4" w:space="0"/>
                  </w:tcBorders>
                  <w:noWrap w:val="0"/>
                  <w:vAlign w:val="center"/>
                </w:tcPr>
                <w:p w14:paraId="4F80C723">
                  <w:pPr>
                    <w:pStyle w:val="49"/>
                    <w:bidi w:val="0"/>
                    <w:rPr>
                      <w:rFonts w:hint="default"/>
                      <w:color w:val="auto"/>
                      <w:highlight w:val="none"/>
                      <w:lang w:val="en-US" w:eastAsia="zh-CN"/>
                    </w:rPr>
                  </w:pPr>
                  <w:r>
                    <w:rPr>
                      <w:rFonts w:hint="eastAsia"/>
                      <w:color w:val="auto"/>
                      <w:highlight w:val="none"/>
                      <w:lang w:val="en-US" w:eastAsia="zh-CN"/>
                    </w:rPr>
                    <w:t>/</w:t>
                  </w:r>
                </w:p>
              </w:tc>
              <w:tc>
                <w:tcPr>
                  <w:tcW w:w="690" w:type="pct"/>
                  <w:gridSpan w:val="2"/>
                  <w:tcBorders>
                    <w:left w:val="single" w:color="auto" w:sz="4" w:space="0"/>
                    <w:right w:val="single" w:color="auto" w:sz="4" w:space="0"/>
                  </w:tcBorders>
                  <w:noWrap w:val="0"/>
                  <w:vAlign w:val="center"/>
                </w:tcPr>
                <w:p w14:paraId="5914BE6E">
                  <w:pPr>
                    <w:pStyle w:val="49"/>
                    <w:bidi w:val="0"/>
                    <w:rPr>
                      <w:rFonts w:hint="default"/>
                      <w:color w:val="auto"/>
                      <w:highlight w:val="none"/>
                      <w:lang w:val="en-US" w:eastAsia="zh-CN"/>
                    </w:rPr>
                  </w:pPr>
                  <w:r>
                    <w:rPr>
                      <w:rFonts w:hint="eastAsia"/>
                      <w:color w:val="auto"/>
                      <w:highlight w:val="none"/>
                      <w:lang w:val="en-US" w:eastAsia="zh-CN"/>
                    </w:rPr>
                    <w:t>80%</w:t>
                  </w:r>
                </w:p>
              </w:tc>
              <w:tc>
                <w:tcPr>
                  <w:tcW w:w="498" w:type="pct"/>
                  <w:tcBorders>
                    <w:left w:val="single" w:color="auto" w:sz="4" w:space="0"/>
                    <w:right w:val="single" w:color="auto" w:sz="4" w:space="0"/>
                  </w:tcBorders>
                  <w:noWrap w:val="0"/>
                  <w:vAlign w:val="center"/>
                </w:tcPr>
                <w:p w14:paraId="05FE071A">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92%</w:t>
                  </w:r>
                </w:p>
              </w:tc>
              <w:tc>
                <w:tcPr>
                  <w:tcW w:w="594" w:type="pct"/>
                  <w:tcBorders>
                    <w:left w:val="single" w:color="auto" w:sz="4" w:space="0"/>
                    <w:right w:val="single" w:color="auto" w:sz="4" w:space="0"/>
                  </w:tcBorders>
                  <w:noWrap w:val="0"/>
                  <w:vAlign w:val="center"/>
                </w:tcPr>
                <w:p w14:paraId="42132DDE">
                  <w:pPr>
                    <w:pStyle w:val="49"/>
                    <w:bidi w:val="0"/>
                    <w:rPr>
                      <w:rFonts w:hint="default" w:eastAsia="宋体"/>
                      <w:color w:val="auto"/>
                      <w:highlight w:val="none"/>
                      <w:lang w:val="en-US" w:eastAsia="zh-CN"/>
                    </w:rPr>
                  </w:pPr>
                  <w:r>
                    <w:rPr>
                      <w:rFonts w:hint="eastAsia"/>
                      <w:color w:val="auto"/>
                      <w:highlight w:val="none"/>
                      <w:lang w:val="en-US" w:eastAsia="zh-CN"/>
                    </w:rPr>
                    <w:t>60%</w:t>
                  </w:r>
                </w:p>
              </w:tc>
            </w:tr>
            <w:tr w14:paraId="413B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168" w:type="pct"/>
                  <w:vMerge w:val="continue"/>
                  <w:tcBorders>
                    <w:left w:val="single" w:color="auto" w:sz="4" w:space="0"/>
                    <w:right w:val="single" w:color="auto" w:sz="4" w:space="0"/>
                  </w:tcBorders>
                  <w:noWrap w:val="0"/>
                  <w:vAlign w:val="center"/>
                </w:tcPr>
                <w:p w14:paraId="35037820">
                  <w:pPr>
                    <w:pStyle w:val="49"/>
                    <w:bidi w:val="0"/>
                    <w:rPr>
                      <w:b/>
                      <w:bCs/>
                      <w:color w:val="auto"/>
                      <w:highlight w:val="none"/>
                    </w:rPr>
                  </w:pPr>
                </w:p>
              </w:tc>
              <w:tc>
                <w:tcPr>
                  <w:tcW w:w="478" w:type="pct"/>
                  <w:tcBorders>
                    <w:left w:val="single" w:color="auto" w:sz="4" w:space="0"/>
                    <w:right w:val="single" w:color="auto" w:sz="4" w:space="0"/>
                  </w:tcBorders>
                  <w:noWrap w:val="0"/>
                  <w:vAlign w:val="center"/>
                </w:tcPr>
                <w:p w14:paraId="59318640">
                  <w:pPr>
                    <w:pStyle w:val="49"/>
                    <w:bidi w:val="0"/>
                    <w:rPr>
                      <w:b/>
                      <w:bCs/>
                      <w:color w:val="auto"/>
                      <w:highlight w:val="none"/>
                    </w:rPr>
                  </w:pPr>
                  <w:r>
                    <w:rPr>
                      <w:b/>
                      <w:bCs/>
                      <w:color w:val="auto"/>
                      <w:highlight w:val="none"/>
                    </w:rPr>
                    <w:t>是否可行</w:t>
                  </w:r>
                </w:p>
              </w:tc>
              <w:tc>
                <w:tcPr>
                  <w:tcW w:w="388" w:type="pct"/>
                  <w:tcBorders>
                    <w:left w:val="single" w:color="auto" w:sz="4" w:space="0"/>
                    <w:right w:val="single" w:color="auto" w:sz="4" w:space="0"/>
                  </w:tcBorders>
                  <w:noWrap w:val="0"/>
                  <w:vAlign w:val="center"/>
                </w:tcPr>
                <w:p w14:paraId="35C49950">
                  <w:pPr>
                    <w:pStyle w:val="49"/>
                    <w:bidi w:val="0"/>
                    <w:rPr>
                      <w:rFonts w:hint="eastAsia" w:eastAsia="宋体"/>
                      <w:color w:val="auto"/>
                      <w:highlight w:val="none"/>
                      <w:lang w:val="en-US" w:eastAsia="zh-CN"/>
                    </w:rPr>
                  </w:pPr>
                  <w:r>
                    <w:rPr>
                      <w:rFonts w:hint="eastAsia"/>
                      <w:color w:val="auto"/>
                      <w:highlight w:val="none"/>
                      <w:lang w:val="en-US" w:eastAsia="zh-CN"/>
                    </w:rPr>
                    <w:t>是</w:t>
                  </w:r>
                </w:p>
              </w:tc>
              <w:tc>
                <w:tcPr>
                  <w:tcW w:w="487" w:type="pct"/>
                  <w:tcBorders>
                    <w:left w:val="single" w:color="auto" w:sz="4" w:space="0"/>
                    <w:right w:val="single" w:color="auto" w:sz="4" w:space="0"/>
                  </w:tcBorders>
                  <w:noWrap w:val="0"/>
                  <w:vAlign w:val="center"/>
                </w:tcPr>
                <w:p w14:paraId="6C6D5541">
                  <w:pPr>
                    <w:pStyle w:val="49"/>
                    <w:bidi w:val="0"/>
                    <w:rPr>
                      <w:color w:val="auto"/>
                      <w:highlight w:val="none"/>
                    </w:rPr>
                  </w:pPr>
                  <w:r>
                    <w:rPr>
                      <w:rFonts w:hint="eastAsia"/>
                      <w:color w:val="auto"/>
                      <w:highlight w:val="none"/>
                      <w:lang w:val="en-US" w:eastAsia="zh-CN"/>
                    </w:rPr>
                    <w:t>是</w:t>
                  </w:r>
                </w:p>
              </w:tc>
              <w:tc>
                <w:tcPr>
                  <w:tcW w:w="287" w:type="pct"/>
                  <w:tcBorders>
                    <w:left w:val="single" w:color="auto" w:sz="4" w:space="0"/>
                    <w:right w:val="single" w:color="auto" w:sz="4" w:space="0"/>
                  </w:tcBorders>
                  <w:noWrap w:val="0"/>
                  <w:vAlign w:val="center"/>
                </w:tcPr>
                <w:p w14:paraId="0B18C94A">
                  <w:pPr>
                    <w:pStyle w:val="49"/>
                    <w:bidi w:val="0"/>
                    <w:rPr>
                      <w:color w:val="auto"/>
                      <w:highlight w:val="none"/>
                    </w:rPr>
                  </w:pPr>
                  <w:r>
                    <w:rPr>
                      <w:rFonts w:hint="eastAsia"/>
                      <w:color w:val="auto"/>
                      <w:highlight w:val="none"/>
                      <w:lang w:val="en-US" w:eastAsia="zh-CN"/>
                    </w:rPr>
                    <w:t>是</w:t>
                  </w:r>
                </w:p>
              </w:tc>
              <w:tc>
                <w:tcPr>
                  <w:tcW w:w="310" w:type="pct"/>
                  <w:tcBorders>
                    <w:left w:val="single" w:color="auto" w:sz="4" w:space="0"/>
                    <w:right w:val="single" w:color="auto" w:sz="4" w:space="0"/>
                  </w:tcBorders>
                  <w:noWrap w:val="0"/>
                  <w:vAlign w:val="center"/>
                </w:tcPr>
                <w:p w14:paraId="33273E2B">
                  <w:pPr>
                    <w:bidi w:val="0"/>
                    <w:jc w:val="center"/>
                    <w:rPr>
                      <w:rFonts w:hint="eastAsia"/>
                      <w:color w:val="auto"/>
                      <w:highlight w:val="none"/>
                      <w:lang w:val="en-US" w:eastAsia="zh-CN"/>
                    </w:rPr>
                  </w:pPr>
                  <w:r>
                    <w:rPr>
                      <w:rFonts w:hint="eastAsia"/>
                      <w:color w:val="auto"/>
                      <w:highlight w:val="none"/>
                      <w:lang w:val="en-US" w:eastAsia="zh-CN"/>
                    </w:rPr>
                    <w:t>是</w:t>
                  </w:r>
                </w:p>
              </w:tc>
              <w:tc>
                <w:tcPr>
                  <w:tcW w:w="407" w:type="pct"/>
                  <w:tcBorders>
                    <w:left w:val="single" w:color="auto" w:sz="4" w:space="0"/>
                    <w:right w:val="single" w:color="auto" w:sz="4" w:space="0"/>
                  </w:tcBorders>
                  <w:shd w:val="clear" w:color="auto" w:fill="auto"/>
                  <w:noWrap w:val="0"/>
                  <w:vAlign w:val="center"/>
                </w:tcPr>
                <w:p w14:paraId="6D60536A">
                  <w:pPr>
                    <w:pStyle w:val="49"/>
                    <w:bidi w:val="0"/>
                    <w:ind w:left="0" w:leftChars="0" w:firstLine="0" w:firstLineChars="0"/>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是</w:t>
                  </w:r>
                </w:p>
              </w:tc>
              <w:tc>
                <w:tcPr>
                  <w:tcW w:w="690" w:type="pct"/>
                  <w:tcBorders>
                    <w:left w:val="single" w:color="auto" w:sz="4" w:space="0"/>
                    <w:right w:val="single" w:color="auto" w:sz="4" w:space="0"/>
                  </w:tcBorders>
                  <w:shd w:val="clear" w:color="auto" w:fill="auto"/>
                  <w:noWrap w:val="0"/>
                  <w:vAlign w:val="center"/>
                </w:tcPr>
                <w:p w14:paraId="1F942B7A">
                  <w:pPr>
                    <w:bidi w:val="0"/>
                    <w:jc w:val="center"/>
                    <w:rPr>
                      <w:rFonts w:hint="default"/>
                      <w:color w:val="auto"/>
                      <w:highlight w:val="none"/>
                      <w:lang w:val="en-US" w:eastAsia="zh-CN"/>
                    </w:rPr>
                  </w:pPr>
                  <w:r>
                    <w:rPr>
                      <w:rFonts w:hint="eastAsia"/>
                      <w:color w:val="auto"/>
                      <w:highlight w:val="none"/>
                      <w:lang w:val="en-US" w:eastAsia="zh-CN"/>
                    </w:rPr>
                    <w:t>/</w:t>
                  </w:r>
                </w:p>
              </w:tc>
              <w:tc>
                <w:tcPr>
                  <w:tcW w:w="344" w:type="pct"/>
                  <w:tcBorders>
                    <w:left w:val="single" w:color="auto" w:sz="4" w:space="0"/>
                    <w:right w:val="single" w:color="auto" w:sz="4" w:space="0"/>
                  </w:tcBorders>
                  <w:shd w:val="clear" w:color="auto" w:fill="auto"/>
                  <w:noWrap w:val="0"/>
                  <w:vAlign w:val="center"/>
                </w:tcPr>
                <w:p w14:paraId="0169A7D7">
                  <w:pPr>
                    <w:bidi w:val="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是</w:t>
                  </w:r>
                </w:p>
              </w:tc>
              <w:tc>
                <w:tcPr>
                  <w:tcW w:w="346" w:type="pct"/>
                  <w:tcBorders>
                    <w:left w:val="single" w:color="auto" w:sz="4" w:space="0"/>
                    <w:right w:val="single" w:color="auto" w:sz="4" w:space="0"/>
                  </w:tcBorders>
                  <w:shd w:val="clear" w:color="auto" w:fill="auto"/>
                  <w:noWrap w:val="0"/>
                  <w:vAlign w:val="center"/>
                </w:tcPr>
                <w:p w14:paraId="08995BFA">
                  <w:pPr>
                    <w:bidi w:val="0"/>
                    <w:jc w:val="center"/>
                    <w:rPr>
                      <w:rFonts w:hint="eastAsia" w:ascii="Times New Roman" w:hAnsi="Times New Roman" w:eastAsia="宋体" w:cs="Times New Roman"/>
                      <w:color w:val="auto"/>
                      <w:kern w:val="2"/>
                      <w:sz w:val="21"/>
                      <w:szCs w:val="24"/>
                      <w:highlight w:val="none"/>
                      <w:lang w:val="en-US" w:eastAsia="zh-CN" w:bidi="ar-SA"/>
                    </w:rPr>
                  </w:pPr>
                  <w:r>
                    <w:rPr>
                      <w:rFonts w:hint="eastAsia"/>
                      <w:color w:val="auto"/>
                      <w:highlight w:val="none"/>
                      <w:lang w:val="en-US" w:eastAsia="zh-CN"/>
                    </w:rPr>
                    <w:t>是</w:t>
                  </w:r>
                </w:p>
              </w:tc>
              <w:tc>
                <w:tcPr>
                  <w:tcW w:w="498" w:type="pct"/>
                  <w:tcBorders>
                    <w:left w:val="single" w:color="auto" w:sz="4" w:space="0"/>
                    <w:right w:val="single" w:color="auto" w:sz="4" w:space="0"/>
                  </w:tcBorders>
                  <w:noWrap w:val="0"/>
                  <w:vAlign w:val="center"/>
                </w:tcPr>
                <w:p w14:paraId="1F652FC2">
                  <w:pPr>
                    <w:pStyle w:val="49"/>
                    <w:bidi w:val="0"/>
                    <w:ind w:left="0" w:leftChars="0" w:firstLine="0" w:firstLineChars="0"/>
                    <w:rPr>
                      <w:rFonts w:hint="eastAsia"/>
                      <w:color w:val="auto"/>
                      <w:highlight w:val="none"/>
                      <w:lang w:val="en-US" w:eastAsia="zh-CN"/>
                    </w:rPr>
                  </w:pPr>
                  <w:r>
                    <w:rPr>
                      <w:rFonts w:hint="eastAsia"/>
                      <w:color w:val="auto"/>
                      <w:highlight w:val="none"/>
                      <w:lang w:val="en-US" w:eastAsia="zh-CN"/>
                    </w:rPr>
                    <w:t>是</w:t>
                  </w:r>
                </w:p>
              </w:tc>
              <w:tc>
                <w:tcPr>
                  <w:tcW w:w="594" w:type="pct"/>
                  <w:tcBorders>
                    <w:left w:val="single" w:color="auto" w:sz="4" w:space="0"/>
                    <w:right w:val="single" w:color="auto" w:sz="4" w:space="0"/>
                  </w:tcBorders>
                  <w:noWrap w:val="0"/>
                  <w:vAlign w:val="center"/>
                </w:tcPr>
                <w:p w14:paraId="06FAB1ED">
                  <w:pPr>
                    <w:pStyle w:val="49"/>
                    <w:bidi w:val="0"/>
                    <w:rPr>
                      <w:color w:val="auto"/>
                      <w:highlight w:val="none"/>
                    </w:rPr>
                  </w:pPr>
                  <w:r>
                    <w:rPr>
                      <w:rFonts w:hint="eastAsia"/>
                      <w:color w:val="auto"/>
                      <w:highlight w:val="none"/>
                      <w:lang w:val="en-US" w:eastAsia="zh-CN"/>
                    </w:rPr>
                    <w:t>是</w:t>
                  </w:r>
                </w:p>
              </w:tc>
            </w:tr>
            <w:tr w14:paraId="79605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left w:val="single" w:color="auto" w:sz="4" w:space="0"/>
                    <w:right w:val="single" w:color="auto" w:sz="4" w:space="0"/>
                  </w:tcBorders>
                  <w:noWrap w:val="0"/>
                  <w:vAlign w:val="center"/>
                </w:tcPr>
                <w:p w14:paraId="3A494847">
                  <w:pPr>
                    <w:pStyle w:val="49"/>
                    <w:bidi w:val="0"/>
                    <w:rPr>
                      <w:b/>
                      <w:bCs/>
                      <w:color w:val="auto"/>
                      <w:highlight w:val="none"/>
                    </w:rPr>
                  </w:pPr>
                  <w:r>
                    <w:rPr>
                      <w:b/>
                      <w:bCs/>
                      <w:color w:val="auto"/>
                      <w:highlight w:val="none"/>
                    </w:rPr>
                    <w:t>污染物排放浓度（mg/m</w:t>
                  </w:r>
                  <w:r>
                    <w:rPr>
                      <w:b/>
                      <w:bCs/>
                      <w:color w:val="auto"/>
                      <w:highlight w:val="none"/>
                      <w:vertAlign w:val="superscript"/>
                    </w:rPr>
                    <w:t>3</w:t>
                  </w:r>
                  <w:r>
                    <w:rPr>
                      <w:b/>
                      <w:bCs/>
                      <w:color w:val="auto"/>
                      <w:highlight w:val="none"/>
                    </w:rPr>
                    <w:t>）</w:t>
                  </w:r>
                </w:p>
              </w:tc>
              <w:tc>
                <w:tcPr>
                  <w:tcW w:w="388" w:type="pct"/>
                  <w:tcBorders>
                    <w:left w:val="single" w:color="auto" w:sz="4" w:space="0"/>
                    <w:right w:val="single" w:color="auto" w:sz="4" w:space="0"/>
                  </w:tcBorders>
                  <w:noWrap w:val="0"/>
                  <w:vAlign w:val="center"/>
                </w:tcPr>
                <w:p w14:paraId="0B5FFF7B">
                  <w:pPr>
                    <w:pStyle w:val="49"/>
                    <w:bidi w:val="0"/>
                    <w:rPr>
                      <w:rFonts w:hint="eastAsia" w:eastAsia="宋体"/>
                      <w:color w:val="auto"/>
                      <w:highlight w:val="none"/>
                      <w:lang w:val="en-US" w:eastAsia="zh-CN"/>
                    </w:rPr>
                  </w:pPr>
                  <w:r>
                    <w:rPr>
                      <w:rFonts w:hint="eastAsia"/>
                      <w:color w:val="auto"/>
                      <w:highlight w:val="none"/>
                      <w:lang w:val="en-US" w:eastAsia="zh-CN"/>
                    </w:rPr>
                    <w:t>/</w:t>
                  </w:r>
                </w:p>
              </w:tc>
              <w:tc>
                <w:tcPr>
                  <w:tcW w:w="487" w:type="pct"/>
                  <w:tcBorders>
                    <w:left w:val="single" w:color="auto" w:sz="4" w:space="0"/>
                    <w:right w:val="single" w:color="auto" w:sz="4" w:space="0"/>
                  </w:tcBorders>
                  <w:noWrap w:val="0"/>
                  <w:vAlign w:val="center"/>
                </w:tcPr>
                <w:p w14:paraId="013521AA">
                  <w:pPr>
                    <w:pStyle w:val="49"/>
                    <w:bidi w:val="0"/>
                    <w:rPr>
                      <w:rFonts w:hint="default" w:eastAsia="宋体"/>
                      <w:color w:val="auto"/>
                      <w:highlight w:val="none"/>
                      <w:lang w:val="en-US" w:eastAsia="zh-CN"/>
                    </w:rPr>
                  </w:pPr>
                  <w:r>
                    <w:rPr>
                      <w:rFonts w:hint="eastAsia"/>
                      <w:color w:val="auto"/>
                      <w:highlight w:val="none"/>
                      <w:lang w:val="en-US" w:eastAsia="zh-CN"/>
                    </w:rPr>
                    <w:t>40</w:t>
                  </w:r>
                </w:p>
              </w:tc>
              <w:tc>
                <w:tcPr>
                  <w:tcW w:w="287" w:type="pct"/>
                  <w:tcBorders>
                    <w:left w:val="single" w:color="auto" w:sz="4" w:space="0"/>
                    <w:right w:val="single" w:color="auto" w:sz="4" w:space="0"/>
                  </w:tcBorders>
                  <w:noWrap w:val="0"/>
                  <w:vAlign w:val="center"/>
                </w:tcPr>
                <w:p w14:paraId="230278DA">
                  <w:pPr>
                    <w:pStyle w:val="49"/>
                    <w:bidi w:val="0"/>
                    <w:rPr>
                      <w:rFonts w:hint="default" w:eastAsia="宋体"/>
                      <w:color w:val="auto"/>
                      <w:highlight w:val="none"/>
                      <w:lang w:val="en-US" w:eastAsia="zh-CN"/>
                    </w:rPr>
                  </w:pPr>
                  <w:r>
                    <w:rPr>
                      <w:rFonts w:hint="eastAsia"/>
                      <w:color w:val="auto"/>
                      <w:highlight w:val="none"/>
                      <w:lang w:val="en-US" w:eastAsia="zh-CN"/>
                    </w:rPr>
                    <w:t>44.05</w:t>
                  </w:r>
                </w:p>
              </w:tc>
              <w:tc>
                <w:tcPr>
                  <w:tcW w:w="310" w:type="pct"/>
                  <w:tcBorders>
                    <w:left w:val="single" w:color="auto" w:sz="4" w:space="0"/>
                    <w:right w:val="single" w:color="auto" w:sz="4" w:space="0"/>
                  </w:tcBorders>
                  <w:noWrap w:val="0"/>
                  <w:vAlign w:val="center"/>
                </w:tcPr>
                <w:p w14:paraId="30E9EDCD">
                  <w:pPr>
                    <w:pStyle w:val="49"/>
                    <w:bidi w:val="0"/>
                    <w:rPr>
                      <w:rFonts w:hint="default"/>
                      <w:color w:val="auto"/>
                      <w:highlight w:val="none"/>
                      <w:lang w:val="en-US" w:eastAsia="zh-CN"/>
                    </w:rPr>
                  </w:pPr>
                  <w:r>
                    <w:rPr>
                      <w:rFonts w:hint="eastAsia"/>
                      <w:color w:val="auto"/>
                      <w:highlight w:val="none"/>
                      <w:lang w:val="en-US" w:eastAsia="zh-CN"/>
                    </w:rPr>
                    <w:t>47.25</w:t>
                  </w:r>
                </w:p>
              </w:tc>
              <w:tc>
                <w:tcPr>
                  <w:tcW w:w="407" w:type="pct"/>
                  <w:tcBorders>
                    <w:left w:val="single" w:color="auto" w:sz="4" w:space="0"/>
                    <w:right w:val="single" w:color="auto" w:sz="4" w:space="0"/>
                  </w:tcBorders>
                  <w:noWrap w:val="0"/>
                  <w:vAlign w:val="center"/>
                </w:tcPr>
                <w:p w14:paraId="11512226">
                  <w:pPr>
                    <w:pStyle w:val="49"/>
                    <w:bidi w:val="0"/>
                    <w:rPr>
                      <w:rFonts w:hint="default"/>
                      <w:color w:val="auto"/>
                      <w:highlight w:val="none"/>
                      <w:lang w:val="en-US" w:eastAsia="zh-CN"/>
                    </w:rPr>
                  </w:pPr>
                  <w:r>
                    <w:rPr>
                      <w:rFonts w:hint="eastAsia"/>
                      <w:color w:val="auto"/>
                      <w:highlight w:val="none"/>
                      <w:lang w:val="en-US" w:eastAsia="zh-CN"/>
                    </w:rPr>
                    <w:t>65.89</w:t>
                  </w:r>
                </w:p>
              </w:tc>
              <w:tc>
                <w:tcPr>
                  <w:tcW w:w="690" w:type="pct"/>
                  <w:tcBorders>
                    <w:left w:val="single" w:color="auto" w:sz="4" w:space="0"/>
                    <w:right w:val="single" w:color="auto" w:sz="4" w:space="0"/>
                  </w:tcBorders>
                  <w:noWrap w:val="0"/>
                  <w:vAlign w:val="center"/>
                </w:tcPr>
                <w:p w14:paraId="6B54D233">
                  <w:pPr>
                    <w:pStyle w:val="49"/>
                    <w:bidi w:val="0"/>
                    <w:rPr>
                      <w:rFonts w:hint="default"/>
                      <w:color w:val="auto"/>
                      <w:highlight w:val="none"/>
                      <w:lang w:val="en-US" w:eastAsia="zh-CN"/>
                    </w:rPr>
                  </w:pPr>
                  <w:r>
                    <w:rPr>
                      <w:rFonts w:hint="eastAsia"/>
                      <w:color w:val="auto"/>
                      <w:highlight w:val="none"/>
                      <w:lang w:val="en-US" w:eastAsia="zh-CN"/>
                    </w:rPr>
                    <w:t>/</w:t>
                  </w:r>
                </w:p>
              </w:tc>
              <w:tc>
                <w:tcPr>
                  <w:tcW w:w="344" w:type="pct"/>
                  <w:tcBorders>
                    <w:left w:val="single" w:color="auto" w:sz="4" w:space="0"/>
                    <w:right w:val="single" w:color="auto" w:sz="4" w:space="0"/>
                  </w:tcBorders>
                  <w:noWrap w:val="0"/>
                  <w:vAlign w:val="center"/>
                </w:tcPr>
                <w:p w14:paraId="24DA6183">
                  <w:pPr>
                    <w:pStyle w:val="49"/>
                    <w:bidi w:val="0"/>
                    <w:rPr>
                      <w:rFonts w:hint="default"/>
                      <w:color w:val="auto"/>
                      <w:highlight w:val="none"/>
                      <w:lang w:val="en-US" w:eastAsia="zh-CN"/>
                    </w:rPr>
                  </w:pPr>
                  <w:r>
                    <w:rPr>
                      <w:rFonts w:hint="eastAsia"/>
                      <w:color w:val="auto"/>
                      <w:highlight w:val="none"/>
                      <w:lang w:val="en-US" w:eastAsia="zh-CN"/>
                    </w:rPr>
                    <w:t>/</w:t>
                  </w:r>
                </w:p>
              </w:tc>
              <w:tc>
                <w:tcPr>
                  <w:tcW w:w="346" w:type="pct"/>
                  <w:tcBorders>
                    <w:left w:val="single" w:color="auto" w:sz="4" w:space="0"/>
                    <w:right w:val="single" w:color="auto" w:sz="4" w:space="0"/>
                  </w:tcBorders>
                  <w:noWrap w:val="0"/>
                  <w:vAlign w:val="center"/>
                </w:tcPr>
                <w:p w14:paraId="166E97D4">
                  <w:pPr>
                    <w:pStyle w:val="49"/>
                    <w:bidi w:val="0"/>
                    <w:rPr>
                      <w:rFonts w:hint="default"/>
                      <w:color w:val="auto"/>
                      <w:highlight w:val="none"/>
                      <w:lang w:val="en-US" w:eastAsia="zh-CN"/>
                    </w:rPr>
                  </w:pPr>
                  <w:r>
                    <w:rPr>
                      <w:rFonts w:hint="eastAsia"/>
                      <w:color w:val="auto"/>
                      <w:highlight w:val="none"/>
                      <w:lang w:val="en-US" w:eastAsia="zh-CN"/>
                    </w:rPr>
                    <w:t>/</w:t>
                  </w:r>
                </w:p>
              </w:tc>
              <w:tc>
                <w:tcPr>
                  <w:tcW w:w="498" w:type="pct"/>
                  <w:tcBorders>
                    <w:left w:val="single" w:color="auto" w:sz="4" w:space="0"/>
                    <w:right w:val="single" w:color="auto" w:sz="4" w:space="0"/>
                  </w:tcBorders>
                  <w:noWrap w:val="0"/>
                  <w:vAlign w:val="center"/>
                </w:tcPr>
                <w:p w14:paraId="1F683767">
                  <w:pPr>
                    <w:pStyle w:val="49"/>
                    <w:bidi w:val="0"/>
                    <w:rPr>
                      <w:rFonts w:hint="default"/>
                      <w:color w:val="auto"/>
                      <w:highlight w:val="none"/>
                      <w:lang w:val="en-US" w:eastAsia="zh-CN"/>
                    </w:rPr>
                  </w:pPr>
                  <w:r>
                    <w:rPr>
                      <w:rFonts w:hint="eastAsia"/>
                      <w:color w:val="auto"/>
                      <w:highlight w:val="none"/>
                      <w:lang w:val="en-US" w:eastAsia="zh-CN"/>
                    </w:rPr>
                    <w:t>6.16</w:t>
                  </w:r>
                </w:p>
              </w:tc>
              <w:tc>
                <w:tcPr>
                  <w:tcW w:w="594" w:type="pct"/>
                  <w:tcBorders>
                    <w:left w:val="single" w:color="auto" w:sz="4" w:space="0"/>
                    <w:right w:val="single" w:color="auto" w:sz="4" w:space="0"/>
                  </w:tcBorders>
                  <w:noWrap w:val="0"/>
                  <w:vAlign w:val="center"/>
                </w:tcPr>
                <w:p w14:paraId="5AF7C63A">
                  <w:pPr>
                    <w:pStyle w:val="49"/>
                    <w:bidi w:val="0"/>
                    <w:rPr>
                      <w:rFonts w:hint="default" w:eastAsia="宋体"/>
                      <w:color w:val="auto"/>
                      <w:highlight w:val="none"/>
                      <w:lang w:val="en-US" w:eastAsia="zh-CN"/>
                    </w:rPr>
                  </w:pPr>
                  <w:r>
                    <w:rPr>
                      <w:rFonts w:hint="eastAsia"/>
                      <w:color w:val="auto"/>
                      <w:highlight w:val="none"/>
                      <w:lang w:val="en-US" w:eastAsia="zh-CN"/>
                    </w:rPr>
                    <w:t>0.9</w:t>
                  </w:r>
                </w:p>
              </w:tc>
            </w:tr>
            <w:tr w14:paraId="30AF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left w:val="single" w:color="auto" w:sz="4" w:space="0"/>
                    <w:right w:val="single" w:color="auto" w:sz="4" w:space="0"/>
                  </w:tcBorders>
                  <w:noWrap w:val="0"/>
                  <w:vAlign w:val="center"/>
                </w:tcPr>
                <w:p w14:paraId="03FAC8E8">
                  <w:pPr>
                    <w:pStyle w:val="49"/>
                    <w:bidi w:val="0"/>
                    <w:rPr>
                      <w:b/>
                      <w:bCs/>
                      <w:color w:val="auto"/>
                      <w:highlight w:val="none"/>
                    </w:rPr>
                  </w:pPr>
                  <w:r>
                    <w:rPr>
                      <w:b/>
                      <w:bCs/>
                      <w:color w:val="auto"/>
                      <w:highlight w:val="none"/>
                    </w:rPr>
                    <w:t>污染物排放</w:t>
                  </w:r>
                  <w:r>
                    <w:rPr>
                      <w:rFonts w:hint="eastAsia"/>
                      <w:b/>
                      <w:bCs/>
                      <w:color w:val="auto"/>
                      <w:highlight w:val="none"/>
                      <w:lang w:val="en-US" w:eastAsia="zh-CN"/>
                    </w:rPr>
                    <w:t>速率</w:t>
                  </w:r>
                  <w:r>
                    <w:rPr>
                      <w:b/>
                      <w:bCs/>
                      <w:color w:val="auto"/>
                      <w:highlight w:val="none"/>
                    </w:rPr>
                    <w:t>（</w:t>
                  </w:r>
                  <w:r>
                    <w:rPr>
                      <w:rFonts w:hint="eastAsia"/>
                      <w:b/>
                      <w:bCs/>
                      <w:color w:val="auto"/>
                      <w:highlight w:val="none"/>
                      <w:lang w:val="en-US" w:eastAsia="zh-CN"/>
                    </w:rPr>
                    <w:t>kg/h</w:t>
                  </w:r>
                  <w:r>
                    <w:rPr>
                      <w:b/>
                      <w:bCs/>
                      <w:color w:val="auto"/>
                      <w:highlight w:val="none"/>
                    </w:rPr>
                    <w:t>）</w:t>
                  </w:r>
                </w:p>
              </w:tc>
              <w:tc>
                <w:tcPr>
                  <w:tcW w:w="388" w:type="pct"/>
                  <w:tcBorders>
                    <w:left w:val="single" w:color="auto" w:sz="4" w:space="0"/>
                    <w:right w:val="single" w:color="auto" w:sz="4" w:space="0"/>
                  </w:tcBorders>
                  <w:noWrap w:val="0"/>
                  <w:vAlign w:val="center"/>
                </w:tcPr>
                <w:p w14:paraId="6B33DC30">
                  <w:pPr>
                    <w:pStyle w:val="49"/>
                    <w:bidi w:val="0"/>
                    <w:rPr>
                      <w:rFonts w:hint="default"/>
                      <w:color w:val="auto"/>
                      <w:highlight w:val="none"/>
                      <w:lang w:val="en-US" w:eastAsia="zh-CN"/>
                    </w:rPr>
                  </w:pPr>
                  <w:r>
                    <w:rPr>
                      <w:rFonts w:hint="eastAsia"/>
                      <w:color w:val="auto"/>
                      <w:highlight w:val="none"/>
                      <w:lang w:val="en-US" w:eastAsia="zh-CN"/>
                    </w:rPr>
                    <w:t>/</w:t>
                  </w:r>
                </w:p>
              </w:tc>
              <w:tc>
                <w:tcPr>
                  <w:tcW w:w="487" w:type="pct"/>
                  <w:tcBorders>
                    <w:left w:val="single" w:color="auto" w:sz="4" w:space="0"/>
                    <w:right w:val="single" w:color="auto" w:sz="4" w:space="0"/>
                  </w:tcBorders>
                  <w:noWrap w:val="0"/>
                  <w:vAlign w:val="center"/>
                </w:tcPr>
                <w:p w14:paraId="42517AAA">
                  <w:pPr>
                    <w:pStyle w:val="49"/>
                    <w:bidi w:val="0"/>
                    <w:rPr>
                      <w:rFonts w:hint="default"/>
                      <w:color w:val="auto"/>
                      <w:highlight w:val="none"/>
                      <w:lang w:val="en-US" w:eastAsia="zh-CN"/>
                    </w:rPr>
                  </w:pPr>
                  <w:r>
                    <w:rPr>
                      <w:rFonts w:hint="eastAsia"/>
                      <w:color w:val="auto"/>
                      <w:highlight w:val="none"/>
                      <w:lang w:val="en-US" w:eastAsia="zh-CN"/>
                    </w:rPr>
                    <w:t>0.2</w:t>
                  </w:r>
                </w:p>
              </w:tc>
              <w:tc>
                <w:tcPr>
                  <w:tcW w:w="287" w:type="pct"/>
                  <w:tcBorders>
                    <w:left w:val="single" w:color="auto" w:sz="4" w:space="0"/>
                    <w:right w:val="single" w:color="auto" w:sz="4" w:space="0"/>
                  </w:tcBorders>
                  <w:noWrap w:val="0"/>
                  <w:vAlign w:val="center"/>
                </w:tcPr>
                <w:p w14:paraId="343482EF">
                  <w:pPr>
                    <w:pStyle w:val="49"/>
                    <w:bidi w:val="0"/>
                    <w:rPr>
                      <w:rFonts w:hint="default" w:eastAsia="宋体"/>
                      <w:color w:val="auto"/>
                      <w:highlight w:val="none"/>
                      <w:lang w:val="en-US" w:eastAsia="zh-CN"/>
                    </w:rPr>
                  </w:pPr>
                  <w:r>
                    <w:rPr>
                      <w:rFonts w:hint="eastAsia"/>
                      <w:color w:val="auto"/>
                      <w:highlight w:val="none"/>
                      <w:lang w:val="en-US" w:eastAsia="zh-CN"/>
                    </w:rPr>
                    <w:t>0.661</w:t>
                  </w:r>
                </w:p>
              </w:tc>
              <w:tc>
                <w:tcPr>
                  <w:tcW w:w="310" w:type="pct"/>
                  <w:tcBorders>
                    <w:left w:val="single" w:color="auto" w:sz="4" w:space="0"/>
                    <w:right w:val="single" w:color="auto" w:sz="4" w:space="0"/>
                  </w:tcBorders>
                  <w:noWrap w:val="0"/>
                  <w:vAlign w:val="center"/>
                </w:tcPr>
                <w:p w14:paraId="2B9A0C4B">
                  <w:pPr>
                    <w:pStyle w:val="49"/>
                    <w:bidi w:val="0"/>
                    <w:rPr>
                      <w:rFonts w:hint="default"/>
                      <w:color w:val="auto"/>
                      <w:highlight w:val="none"/>
                      <w:lang w:val="en-US" w:eastAsia="zh-CN"/>
                    </w:rPr>
                  </w:pPr>
                  <w:r>
                    <w:rPr>
                      <w:rFonts w:hint="eastAsia"/>
                      <w:color w:val="auto"/>
                      <w:highlight w:val="none"/>
                      <w:lang w:val="en-US" w:eastAsia="zh-CN"/>
                    </w:rPr>
                    <w:t>0.709</w:t>
                  </w:r>
                </w:p>
              </w:tc>
              <w:tc>
                <w:tcPr>
                  <w:tcW w:w="407" w:type="pct"/>
                  <w:tcBorders>
                    <w:left w:val="single" w:color="auto" w:sz="4" w:space="0"/>
                    <w:right w:val="single" w:color="auto" w:sz="4" w:space="0"/>
                  </w:tcBorders>
                  <w:noWrap w:val="0"/>
                  <w:vAlign w:val="center"/>
                </w:tcPr>
                <w:p w14:paraId="56AE9110">
                  <w:pPr>
                    <w:pStyle w:val="49"/>
                    <w:bidi w:val="0"/>
                    <w:rPr>
                      <w:rFonts w:hint="default"/>
                      <w:color w:val="auto"/>
                      <w:highlight w:val="none"/>
                      <w:lang w:val="en-US" w:eastAsia="zh-CN"/>
                    </w:rPr>
                  </w:pPr>
                  <w:r>
                    <w:rPr>
                      <w:rFonts w:hint="eastAsia"/>
                      <w:color w:val="auto"/>
                      <w:highlight w:val="none"/>
                      <w:lang w:val="en-US" w:eastAsia="zh-CN"/>
                    </w:rPr>
                    <w:t>0.988</w:t>
                  </w:r>
                </w:p>
              </w:tc>
              <w:tc>
                <w:tcPr>
                  <w:tcW w:w="690" w:type="pct"/>
                  <w:tcBorders>
                    <w:left w:val="single" w:color="auto" w:sz="4" w:space="0"/>
                    <w:right w:val="single" w:color="auto" w:sz="4" w:space="0"/>
                  </w:tcBorders>
                  <w:noWrap w:val="0"/>
                  <w:vAlign w:val="center"/>
                </w:tcPr>
                <w:p w14:paraId="21EF41E7">
                  <w:pPr>
                    <w:pStyle w:val="49"/>
                    <w:bidi w:val="0"/>
                    <w:rPr>
                      <w:rFonts w:hint="default"/>
                      <w:color w:val="auto"/>
                      <w:highlight w:val="none"/>
                      <w:lang w:val="en-US" w:eastAsia="zh-CN"/>
                    </w:rPr>
                  </w:pPr>
                  <w:r>
                    <w:rPr>
                      <w:rFonts w:hint="eastAsia"/>
                      <w:color w:val="auto"/>
                      <w:highlight w:val="none"/>
                      <w:lang w:val="en-US" w:eastAsia="zh-CN"/>
                    </w:rPr>
                    <w:t>/</w:t>
                  </w:r>
                </w:p>
              </w:tc>
              <w:tc>
                <w:tcPr>
                  <w:tcW w:w="344" w:type="pct"/>
                  <w:tcBorders>
                    <w:left w:val="single" w:color="auto" w:sz="4" w:space="0"/>
                    <w:right w:val="single" w:color="auto" w:sz="4" w:space="0"/>
                  </w:tcBorders>
                  <w:noWrap w:val="0"/>
                  <w:vAlign w:val="center"/>
                </w:tcPr>
                <w:p w14:paraId="4EE7C466">
                  <w:pPr>
                    <w:pStyle w:val="49"/>
                    <w:bidi w:val="0"/>
                    <w:rPr>
                      <w:rFonts w:hint="default"/>
                      <w:color w:val="auto"/>
                      <w:highlight w:val="none"/>
                      <w:lang w:val="en-US" w:eastAsia="zh-CN"/>
                    </w:rPr>
                  </w:pPr>
                  <w:r>
                    <w:rPr>
                      <w:rFonts w:hint="eastAsia"/>
                      <w:color w:val="auto"/>
                      <w:highlight w:val="none"/>
                      <w:lang w:val="en-US" w:eastAsia="zh-CN"/>
                    </w:rPr>
                    <w:t>/</w:t>
                  </w:r>
                </w:p>
              </w:tc>
              <w:tc>
                <w:tcPr>
                  <w:tcW w:w="346" w:type="pct"/>
                  <w:tcBorders>
                    <w:left w:val="single" w:color="auto" w:sz="4" w:space="0"/>
                    <w:right w:val="single" w:color="auto" w:sz="4" w:space="0"/>
                  </w:tcBorders>
                  <w:noWrap w:val="0"/>
                  <w:vAlign w:val="center"/>
                </w:tcPr>
                <w:p w14:paraId="438CE1F7">
                  <w:pPr>
                    <w:pStyle w:val="49"/>
                    <w:bidi w:val="0"/>
                    <w:rPr>
                      <w:rFonts w:hint="default"/>
                      <w:color w:val="auto"/>
                      <w:highlight w:val="none"/>
                      <w:lang w:val="en-US" w:eastAsia="zh-CN"/>
                    </w:rPr>
                  </w:pPr>
                  <w:r>
                    <w:rPr>
                      <w:rFonts w:hint="eastAsia"/>
                      <w:color w:val="auto"/>
                      <w:highlight w:val="none"/>
                      <w:lang w:val="en-US" w:eastAsia="zh-CN"/>
                    </w:rPr>
                    <w:t>/</w:t>
                  </w:r>
                </w:p>
              </w:tc>
              <w:tc>
                <w:tcPr>
                  <w:tcW w:w="498" w:type="pct"/>
                  <w:tcBorders>
                    <w:left w:val="single" w:color="auto" w:sz="4" w:space="0"/>
                    <w:right w:val="single" w:color="auto" w:sz="4" w:space="0"/>
                  </w:tcBorders>
                  <w:noWrap w:val="0"/>
                  <w:vAlign w:val="center"/>
                </w:tcPr>
                <w:p w14:paraId="364B63B0">
                  <w:pPr>
                    <w:pStyle w:val="49"/>
                    <w:bidi w:val="0"/>
                    <w:rPr>
                      <w:rFonts w:hint="default"/>
                      <w:color w:val="auto"/>
                      <w:highlight w:val="none"/>
                      <w:lang w:val="en-US" w:eastAsia="zh-CN"/>
                    </w:rPr>
                  </w:pPr>
                  <w:r>
                    <w:rPr>
                      <w:rFonts w:hint="eastAsia"/>
                      <w:color w:val="auto"/>
                      <w:highlight w:val="none"/>
                      <w:lang w:val="en-US" w:eastAsia="zh-CN"/>
                    </w:rPr>
                    <w:t>0.018</w:t>
                  </w:r>
                </w:p>
              </w:tc>
              <w:tc>
                <w:tcPr>
                  <w:tcW w:w="594" w:type="pct"/>
                  <w:tcBorders>
                    <w:left w:val="single" w:color="auto" w:sz="4" w:space="0"/>
                    <w:right w:val="single" w:color="auto" w:sz="4" w:space="0"/>
                  </w:tcBorders>
                  <w:noWrap w:val="0"/>
                  <w:vAlign w:val="center"/>
                </w:tcPr>
                <w:p w14:paraId="50D48E26">
                  <w:pPr>
                    <w:pStyle w:val="49"/>
                    <w:bidi w:val="0"/>
                    <w:rPr>
                      <w:rFonts w:hint="default" w:eastAsia="宋体"/>
                      <w:color w:val="auto"/>
                      <w:highlight w:val="none"/>
                      <w:lang w:val="en-US" w:eastAsia="zh-CN"/>
                    </w:rPr>
                  </w:pPr>
                  <w:r>
                    <w:rPr>
                      <w:rFonts w:hint="eastAsia"/>
                      <w:color w:val="auto"/>
                      <w:highlight w:val="none"/>
                      <w:lang w:val="en-US" w:eastAsia="zh-CN"/>
                    </w:rPr>
                    <w:t>0.00072</w:t>
                  </w:r>
                </w:p>
              </w:tc>
            </w:tr>
            <w:tr w14:paraId="701CD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left w:val="single" w:color="auto" w:sz="4" w:space="0"/>
                    <w:right w:val="single" w:color="auto" w:sz="4" w:space="0"/>
                  </w:tcBorders>
                  <w:noWrap w:val="0"/>
                  <w:vAlign w:val="center"/>
                </w:tcPr>
                <w:p w14:paraId="5A78562C">
                  <w:pPr>
                    <w:pStyle w:val="49"/>
                    <w:bidi w:val="0"/>
                    <w:rPr>
                      <w:b/>
                      <w:bCs/>
                      <w:color w:val="auto"/>
                      <w:highlight w:val="none"/>
                    </w:rPr>
                  </w:pPr>
                  <w:r>
                    <w:rPr>
                      <w:b/>
                      <w:bCs/>
                      <w:color w:val="auto"/>
                      <w:highlight w:val="none"/>
                    </w:rPr>
                    <w:t>污染物排放量（t/a）</w:t>
                  </w:r>
                </w:p>
              </w:tc>
              <w:tc>
                <w:tcPr>
                  <w:tcW w:w="388" w:type="pct"/>
                  <w:tcBorders>
                    <w:left w:val="single" w:color="auto" w:sz="4" w:space="0"/>
                    <w:right w:val="single" w:color="auto" w:sz="4" w:space="0"/>
                  </w:tcBorders>
                  <w:noWrap w:val="0"/>
                  <w:vAlign w:val="center"/>
                </w:tcPr>
                <w:p w14:paraId="0A9E27E2">
                  <w:pPr>
                    <w:pStyle w:val="49"/>
                    <w:bidi w:val="0"/>
                    <w:rPr>
                      <w:rFonts w:hint="default" w:eastAsia="宋体"/>
                      <w:color w:val="auto"/>
                      <w:highlight w:val="none"/>
                      <w:lang w:val="en-US" w:eastAsia="zh-CN"/>
                    </w:rPr>
                  </w:pPr>
                  <w:r>
                    <w:rPr>
                      <w:rFonts w:hint="eastAsia"/>
                      <w:color w:val="auto"/>
                      <w:highlight w:val="none"/>
                      <w:lang w:val="en-US" w:eastAsia="zh-CN"/>
                    </w:rPr>
                    <w:t>0.05</w:t>
                  </w:r>
                </w:p>
              </w:tc>
              <w:tc>
                <w:tcPr>
                  <w:tcW w:w="487" w:type="pct"/>
                  <w:tcBorders>
                    <w:left w:val="single" w:color="auto" w:sz="4" w:space="0"/>
                    <w:right w:val="single" w:color="auto" w:sz="4" w:space="0"/>
                  </w:tcBorders>
                  <w:noWrap w:val="0"/>
                  <w:vAlign w:val="center"/>
                </w:tcPr>
                <w:p w14:paraId="21109B59">
                  <w:pPr>
                    <w:pStyle w:val="49"/>
                    <w:bidi w:val="0"/>
                    <w:rPr>
                      <w:rFonts w:hint="default" w:eastAsia="宋体"/>
                      <w:color w:val="auto"/>
                      <w:highlight w:val="none"/>
                      <w:lang w:val="en-US" w:eastAsia="zh-CN"/>
                    </w:rPr>
                  </w:pPr>
                  <w:r>
                    <w:rPr>
                      <w:rFonts w:hint="eastAsia"/>
                      <w:color w:val="auto"/>
                      <w:highlight w:val="none"/>
                      <w:lang w:val="en-US" w:eastAsia="zh-CN"/>
                    </w:rPr>
                    <w:t>0.24</w:t>
                  </w:r>
                </w:p>
              </w:tc>
              <w:tc>
                <w:tcPr>
                  <w:tcW w:w="287" w:type="pct"/>
                  <w:tcBorders>
                    <w:left w:val="single" w:color="auto" w:sz="4" w:space="0"/>
                    <w:right w:val="single" w:color="auto" w:sz="4" w:space="0"/>
                  </w:tcBorders>
                  <w:noWrap w:val="0"/>
                  <w:vAlign w:val="center"/>
                </w:tcPr>
                <w:p w14:paraId="0B697DA2">
                  <w:pPr>
                    <w:pStyle w:val="49"/>
                    <w:bidi w:val="0"/>
                    <w:rPr>
                      <w:rFonts w:hint="default" w:eastAsia="宋体"/>
                      <w:color w:val="auto"/>
                      <w:highlight w:val="none"/>
                      <w:lang w:val="en-US" w:eastAsia="zh-CN"/>
                    </w:rPr>
                  </w:pPr>
                  <w:r>
                    <w:rPr>
                      <w:rFonts w:hint="eastAsia"/>
                      <w:color w:val="auto"/>
                      <w:highlight w:val="none"/>
                      <w:lang w:val="en-US" w:eastAsia="zh-CN"/>
                    </w:rPr>
                    <w:t>1.586</w:t>
                  </w:r>
                </w:p>
              </w:tc>
              <w:tc>
                <w:tcPr>
                  <w:tcW w:w="310" w:type="pct"/>
                  <w:tcBorders>
                    <w:left w:val="single" w:color="auto" w:sz="4" w:space="0"/>
                    <w:right w:val="single" w:color="auto" w:sz="4" w:space="0"/>
                  </w:tcBorders>
                  <w:noWrap w:val="0"/>
                  <w:vAlign w:val="center"/>
                </w:tcPr>
                <w:p w14:paraId="188F6418">
                  <w:pPr>
                    <w:pStyle w:val="49"/>
                    <w:bidi w:val="0"/>
                    <w:rPr>
                      <w:rFonts w:hint="default"/>
                      <w:color w:val="auto"/>
                      <w:highlight w:val="none"/>
                      <w:lang w:val="en-US" w:eastAsia="zh-CN"/>
                    </w:rPr>
                  </w:pPr>
                  <w:r>
                    <w:rPr>
                      <w:rFonts w:hint="eastAsia"/>
                      <w:color w:val="auto"/>
                      <w:highlight w:val="none"/>
                      <w:lang w:val="en-US" w:eastAsia="zh-CN"/>
                    </w:rPr>
                    <w:t>1.702</w:t>
                  </w:r>
                </w:p>
              </w:tc>
              <w:tc>
                <w:tcPr>
                  <w:tcW w:w="407" w:type="pct"/>
                  <w:tcBorders>
                    <w:left w:val="single" w:color="auto" w:sz="4" w:space="0"/>
                    <w:right w:val="single" w:color="auto" w:sz="4" w:space="0"/>
                  </w:tcBorders>
                  <w:noWrap w:val="0"/>
                  <w:vAlign w:val="center"/>
                </w:tcPr>
                <w:p w14:paraId="2595605A">
                  <w:pPr>
                    <w:pStyle w:val="49"/>
                    <w:bidi w:val="0"/>
                    <w:rPr>
                      <w:rFonts w:hint="default"/>
                      <w:color w:val="auto"/>
                      <w:highlight w:val="none"/>
                      <w:lang w:val="en-US" w:eastAsia="zh-CN"/>
                    </w:rPr>
                  </w:pPr>
                  <w:r>
                    <w:rPr>
                      <w:rFonts w:hint="eastAsia"/>
                      <w:color w:val="auto"/>
                      <w:highlight w:val="none"/>
                      <w:lang w:val="en-US" w:eastAsia="zh-CN"/>
                    </w:rPr>
                    <w:t>2.372</w:t>
                  </w:r>
                </w:p>
              </w:tc>
              <w:tc>
                <w:tcPr>
                  <w:tcW w:w="690" w:type="pct"/>
                  <w:tcBorders>
                    <w:left w:val="single" w:color="auto" w:sz="4" w:space="0"/>
                    <w:right w:val="single" w:color="auto" w:sz="4" w:space="0"/>
                  </w:tcBorders>
                  <w:noWrap w:val="0"/>
                  <w:vAlign w:val="center"/>
                </w:tcPr>
                <w:p w14:paraId="427E1904">
                  <w:pPr>
                    <w:pStyle w:val="49"/>
                    <w:bidi w:val="0"/>
                    <w:rPr>
                      <w:rFonts w:hint="default"/>
                      <w:color w:val="auto"/>
                      <w:highlight w:val="none"/>
                      <w:lang w:val="en-US" w:eastAsia="zh-CN"/>
                    </w:rPr>
                  </w:pPr>
                  <w:r>
                    <w:rPr>
                      <w:rFonts w:hint="eastAsia"/>
                      <w:color w:val="auto"/>
                      <w:highlight w:val="none"/>
                      <w:lang w:val="en-US" w:eastAsia="zh-CN"/>
                    </w:rPr>
                    <w:t>0.3649</w:t>
                  </w:r>
                </w:p>
              </w:tc>
              <w:tc>
                <w:tcPr>
                  <w:tcW w:w="344" w:type="pct"/>
                  <w:tcBorders>
                    <w:left w:val="single" w:color="auto" w:sz="4" w:space="0"/>
                    <w:right w:val="single" w:color="auto" w:sz="4" w:space="0"/>
                  </w:tcBorders>
                  <w:noWrap w:val="0"/>
                  <w:vAlign w:val="center"/>
                </w:tcPr>
                <w:p w14:paraId="063371C4">
                  <w:pPr>
                    <w:pStyle w:val="49"/>
                    <w:bidi w:val="0"/>
                    <w:rPr>
                      <w:rFonts w:hint="default"/>
                      <w:color w:val="auto"/>
                      <w:highlight w:val="none"/>
                      <w:lang w:val="en-US" w:eastAsia="zh-CN"/>
                    </w:rPr>
                  </w:pPr>
                  <w:r>
                    <w:rPr>
                      <w:rFonts w:hint="eastAsia"/>
                      <w:color w:val="auto"/>
                      <w:highlight w:val="none"/>
                      <w:lang w:val="en-US" w:eastAsia="zh-CN"/>
                    </w:rPr>
                    <w:t>0.010</w:t>
                  </w:r>
                </w:p>
              </w:tc>
              <w:tc>
                <w:tcPr>
                  <w:tcW w:w="346" w:type="pct"/>
                  <w:tcBorders>
                    <w:left w:val="single" w:color="auto" w:sz="4" w:space="0"/>
                    <w:right w:val="single" w:color="auto" w:sz="4" w:space="0"/>
                  </w:tcBorders>
                  <w:noWrap w:val="0"/>
                  <w:vAlign w:val="center"/>
                </w:tcPr>
                <w:p w14:paraId="01C0AF21">
                  <w:pPr>
                    <w:pStyle w:val="49"/>
                    <w:bidi w:val="0"/>
                    <w:rPr>
                      <w:rFonts w:hint="default"/>
                      <w:color w:val="auto"/>
                      <w:highlight w:val="none"/>
                      <w:lang w:val="en-US" w:eastAsia="zh-CN"/>
                    </w:rPr>
                  </w:pPr>
                  <w:r>
                    <w:rPr>
                      <w:rFonts w:hint="eastAsia"/>
                      <w:color w:val="auto"/>
                      <w:highlight w:val="none"/>
                      <w:lang w:val="en-US" w:eastAsia="zh-CN"/>
                    </w:rPr>
                    <w:t>0.0010</w:t>
                  </w:r>
                </w:p>
              </w:tc>
              <w:tc>
                <w:tcPr>
                  <w:tcW w:w="498" w:type="pct"/>
                  <w:tcBorders>
                    <w:left w:val="single" w:color="auto" w:sz="4" w:space="0"/>
                    <w:right w:val="single" w:color="auto" w:sz="4" w:space="0"/>
                  </w:tcBorders>
                  <w:noWrap w:val="0"/>
                  <w:vAlign w:val="center"/>
                </w:tcPr>
                <w:p w14:paraId="5D3389D8">
                  <w:pPr>
                    <w:pStyle w:val="49"/>
                    <w:bidi w:val="0"/>
                    <w:rPr>
                      <w:rFonts w:hint="default"/>
                      <w:color w:val="auto"/>
                      <w:highlight w:val="none"/>
                      <w:lang w:val="en-US" w:eastAsia="zh-CN"/>
                    </w:rPr>
                  </w:pPr>
                  <w:r>
                    <w:rPr>
                      <w:rFonts w:hint="eastAsia"/>
                      <w:color w:val="auto"/>
                      <w:highlight w:val="none"/>
                      <w:lang w:val="en-US" w:eastAsia="zh-CN"/>
                    </w:rPr>
                    <w:t>0.133</w:t>
                  </w:r>
                </w:p>
              </w:tc>
              <w:tc>
                <w:tcPr>
                  <w:tcW w:w="594" w:type="pct"/>
                  <w:tcBorders>
                    <w:left w:val="single" w:color="auto" w:sz="4" w:space="0"/>
                    <w:right w:val="single" w:color="auto" w:sz="4" w:space="0"/>
                  </w:tcBorders>
                  <w:noWrap w:val="0"/>
                  <w:vAlign w:val="center"/>
                </w:tcPr>
                <w:p w14:paraId="29F8ECDF">
                  <w:pPr>
                    <w:pStyle w:val="49"/>
                    <w:bidi w:val="0"/>
                    <w:rPr>
                      <w:rFonts w:hint="default" w:eastAsia="宋体"/>
                      <w:color w:val="auto"/>
                      <w:highlight w:val="none"/>
                      <w:lang w:val="en-US" w:eastAsia="zh-CN"/>
                    </w:rPr>
                  </w:pPr>
                  <w:r>
                    <w:rPr>
                      <w:rFonts w:hint="eastAsia"/>
                      <w:color w:val="auto"/>
                      <w:highlight w:val="none"/>
                      <w:lang w:val="en-US" w:eastAsia="zh-CN"/>
                    </w:rPr>
                    <w:t>0.0013</w:t>
                  </w:r>
                </w:p>
              </w:tc>
            </w:tr>
            <w:tr w14:paraId="54FA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left w:val="single" w:color="auto" w:sz="4" w:space="0"/>
                    <w:right w:val="single" w:color="auto" w:sz="4" w:space="0"/>
                  </w:tcBorders>
                  <w:noWrap w:val="0"/>
                  <w:vAlign w:val="center"/>
                </w:tcPr>
                <w:p w14:paraId="2784835B">
                  <w:pPr>
                    <w:pStyle w:val="49"/>
                    <w:bidi w:val="0"/>
                    <w:rPr>
                      <w:b/>
                      <w:bCs/>
                      <w:color w:val="auto"/>
                      <w:highlight w:val="none"/>
                    </w:rPr>
                  </w:pPr>
                  <w:r>
                    <w:rPr>
                      <w:b/>
                      <w:bCs/>
                      <w:color w:val="auto"/>
                      <w:highlight w:val="none"/>
                    </w:rPr>
                    <w:t>排放标准</w:t>
                  </w:r>
                </w:p>
              </w:tc>
              <w:tc>
                <w:tcPr>
                  <w:tcW w:w="1880" w:type="pct"/>
                  <w:gridSpan w:val="5"/>
                  <w:tcBorders>
                    <w:left w:val="single" w:color="auto" w:sz="4" w:space="0"/>
                    <w:right w:val="single" w:color="auto" w:sz="4" w:space="0"/>
                  </w:tcBorders>
                  <w:noWrap w:val="0"/>
                  <w:vAlign w:val="center"/>
                </w:tcPr>
                <w:p w14:paraId="6FA5F092">
                  <w:pPr>
                    <w:pStyle w:val="49"/>
                    <w:bidi w:val="0"/>
                    <w:rPr>
                      <w:rFonts w:hint="eastAsia" w:eastAsia="宋体"/>
                      <w:color w:val="auto"/>
                      <w:highlight w:val="none"/>
                      <w:lang w:val="en-US" w:eastAsia="zh-CN"/>
                    </w:rPr>
                  </w:pPr>
                  <w:r>
                    <w:rPr>
                      <w:color w:val="auto"/>
                      <w:highlight w:val="none"/>
                    </w:rPr>
                    <w:t>《大气污染物综合排放标准》（GB16297-1996）表2中二级标准</w:t>
                  </w:r>
                  <w:r>
                    <w:rPr>
                      <w:rFonts w:hint="eastAsia"/>
                      <w:color w:val="auto"/>
                      <w:highlight w:val="none"/>
                      <w:lang w:val="en-US" w:eastAsia="zh-CN"/>
                    </w:rPr>
                    <w:t>以及《工业炉窑大气污染物排放标准》（GB9078-1996）中二级排放标准限值</w:t>
                  </w:r>
                </w:p>
              </w:tc>
              <w:tc>
                <w:tcPr>
                  <w:tcW w:w="690" w:type="pct"/>
                  <w:tcBorders>
                    <w:left w:val="single" w:color="auto" w:sz="4" w:space="0"/>
                    <w:right w:val="single" w:color="auto" w:sz="4" w:space="0"/>
                  </w:tcBorders>
                  <w:noWrap w:val="0"/>
                  <w:vAlign w:val="center"/>
                </w:tcPr>
                <w:p w14:paraId="78AE79F2">
                  <w:pPr>
                    <w:pStyle w:val="49"/>
                    <w:bidi w:val="0"/>
                    <w:rPr>
                      <w:rFonts w:hint="eastAsia"/>
                      <w:color w:val="auto"/>
                      <w:highlight w:val="none"/>
                    </w:rPr>
                  </w:pPr>
                  <w:r>
                    <w:rPr>
                      <w:color w:val="auto"/>
                      <w:highlight w:val="none"/>
                    </w:rPr>
                    <w:t>《挥发性有机物无组织排放控制标准》</w:t>
                  </w:r>
                  <w:r>
                    <w:rPr>
                      <w:rFonts w:hint="eastAsia"/>
                      <w:color w:val="auto"/>
                      <w:highlight w:val="none"/>
                      <w:lang w:eastAsia="zh-CN"/>
                    </w:rPr>
                    <w:t>（</w:t>
                  </w:r>
                  <w:r>
                    <w:rPr>
                      <w:rFonts w:hint="eastAsia"/>
                      <w:color w:val="auto"/>
                      <w:highlight w:val="none"/>
                      <w:lang w:val="en-US" w:eastAsia="zh-CN"/>
                    </w:rPr>
                    <w:t>GB37822-2019</w:t>
                  </w:r>
                  <w:r>
                    <w:rPr>
                      <w:rFonts w:hint="eastAsia"/>
                      <w:color w:val="auto"/>
                      <w:highlight w:val="none"/>
                      <w:lang w:eastAsia="zh-CN"/>
                    </w:rPr>
                    <w:t>）</w:t>
                  </w:r>
                  <w:r>
                    <w:rPr>
                      <w:rFonts w:hint="eastAsia"/>
                      <w:color w:val="auto"/>
                      <w:highlight w:val="none"/>
                      <w:lang w:val="en-US" w:eastAsia="zh-CN"/>
                    </w:rPr>
                    <w:t>表A.1中排放限值要求</w:t>
                  </w:r>
                </w:p>
              </w:tc>
              <w:tc>
                <w:tcPr>
                  <w:tcW w:w="690" w:type="pct"/>
                  <w:gridSpan w:val="2"/>
                  <w:tcBorders>
                    <w:left w:val="single" w:color="auto" w:sz="4" w:space="0"/>
                    <w:right w:val="single" w:color="auto" w:sz="4" w:space="0"/>
                  </w:tcBorders>
                  <w:noWrap w:val="0"/>
                  <w:vAlign w:val="center"/>
                </w:tcPr>
                <w:p w14:paraId="3E83BCA1">
                  <w:pPr>
                    <w:pStyle w:val="49"/>
                    <w:bidi w:val="0"/>
                    <w:rPr>
                      <w:rFonts w:hint="eastAsia"/>
                      <w:color w:val="auto"/>
                      <w:highlight w:val="none"/>
                    </w:rPr>
                  </w:pPr>
                  <w:r>
                    <w:rPr>
                      <w:rFonts w:hint="eastAsia"/>
                      <w:color w:val="auto"/>
                      <w:highlight w:val="none"/>
                    </w:rPr>
                    <w:t>《恶臭污染物排放标准》》(GB14554-93)</w:t>
                  </w:r>
                  <w:r>
                    <w:rPr>
                      <w:rFonts w:hint="eastAsia"/>
                      <w:color w:val="auto"/>
                      <w:highlight w:val="none"/>
                      <w:lang w:val="en-US" w:eastAsia="zh-CN"/>
                    </w:rPr>
                    <w:t>表2中浓度限值要求</w:t>
                  </w:r>
                </w:p>
              </w:tc>
              <w:tc>
                <w:tcPr>
                  <w:tcW w:w="498" w:type="pct"/>
                  <w:tcBorders>
                    <w:left w:val="single" w:color="auto" w:sz="4" w:space="0"/>
                    <w:right w:val="single" w:color="auto" w:sz="4" w:space="0"/>
                  </w:tcBorders>
                  <w:noWrap w:val="0"/>
                  <w:vAlign w:val="center"/>
                </w:tcPr>
                <w:p w14:paraId="42F760F6">
                  <w:pPr>
                    <w:pStyle w:val="49"/>
                    <w:bidi w:val="0"/>
                    <w:rPr>
                      <w:rFonts w:hint="eastAsia"/>
                      <w:color w:val="auto"/>
                      <w:highlight w:val="none"/>
                    </w:rPr>
                  </w:pPr>
                  <w:r>
                    <w:rPr>
                      <w:color w:val="auto"/>
                      <w:highlight w:val="none"/>
                    </w:rPr>
                    <w:t>《大气污染物综合排放标准》（GB16297-1996）表2中二级标准</w:t>
                  </w:r>
                </w:p>
              </w:tc>
              <w:tc>
                <w:tcPr>
                  <w:tcW w:w="594" w:type="pct"/>
                  <w:tcBorders>
                    <w:left w:val="single" w:color="auto" w:sz="4" w:space="0"/>
                    <w:right w:val="single" w:color="auto" w:sz="4" w:space="0"/>
                  </w:tcBorders>
                  <w:noWrap w:val="0"/>
                  <w:vAlign w:val="center"/>
                </w:tcPr>
                <w:p w14:paraId="73B6B3DF">
                  <w:pPr>
                    <w:pStyle w:val="49"/>
                    <w:bidi w:val="0"/>
                    <w:rPr>
                      <w:color w:val="auto"/>
                      <w:highlight w:val="none"/>
                    </w:rPr>
                  </w:pPr>
                  <w:r>
                    <w:rPr>
                      <w:rFonts w:hint="eastAsia"/>
                      <w:color w:val="auto"/>
                      <w:highlight w:val="none"/>
                    </w:rPr>
                    <w:t>《饮食业油烟排放标准（试行）》（GB18483-2001）</w:t>
                  </w:r>
                </w:p>
              </w:tc>
            </w:tr>
            <w:tr w14:paraId="2C5F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646" w:type="pct"/>
                  <w:gridSpan w:val="2"/>
                  <w:tcBorders>
                    <w:left w:val="single" w:color="auto" w:sz="4" w:space="0"/>
                    <w:right w:val="single" w:color="auto" w:sz="4" w:space="0"/>
                  </w:tcBorders>
                  <w:noWrap w:val="0"/>
                  <w:vAlign w:val="center"/>
                </w:tcPr>
                <w:p w14:paraId="565DBD2D">
                  <w:pPr>
                    <w:pStyle w:val="49"/>
                    <w:bidi w:val="0"/>
                    <w:rPr>
                      <w:b/>
                      <w:bCs/>
                      <w:color w:val="auto"/>
                      <w:highlight w:val="none"/>
                    </w:rPr>
                  </w:pPr>
                  <w:r>
                    <w:rPr>
                      <w:b/>
                      <w:bCs/>
                      <w:color w:val="auto"/>
                      <w:highlight w:val="none"/>
                    </w:rPr>
                    <w:t>是否达标</w:t>
                  </w:r>
                </w:p>
              </w:tc>
              <w:tc>
                <w:tcPr>
                  <w:tcW w:w="388" w:type="pct"/>
                  <w:tcBorders>
                    <w:left w:val="single" w:color="auto" w:sz="4" w:space="0"/>
                    <w:bottom w:val="single" w:color="auto" w:sz="4" w:space="0"/>
                    <w:right w:val="single" w:color="auto" w:sz="4" w:space="0"/>
                  </w:tcBorders>
                  <w:noWrap w:val="0"/>
                  <w:vAlign w:val="center"/>
                </w:tcPr>
                <w:p w14:paraId="19410E5F">
                  <w:pPr>
                    <w:pStyle w:val="49"/>
                    <w:bidi w:val="0"/>
                    <w:rPr>
                      <w:rFonts w:hint="eastAsia" w:eastAsia="宋体"/>
                      <w:color w:val="auto"/>
                      <w:highlight w:val="none"/>
                      <w:lang w:val="en-US" w:eastAsia="zh-CN"/>
                    </w:rPr>
                  </w:pPr>
                  <w:r>
                    <w:rPr>
                      <w:rFonts w:hint="eastAsia"/>
                      <w:color w:val="auto"/>
                      <w:highlight w:val="none"/>
                      <w:lang w:val="en-US" w:eastAsia="zh-CN"/>
                    </w:rPr>
                    <w:t>是</w:t>
                  </w:r>
                </w:p>
              </w:tc>
              <w:tc>
                <w:tcPr>
                  <w:tcW w:w="487" w:type="pct"/>
                  <w:tcBorders>
                    <w:left w:val="single" w:color="auto" w:sz="4" w:space="0"/>
                    <w:bottom w:val="single" w:color="auto" w:sz="4" w:space="0"/>
                    <w:right w:val="single" w:color="auto" w:sz="4" w:space="0"/>
                  </w:tcBorders>
                  <w:noWrap w:val="0"/>
                  <w:vAlign w:val="center"/>
                </w:tcPr>
                <w:p w14:paraId="74F550AA">
                  <w:pPr>
                    <w:pStyle w:val="49"/>
                    <w:bidi w:val="0"/>
                    <w:rPr>
                      <w:color w:val="auto"/>
                      <w:highlight w:val="none"/>
                    </w:rPr>
                  </w:pPr>
                  <w:r>
                    <w:rPr>
                      <w:color w:val="auto"/>
                      <w:highlight w:val="none"/>
                    </w:rPr>
                    <w:t>是</w:t>
                  </w:r>
                </w:p>
              </w:tc>
              <w:tc>
                <w:tcPr>
                  <w:tcW w:w="1004" w:type="pct"/>
                  <w:gridSpan w:val="3"/>
                  <w:tcBorders>
                    <w:left w:val="single" w:color="auto" w:sz="4" w:space="0"/>
                    <w:bottom w:val="single" w:color="auto" w:sz="4" w:space="0"/>
                    <w:right w:val="single" w:color="auto" w:sz="4" w:space="0"/>
                  </w:tcBorders>
                  <w:noWrap w:val="0"/>
                  <w:vAlign w:val="center"/>
                </w:tcPr>
                <w:p w14:paraId="3CF8FFFC">
                  <w:pPr>
                    <w:pStyle w:val="49"/>
                    <w:bidi w:val="0"/>
                    <w:rPr>
                      <w:color w:val="auto"/>
                      <w:highlight w:val="none"/>
                    </w:rPr>
                  </w:pPr>
                  <w:r>
                    <w:rPr>
                      <w:color w:val="auto"/>
                      <w:highlight w:val="none"/>
                    </w:rPr>
                    <w:t>是</w:t>
                  </w:r>
                </w:p>
              </w:tc>
              <w:tc>
                <w:tcPr>
                  <w:tcW w:w="690" w:type="pct"/>
                  <w:tcBorders>
                    <w:left w:val="single" w:color="auto" w:sz="4" w:space="0"/>
                    <w:bottom w:val="single" w:color="auto" w:sz="4" w:space="0"/>
                    <w:right w:val="single" w:color="auto" w:sz="4" w:space="0"/>
                  </w:tcBorders>
                  <w:noWrap w:val="0"/>
                  <w:vAlign w:val="center"/>
                </w:tcPr>
                <w:p w14:paraId="7E60DA1F">
                  <w:pPr>
                    <w:pStyle w:val="49"/>
                    <w:bidi w:val="0"/>
                    <w:rPr>
                      <w:rFonts w:hint="eastAsia"/>
                      <w:color w:val="auto"/>
                      <w:highlight w:val="none"/>
                      <w:lang w:val="en-US" w:eastAsia="zh-CN"/>
                    </w:rPr>
                  </w:pPr>
                  <w:r>
                    <w:rPr>
                      <w:rFonts w:hint="eastAsia"/>
                      <w:color w:val="auto"/>
                      <w:highlight w:val="none"/>
                      <w:lang w:val="en-US" w:eastAsia="zh-CN"/>
                    </w:rPr>
                    <w:t>是</w:t>
                  </w:r>
                </w:p>
              </w:tc>
              <w:tc>
                <w:tcPr>
                  <w:tcW w:w="690" w:type="pct"/>
                  <w:gridSpan w:val="2"/>
                  <w:tcBorders>
                    <w:left w:val="single" w:color="auto" w:sz="4" w:space="0"/>
                    <w:bottom w:val="single" w:color="auto" w:sz="4" w:space="0"/>
                    <w:right w:val="single" w:color="auto" w:sz="4" w:space="0"/>
                  </w:tcBorders>
                  <w:noWrap w:val="0"/>
                  <w:vAlign w:val="center"/>
                </w:tcPr>
                <w:p w14:paraId="3FF7BB82">
                  <w:pPr>
                    <w:pStyle w:val="49"/>
                    <w:bidi w:val="0"/>
                    <w:rPr>
                      <w:rFonts w:hint="eastAsia" w:eastAsia="宋体"/>
                      <w:color w:val="auto"/>
                      <w:highlight w:val="none"/>
                      <w:lang w:val="en-US" w:eastAsia="zh-CN"/>
                    </w:rPr>
                  </w:pPr>
                  <w:r>
                    <w:rPr>
                      <w:rFonts w:hint="eastAsia"/>
                      <w:color w:val="auto"/>
                      <w:highlight w:val="none"/>
                      <w:lang w:val="en-US" w:eastAsia="zh-CN"/>
                    </w:rPr>
                    <w:t>是</w:t>
                  </w:r>
                </w:p>
              </w:tc>
              <w:tc>
                <w:tcPr>
                  <w:tcW w:w="498" w:type="pct"/>
                  <w:tcBorders>
                    <w:left w:val="single" w:color="auto" w:sz="4" w:space="0"/>
                    <w:bottom w:val="single" w:color="auto" w:sz="4" w:space="0"/>
                    <w:right w:val="single" w:color="auto" w:sz="4" w:space="0"/>
                  </w:tcBorders>
                  <w:noWrap w:val="0"/>
                  <w:vAlign w:val="center"/>
                </w:tcPr>
                <w:p w14:paraId="48997098">
                  <w:pPr>
                    <w:pStyle w:val="49"/>
                    <w:bidi w:val="0"/>
                    <w:rPr>
                      <w:rFonts w:hint="eastAsia" w:eastAsia="宋体"/>
                      <w:color w:val="auto"/>
                      <w:highlight w:val="none"/>
                      <w:lang w:val="en-US" w:eastAsia="zh-CN"/>
                    </w:rPr>
                  </w:pPr>
                  <w:r>
                    <w:rPr>
                      <w:rFonts w:hint="eastAsia"/>
                      <w:color w:val="auto"/>
                      <w:highlight w:val="none"/>
                      <w:lang w:val="en-US" w:eastAsia="zh-CN"/>
                    </w:rPr>
                    <w:t>是</w:t>
                  </w:r>
                </w:p>
              </w:tc>
              <w:tc>
                <w:tcPr>
                  <w:tcW w:w="594" w:type="pct"/>
                  <w:tcBorders>
                    <w:left w:val="single" w:color="auto" w:sz="4" w:space="0"/>
                    <w:bottom w:val="single" w:color="auto" w:sz="4" w:space="0"/>
                    <w:right w:val="single" w:color="auto" w:sz="4" w:space="0"/>
                  </w:tcBorders>
                  <w:noWrap w:val="0"/>
                  <w:vAlign w:val="center"/>
                </w:tcPr>
                <w:p w14:paraId="52A78BBE">
                  <w:pPr>
                    <w:pStyle w:val="49"/>
                    <w:bidi w:val="0"/>
                    <w:rPr>
                      <w:color w:val="auto"/>
                      <w:highlight w:val="none"/>
                    </w:rPr>
                  </w:pPr>
                  <w:r>
                    <w:rPr>
                      <w:color w:val="auto"/>
                      <w:highlight w:val="none"/>
                    </w:rPr>
                    <w:t>是</w:t>
                  </w:r>
                </w:p>
              </w:tc>
            </w:tr>
          </w:tbl>
          <w:p w14:paraId="5465CE3F">
            <w:pPr>
              <w:pStyle w:val="11"/>
              <w:bidi w:val="0"/>
              <w:rPr>
                <w:rFonts w:hint="default"/>
                <w:color w:val="auto"/>
                <w:highlight w:val="none"/>
                <w:lang w:val="en-US" w:eastAsia="zh-CN"/>
              </w:rPr>
            </w:pPr>
          </w:p>
        </w:tc>
      </w:tr>
    </w:tbl>
    <w:p w14:paraId="3E5E35A0">
      <w:pPr>
        <w:rPr>
          <w:color w:val="auto"/>
          <w:highlight w:val="none"/>
        </w:rPr>
        <w:sectPr>
          <w:pgSz w:w="16840" w:h="11907" w:orient="landscape"/>
          <w:pgMar w:top="1531" w:right="1701" w:bottom="1531" w:left="2127" w:header="851" w:footer="851" w:gutter="0"/>
          <w:pgNumType w:fmt="decimal"/>
          <w:cols w:space="720" w:num="1"/>
          <w:docGrid w:linePitch="312" w:charSpace="0"/>
        </w:sectPr>
      </w:pPr>
    </w:p>
    <w:tbl>
      <w:tblPr>
        <w:tblStyle w:val="26"/>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14:paraId="00A0A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6" w:type="dxa"/>
            <w:noWrap w:val="0"/>
            <w:tcMar>
              <w:left w:w="28" w:type="dxa"/>
              <w:right w:w="28" w:type="dxa"/>
            </w:tcMar>
            <w:vAlign w:val="center"/>
          </w:tcPr>
          <w:p w14:paraId="7138B38C">
            <w:pPr>
              <w:adjustRightInd w:val="0"/>
              <w:snapToGrid w:val="0"/>
              <w:jc w:val="both"/>
              <w:rPr>
                <w:rFonts w:ascii="宋体" w:hAnsi="宋体" w:cs="宋体"/>
                <w:bCs/>
                <w:color w:val="auto"/>
                <w:sz w:val="24"/>
                <w:szCs w:val="24"/>
                <w:highlight w:val="none"/>
              </w:rPr>
            </w:pPr>
          </w:p>
        </w:tc>
        <w:tc>
          <w:tcPr>
            <w:tcW w:w="8162" w:type="dxa"/>
            <w:noWrap w:val="0"/>
            <w:vAlign w:val="center"/>
          </w:tcPr>
          <w:p w14:paraId="08B595C8">
            <w:pPr>
              <w:pStyle w:val="11"/>
              <w:numPr>
                <w:ilvl w:val="0"/>
                <w:numId w:val="7"/>
              </w:numPr>
              <w:bidi w:val="0"/>
              <w:ind w:left="0" w:leftChars="0" w:firstLine="480" w:firstLineChars="200"/>
              <w:rPr>
                <w:rFonts w:hint="eastAsia"/>
                <w:color w:val="auto"/>
                <w:highlight w:val="none"/>
                <w:lang w:val="en-US" w:eastAsia="zh-CN"/>
              </w:rPr>
            </w:pPr>
            <w:r>
              <w:rPr>
                <w:rFonts w:hint="eastAsia"/>
                <w:color w:val="auto"/>
                <w:highlight w:val="none"/>
                <w:lang w:val="en-US" w:eastAsia="zh-CN"/>
              </w:rPr>
              <w:t>废气源强核算</w:t>
            </w:r>
          </w:p>
          <w:p w14:paraId="116C69F7">
            <w:pPr>
              <w:pStyle w:val="11"/>
              <w:bidi w:val="0"/>
              <w:rPr>
                <w:rFonts w:hint="default"/>
                <w:color w:val="auto"/>
                <w:highlight w:val="none"/>
                <w:lang w:val="en-US" w:eastAsia="zh-CN"/>
              </w:rPr>
            </w:pPr>
            <w:r>
              <w:rPr>
                <w:rFonts w:hint="eastAsia"/>
                <w:color w:val="auto"/>
                <w:highlight w:val="none"/>
                <w:lang w:val="en-US" w:eastAsia="zh-CN"/>
              </w:rPr>
              <w:t>1）秸秆炭产线废气</w:t>
            </w:r>
          </w:p>
          <w:p w14:paraId="3C7BEC12">
            <w:pPr>
              <w:pStyle w:val="11"/>
              <w:bidi w:val="0"/>
              <w:rPr>
                <w:rFonts w:hint="eastAsia"/>
                <w:color w:val="auto"/>
                <w:highlight w:val="none"/>
                <w:lang w:val="en-US" w:eastAsia="zh-CN"/>
              </w:rPr>
            </w:pPr>
            <w:r>
              <w:rPr>
                <w:rFonts w:hint="eastAsia"/>
                <w:color w:val="auto"/>
                <w:highlight w:val="none"/>
                <w:lang w:val="en-US" w:eastAsia="zh-CN"/>
              </w:rPr>
              <w:t>①原料装卸粉尘</w:t>
            </w:r>
          </w:p>
          <w:p w14:paraId="66549E29">
            <w:pPr>
              <w:pStyle w:val="11"/>
              <w:bidi w:val="0"/>
              <w:rPr>
                <w:rFonts w:hint="default"/>
                <w:color w:val="auto"/>
                <w:highlight w:val="none"/>
                <w:lang w:val="en-US" w:eastAsia="zh-CN"/>
              </w:rPr>
            </w:pPr>
            <w:r>
              <w:rPr>
                <w:rFonts w:hint="default"/>
                <w:color w:val="auto"/>
                <w:highlight w:val="none"/>
                <w:lang w:val="en-US" w:eastAsia="zh-CN"/>
              </w:rPr>
              <w:t>本项目原料装卸、堆存过程中会产生少量粉尘。由于本项目原料</w:t>
            </w:r>
            <w:r>
              <w:rPr>
                <w:rFonts w:hint="eastAsia"/>
                <w:color w:val="auto"/>
                <w:highlight w:val="none"/>
                <w:lang w:val="en-US" w:eastAsia="zh-CN"/>
              </w:rPr>
              <w:t>秸秆</w:t>
            </w:r>
            <w:r>
              <w:rPr>
                <w:rFonts w:hint="default"/>
                <w:color w:val="auto"/>
                <w:highlight w:val="none"/>
                <w:lang w:val="en-US" w:eastAsia="zh-CN"/>
              </w:rPr>
              <w:t>比重较大，含水率高（约30%），不易起尘，考虑95%粉尘可在车间内沉降，仅有少量粉尘以无组织形式排放，且原料</w:t>
            </w:r>
            <w:r>
              <w:rPr>
                <w:rFonts w:hint="eastAsia"/>
                <w:color w:val="auto"/>
                <w:highlight w:val="none"/>
                <w:lang w:val="en-US" w:eastAsia="zh-CN"/>
              </w:rPr>
              <w:t>秸秆</w:t>
            </w:r>
            <w:r>
              <w:rPr>
                <w:rFonts w:hint="default"/>
                <w:color w:val="auto"/>
                <w:highlight w:val="none"/>
                <w:lang w:val="en-US" w:eastAsia="zh-CN"/>
              </w:rPr>
              <w:t>存放于炭化车间原料仓库内，通过采取封闭式仓库阻隔等措施后，粉尘控制效率以90%计，则原料装卸粉尘排放量约0.05t/a。粉尘产生量较小，经大气扩散后对周边环境影响不大。</w:t>
            </w:r>
          </w:p>
          <w:p w14:paraId="5D8BED54">
            <w:pPr>
              <w:pStyle w:val="11"/>
              <w:bidi w:val="0"/>
              <w:rPr>
                <w:color w:val="auto"/>
                <w:highlight w:val="none"/>
              </w:rPr>
            </w:pPr>
            <w:r>
              <w:rPr>
                <w:rFonts w:hint="eastAsia"/>
                <w:color w:val="auto"/>
                <w:highlight w:val="none"/>
                <w:lang w:val="en-US" w:eastAsia="zh-CN"/>
              </w:rPr>
              <w:t>②</w:t>
            </w:r>
            <w:r>
              <w:rPr>
                <w:rFonts w:hint="eastAsia"/>
                <w:color w:val="auto"/>
                <w:highlight w:val="none"/>
              </w:rPr>
              <w:t>粉碎</w:t>
            </w:r>
            <w:r>
              <w:rPr>
                <w:color w:val="auto"/>
                <w:highlight w:val="none"/>
              </w:rPr>
              <w:t>粉尘</w:t>
            </w:r>
          </w:p>
          <w:p w14:paraId="77C36467">
            <w:pPr>
              <w:pStyle w:val="11"/>
              <w:bidi w:val="0"/>
              <w:rPr>
                <w:rFonts w:hint="default" w:eastAsia="宋体"/>
                <w:color w:val="auto"/>
                <w:highlight w:val="none"/>
                <w:lang w:val="en-US" w:eastAsia="zh-CN"/>
              </w:rPr>
            </w:pPr>
            <w:r>
              <w:rPr>
                <w:color w:val="auto"/>
                <w:highlight w:val="none"/>
              </w:rPr>
              <w:t>依据建设单位提供的资料，本项目每年处理</w:t>
            </w:r>
            <w:r>
              <w:rPr>
                <w:rFonts w:hint="eastAsia"/>
                <w:color w:val="auto"/>
                <w:highlight w:val="none"/>
              </w:rPr>
              <w:t>农作物秸秆</w:t>
            </w:r>
            <w:r>
              <w:rPr>
                <w:rFonts w:hint="eastAsia"/>
                <w:color w:val="auto"/>
                <w:highlight w:val="none"/>
                <w:lang w:val="en-US" w:eastAsia="zh-CN"/>
              </w:rPr>
              <w:t>20000</w:t>
            </w:r>
            <w:r>
              <w:rPr>
                <w:rFonts w:hint="eastAsia"/>
                <w:color w:val="auto"/>
                <w:highlight w:val="none"/>
              </w:rPr>
              <w:t>t</w:t>
            </w:r>
            <w:r>
              <w:rPr>
                <w:color w:val="auto"/>
                <w:highlight w:val="none"/>
              </w:rPr>
              <w:t>，</w:t>
            </w:r>
            <w:r>
              <w:rPr>
                <w:rFonts w:hint="eastAsia"/>
                <w:color w:val="auto"/>
                <w:highlight w:val="none"/>
                <w:lang w:val="en-US" w:eastAsia="zh-CN"/>
              </w:rPr>
              <w:t>年生产秸秆炭4941.65t。秸秆的含水率在30%左右，需对秸秆进行粉碎，该工序会产生一定量的粉尘。根据《排放源统计调查产排污核算方法和系数手册》中的《2542生物质致密成型燃料加工行业系数手册》中的“2</w:t>
            </w:r>
            <w:r>
              <w:rPr>
                <w:color w:val="auto"/>
                <w:highlight w:val="none"/>
              </w:rPr>
              <w:t>542生物质致密成型燃料加工行业系数表</w:t>
            </w:r>
            <w:r>
              <w:rPr>
                <w:rFonts w:hint="eastAsia"/>
                <w:color w:val="auto"/>
                <w:highlight w:val="none"/>
                <w:lang w:val="en-US" w:eastAsia="zh-CN"/>
              </w:rPr>
              <w:t>”，生产生物质致密成型燃料的产污系数见表4-4。</w:t>
            </w:r>
            <w:r>
              <w:rPr>
                <w:color w:val="auto"/>
                <w:highlight w:val="none"/>
              </w:rPr>
              <w:t>环评要求建设单位将</w:t>
            </w:r>
            <w:r>
              <w:rPr>
                <w:rFonts w:hint="eastAsia"/>
                <w:color w:val="auto"/>
                <w:highlight w:val="none"/>
              </w:rPr>
              <w:t>粉碎机</w:t>
            </w:r>
            <w:r>
              <w:rPr>
                <w:color w:val="auto"/>
                <w:highlight w:val="none"/>
              </w:rPr>
              <w:t>放置在全</w:t>
            </w:r>
            <w:r>
              <w:rPr>
                <w:rFonts w:hint="eastAsia"/>
                <w:color w:val="auto"/>
                <w:highlight w:val="none"/>
              </w:rPr>
              <w:t>封闭</w:t>
            </w:r>
            <w:r>
              <w:rPr>
                <w:color w:val="auto"/>
                <w:highlight w:val="none"/>
              </w:rPr>
              <w:t>生产车间内</w:t>
            </w:r>
            <w:r>
              <w:rPr>
                <w:rFonts w:hint="eastAsia"/>
                <w:color w:val="auto"/>
                <w:highlight w:val="none"/>
              </w:rPr>
              <w:t>，皮带输送采取全封闭处理</w:t>
            </w:r>
            <w:r>
              <w:rPr>
                <w:color w:val="auto"/>
                <w:highlight w:val="none"/>
              </w:rPr>
              <w:t>，并在</w:t>
            </w:r>
            <w:r>
              <w:rPr>
                <w:rFonts w:hint="eastAsia"/>
                <w:color w:val="auto"/>
                <w:highlight w:val="none"/>
              </w:rPr>
              <w:t>粉碎机</w:t>
            </w:r>
            <w:r>
              <w:rPr>
                <w:color w:val="auto"/>
                <w:highlight w:val="none"/>
              </w:rPr>
              <w:t>上方设置集气罩。项目配备风机风量</w:t>
            </w:r>
            <w:r>
              <w:rPr>
                <w:rFonts w:hint="eastAsia"/>
                <w:color w:val="auto"/>
                <w:highlight w:val="none"/>
                <w:lang w:val="en-US" w:eastAsia="zh-CN"/>
              </w:rPr>
              <w:t>5</w:t>
            </w:r>
            <w:r>
              <w:rPr>
                <w:color w:val="auto"/>
                <w:highlight w:val="none"/>
              </w:rPr>
              <w:t>000m</w:t>
            </w:r>
            <w:r>
              <w:rPr>
                <w:color w:val="auto"/>
                <w:highlight w:val="none"/>
                <w:vertAlign w:val="superscript"/>
              </w:rPr>
              <w:t>3</w:t>
            </w:r>
            <w:r>
              <w:rPr>
                <w:color w:val="auto"/>
                <w:highlight w:val="none"/>
              </w:rPr>
              <w:t>/h</w:t>
            </w:r>
            <w:r>
              <w:rPr>
                <w:rFonts w:hint="eastAsia"/>
                <w:color w:val="auto"/>
                <w:highlight w:val="none"/>
                <w:lang w:eastAsia="zh-CN"/>
              </w:rPr>
              <w:t>，</w:t>
            </w:r>
            <w:r>
              <w:rPr>
                <w:rFonts w:hint="eastAsia"/>
                <w:color w:val="auto"/>
                <w:highlight w:val="none"/>
                <w:lang w:val="en-US" w:eastAsia="zh-CN"/>
              </w:rPr>
              <w:t>粉碎</w:t>
            </w:r>
            <w:r>
              <w:rPr>
                <w:color w:val="auto"/>
                <w:highlight w:val="none"/>
              </w:rPr>
              <w:t>粉尘由集气罩（收集效率</w:t>
            </w:r>
            <w:r>
              <w:rPr>
                <w:rFonts w:hint="eastAsia"/>
                <w:color w:val="auto"/>
                <w:highlight w:val="none"/>
              </w:rPr>
              <w:t>90</w:t>
            </w:r>
            <w:r>
              <w:rPr>
                <w:color w:val="auto"/>
                <w:highlight w:val="none"/>
              </w:rPr>
              <w:t>%）收集后通过集气管引至</w:t>
            </w:r>
            <w:r>
              <w:rPr>
                <w:rFonts w:hint="eastAsia"/>
                <w:color w:val="auto"/>
                <w:highlight w:val="none"/>
              </w:rPr>
              <w:t>布袋除尘器</w:t>
            </w:r>
            <w:r>
              <w:rPr>
                <w:color w:val="auto"/>
                <w:highlight w:val="none"/>
              </w:rPr>
              <w:t>（处理效率按9</w:t>
            </w:r>
            <w:r>
              <w:rPr>
                <w:rFonts w:hint="eastAsia"/>
                <w:color w:val="auto"/>
                <w:highlight w:val="none"/>
                <w:lang w:val="en-US" w:eastAsia="zh-CN"/>
              </w:rPr>
              <w:t>2</w:t>
            </w:r>
            <w:r>
              <w:rPr>
                <w:color w:val="auto"/>
                <w:highlight w:val="none"/>
              </w:rPr>
              <w:t>%计）进行净化处理后，通过1根15m高排气筒</w:t>
            </w:r>
            <w:r>
              <w:rPr>
                <w:rFonts w:hint="eastAsia"/>
                <w:color w:val="auto"/>
                <w:highlight w:val="none"/>
                <w:lang w:eastAsia="zh-CN"/>
              </w:rPr>
              <w:t>（</w:t>
            </w:r>
            <w:r>
              <w:rPr>
                <w:rFonts w:hint="eastAsia"/>
                <w:color w:val="auto"/>
                <w:highlight w:val="none"/>
                <w:lang w:val="en-US" w:eastAsia="zh-CN"/>
              </w:rPr>
              <w:t>DA001</w:t>
            </w:r>
            <w:r>
              <w:rPr>
                <w:rFonts w:hint="eastAsia"/>
                <w:color w:val="auto"/>
                <w:highlight w:val="none"/>
                <w:lang w:eastAsia="zh-CN"/>
              </w:rPr>
              <w:t>）</w:t>
            </w:r>
            <w:r>
              <w:rPr>
                <w:color w:val="auto"/>
                <w:highlight w:val="none"/>
              </w:rPr>
              <w:t>排放</w:t>
            </w:r>
            <w:r>
              <w:rPr>
                <w:rFonts w:hint="eastAsia"/>
                <w:color w:val="auto"/>
                <w:highlight w:val="none"/>
                <w:lang w:eastAsia="zh-CN"/>
              </w:rPr>
              <w:t>，</w:t>
            </w:r>
            <w:r>
              <w:rPr>
                <w:rFonts w:hint="eastAsia"/>
                <w:color w:val="auto"/>
                <w:highlight w:val="none"/>
                <w:lang w:val="en-US" w:eastAsia="zh-CN"/>
              </w:rPr>
              <w:t>秸秆粉碎粉尘的产排情况见表4-5。</w:t>
            </w:r>
          </w:p>
          <w:p w14:paraId="5E620971">
            <w:pPr>
              <w:pStyle w:val="32"/>
              <w:bidi w:val="0"/>
              <w:rPr>
                <w:rFonts w:hint="eastAsia"/>
                <w:color w:val="auto"/>
                <w:highlight w:val="none"/>
                <w:lang w:val="en-US" w:eastAsia="zh-CN"/>
              </w:rPr>
            </w:pPr>
            <w:r>
              <w:rPr>
                <w:rFonts w:hint="eastAsia"/>
                <w:color w:val="auto"/>
                <w:highlight w:val="none"/>
                <w:lang w:val="en-US" w:eastAsia="zh-CN"/>
              </w:rPr>
              <w:t>表4-4     2542生物质致密成型燃料加工行业系数表</w:t>
            </w:r>
          </w:p>
          <w:tbl>
            <w:tblPr>
              <w:tblStyle w:val="27"/>
              <w:tblW w:w="7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92"/>
              <w:gridCol w:w="682"/>
              <w:gridCol w:w="667"/>
              <w:gridCol w:w="2117"/>
              <w:gridCol w:w="1659"/>
              <w:gridCol w:w="1261"/>
            </w:tblGrid>
            <w:tr w14:paraId="00B1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2" w:type="dxa"/>
                  <w:vAlign w:val="center"/>
                </w:tcPr>
                <w:p w14:paraId="722550EF">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工段名称</w:t>
                  </w:r>
                </w:p>
              </w:tc>
              <w:tc>
                <w:tcPr>
                  <w:tcW w:w="792" w:type="dxa"/>
                  <w:vAlign w:val="center"/>
                </w:tcPr>
                <w:p w14:paraId="2ADB9EC7">
                  <w:pPr>
                    <w:pStyle w:val="49"/>
                    <w:bidi w:val="0"/>
                    <w:jc w:val="center"/>
                    <w:rPr>
                      <w:rFonts w:hint="default"/>
                      <w:b/>
                      <w:bCs w:val="0"/>
                      <w:color w:val="auto"/>
                      <w:highlight w:val="none"/>
                      <w:lang w:val="en-US" w:eastAsia="zh-CN"/>
                    </w:rPr>
                  </w:pPr>
                  <w:r>
                    <w:rPr>
                      <w:rFonts w:hint="eastAsia"/>
                      <w:b/>
                      <w:bCs w:val="0"/>
                      <w:color w:val="auto"/>
                      <w:highlight w:val="none"/>
                      <w:lang w:val="en-US" w:eastAsia="zh-CN"/>
                    </w:rPr>
                    <w:t>产品名称</w:t>
                  </w:r>
                </w:p>
              </w:tc>
              <w:tc>
                <w:tcPr>
                  <w:tcW w:w="682" w:type="dxa"/>
                  <w:vAlign w:val="center"/>
                </w:tcPr>
                <w:p w14:paraId="0FC52F55">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原料名称</w:t>
                  </w:r>
                </w:p>
              </w:tc>
              <w:tc>
                <w:tcPr>
                  <w:tcW w:w="667" w:type="dxa"/>
                  <w:vAlign w:val="center"/>
                </w:tcPr>
                <w:p w14:paraId="5FE2BF01">
                  <w:pPr>
                    <w:pStyle w:val="49"/>
                    <w:bidi w:val="0"/>
                    <w:jc w:val="center"/>
                    <w:rPr>
                      <w:rFonts w:hint="default"/>
                      <w:b/>
                      <w:bCs w:val="0"/>
                      <w:color w:val="auto"/>
                      <w:highlight w:val="none"/>
                      <w:lang w:val="en-US" w:eastAsia="zh-CN"/>
                    </w:rPr>
                  </w:pPr>
                  <w:r>
                    <w:rPr>
                      <w:rFonts w:hint="eastAsia"/>
                      <w:b/>
                      <w:bCs w:val="0"/>
                      <w:color w:val="auto"/>
                      <w:highlight w:val="none"/>
                      <w:lang w:val="en-US" w:eastAsia="zh-CN"/>
                    </w:rPr>
                    <w:t>规模等级</w:t>
                  </w:r>
                </w:p>
              </w:tc>
              <w:tc>
                <w:tcPr>
                  <w:tcW w:w="2117" w:type="dxa"/>
                  <w:vAlign w:val="center"/>
                </w:tcPr>
                <w:p w14:paraId="77872EC0">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污染物指标</w:t>
                  </w:r>
                </w:p>
              </w:tc>
              <w:tc>
                <w:tcPr>
                  <w:tcW w:w="1659" w:type="dxa"/>
                  <w:vAlign w:val="center"/>
                </w:tcPr>
                <w:p w14:paraId="22AD03CD">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单位</w:t>
                  </w:r>
                </w:p>
              </w:tc>
              <w:tc>
                <w:tcPr>
                  <w:tcW w:w="1261" w:type="dxa"/>
                  <w:vAlign w:val="center"/>
                </w:tcPr>
                <w:p w14:paraId="279EF07E">
                  <w:pPr>
                    <w:pStyle w:val="49"/>
                    <w:bidi w:val="0"/>
                    <w:jc w:val="center"/>
                    <w:rPr>
                      <w:rFonts w:hint="default"/>
                      <w:b/>
                      <w:bCs w:val="0"/>
                      <w:color w:val="auto"/>
                      <w:highlight w:val="none"/>
                      <w:lang w:val="en-US" w:eastAsia="zh-CN"/>
                    </w:rPr>
                  </w:pPr>
                  <w:r>
                    <w:rPr>
                      <w:rFonts w:hint="eastAsia"/>
                      <w:b/>
                      <w:bCs w:val="0"/>
                      <w:color w:val="auto"/>
                      <w:highlight w:val="none"/>
                      <w:lang w:val="en-US" w:eastAsia="zh-CN"/>
                    </w:rPr>
                    <w:t>产污系数</w:t>
                  </w:r>
                </w:p>
              </w:tc>
            </w:tr>
            <w:tr w14:paraId="618CE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2" w:type="dxa"/>
                  <w:vAlign w:val="center"/>
                </w:tcPr>
                <w:p w14:paraId="2713226A">
                  <w:pPr>
                    <w:pStyle w:val="49"/>
                    <w:bidi w:val="0"/>
                    <w:jc w:val="center"/>
                    <w:rPr>
                      <w:rFonts w:hint="default"/>
                      <w:color w:val="auto"/>
                      <w:highlight w:val="none"/>
                      <w:lang w:val="en-US" w:eastAsia="zh-CN"/>
                    </w:rPr>
                  </w:pPr>
                  <w:r>
                    <w:rPr>
                      <w:rFonts w:hint="eastAsia"/>
                      <w:color w:val="auto"/>
                      <w:highlight w:val="none"/>
                      <w:lang w:val="en-US" w:eastAsia="zh-CN"/>
                    </w:rPr>
                    <w:t>破碎</w:t>
                  </w:r>
                </w:p>
              </w:tc>
              <w:tc>
                <w:tcPr>
                  <w:tcW w:w="792" w:type="dxa"/>
                  <w:vMerge w:val="restart"/>
                  <w:vAlign w:val="center"/>
                </w:tcPr>
                <w:p w14:paraId="2A6E0091">
                  <w:pPr>
                    <w:pStyle w:val="49"/>
                    <w:bidi w:val="0"/>
                    <w:jc w:val="center"/>
                    <w:rPr>
                      <w:rFonts w:hint="default"/>
                      <w:color w:val="auto"/>
                      <w:highlight w:val="none"/>
                      <w:lang w:val="en-US" w:eastAsia="zh-CN"/>
                    </w:rPr>
                  </w:pPr>
                  <w:r>
                    <w:rPr>
                      <w:rFonts w:hint="eastAsia"/>
                      <w:color w:val="auto"/>
                      <w:highlight w:val="none"/>
                      <w:lang w:val="en-US" w:eastAsia="zh-CN"/>
                    </w:rPr>
                    <w:t>生物质致密成型燃料</w:t>
                  </w:r>
                </w:p>
              </w:tc>
              <w:tc>
                <w:tcPr>
                  <w:tcW w:w="682" w:type="dxa"/>
                  <w:vMerge w:val="restart"/>
                  <w:vAlign w:val="center"/>
                </w:tcPr>
                <w:p w14:paraId="5C7B866A">
                  <w:pPr>
                    <w:pStyle w:val="49"/>
                    <w:bidi w:val="0"/>
                    <w:jc w:val="center"/>
                    <w:rPr>
                      <w:rFonts w:hint="default"/>
                      <w:color w:val="auto"/>
                      <w:highlight w:val="none"/>
                      <w:lang w:val="en-US" w:eastAsia="zh-CN"/>
                    </w:rPr>
                  </w:pPr>
                  <w:r>
                    <w:rPr>
                      <w:rFonts w:hint="eastAsia"/>
                      <w:color w:val="auto"/>
                      <w:highlight w:val="none"/>
                      <w:lang w:val="en-US" w:eastAsia="zh-CN"/>
                    </w:rPr>
                    <w:t>秸秆</w:t>
                  </w:r>
                </w:p>
              </w:tc>
              <w:tc>
                <w:tcPr>
                  <w:tcW w:w="667" w:type="dxa"/>
                  <w:vMerge w:val="restart"/>
                  <w:vAlign w:val="center"/>
                </w:tcPr>
                <w:p w14:paraId="69BEAA0D">
                  <w:pPr>
                    <w:pStyle w:val="49"/>
                    <w:bidi w:val="0"/>
                    <w:jc w:val="center"/>
                    <w:rPr>
                      <w:rFonts w:hint="default"/>
                      <w:color w:val="auto"/>
                      <w:highlight w:val="none"/>
                      <w:lang w:val="en-US" w:eastAsia="zh-CN"/>
                    </w:rPr>
                  </w:pPr>
                  <w:r>
                    <w:rPr>
                      <w:rFonts w:hint="eastAsia"/>
                      <w:color w:val="auto"/>
                      <w:highlight w:val="none"/>
                      <w:lang w:val="en-US" w:eastAsia="zh-CN"/>
                    </w:rPr>
                    <w:t>所有规模</w:t>
                  </w:r>
                </w:p>
              </w:tc>
              <w:tc>
                <w:tcPr>
                  <w:tcW w:w="2117" w:type="dxa"/>
                  <w:vAlign w:val="center"/>
                </w:tcPr>
                <w:p w14:paraId="6A386972">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1659" w:type="dxa"/>
                  <w:vAlign w:val="center"/>
                </w:tcPr>
                <w:p w14:paraId="2B33CBBD">
                  <w:pPr>
                    <w:pStyle w:val="49"/>
                    <w:bidi w:val="0"/>
                    <w:jc w:val="center"/>
                    <w:rPr>
                      <w:rFonts w:hint="default"/>
                      <w:color w:val="auto"/>
                      <w:highlight w:val="none"/>
                      <w:lang w:val="en-US" w:eastAsia="zh-CN"/>
                    </w:rPr>
                  </w:pPr>
                  <w:r>
                    <w:rPr>
                      <w:rFonts w:hint="eastAsia"/>
                      <w:color w:val="auto"/>
                      <w:highlight w:val="none"/>
                      <w:lang w:val="en-US" w:eastAsia="zh-CN"/>
                    </w:rPr>
                    <w:t>吨/吨-产品</w:t>
                  </w:r>
                </w:p>
              </w:tc>
              <w:tc>
                <w:tcPr>
                  <w:tcW w:w="1261" w:type="dxa"/>
                  <w:vAlign w:val="center"/>
                </w:tcPr>
                <w:p w14:paraId="364B45F5">
                  <w:pPr>
                    <w:pStyle w:val="49"/>
                    <w:bidi w:val="0"/>
                    <w:jc w:val="center"/>
                    <w:rPr>
                      <w:rFonts w:hint="default"/>
                      <w:color w:val="auto"/>
                      <w:highlight w:val="none"/>
                      <w:vertAlign w:val="superscript"/>
                      <w:lang w:val="en-US" w:eastAsia="zh-CN"/>
                    </w:rPr>
                  </w:pPr>
                  <w:r>
                    <w:rPr>
                      <w:rFonts w:hint="eastAsia"/>
                      <w:color w:val="auto"/>
                      <w:highlight w:val="none"/>
                      <w:lang w:val="en-US" w:eastAsia="zh-CN"/>
                    </w:rPr>
                    <w:t>6.69</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p>
              </w:tc>
            </w:tr>
            <w:tr w14:paraId="25FDA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2" w:type="dxa"/>
                  <w:vMerge w:val="restart"/>
                  <w:vAlign w:val="center"/>
                </w:tcPr>
                <w:p w14:paraId="77DC826C">
                  <w:pPr>
                    <w:pStyle w:val="49"/>
                    <w:bidi w:val="0"/>
                    <w:jc w:val="center"/>
                    <w:rPr>
                      <w:rFonts w:hint="default"/>
                      <w:color w:val="auto"/>
                      <w:highlight w:val="none"/>
                      <w:lang w:val="en-US" w:eastAsia="zh-CN"/>
                    </w:rPr>
                  </w:pPr>
                  <w:r>
                    <w:rPr>
                      <w:rFonts w:hint="eastAsia"/>
                      <w:color w:val="auto"/>
                      <w:highlight w:val="none"/>
                      <w:lang w:val="en-US" w:eastAsia="zh-CN"/>
                    </w:rPr>
                    <w:t>烘干</w:t>
                  </w:r>
                </w:p>
              </w:tc>
              <w:tc>
                <w:tcPr>
                  <w:tcW w:w="792" w:type="dxa"/>
                  <w:vMerge w:val="continue"/>
                  <w:vAlign w:val="center"/>
                </w:tcPr>
                <w:p w14:paraId="633E5996">
                  <w:pPr>
                    <w:pStyle w:val="49"/>
                    <w:bidi w:val="0"/>
                    <w:jc w:val="center"/>
                    <w:rPr>
                      <w:rFonts w:hint="default"/>
                      <w:color w:val="auto"/>
                      <w:highlight w:val="none"/>
                      <w:lang w:val="en-US" w:eastAsia="zh-CN"/>
                    </w:rPr>
                  </w:pPr>
                </w:p>
              </w:tc>
              <w:tc>
                <w:tcPr>
                  <w:tcW w:w="682" w:type="dxa"/>
                  <w:vMerge w:val="continue"/>
                  <w:vAlign w:val="center"/>
                </w:tcPr>
                <w:p w14:paraId="6A1206EF">
                  <w:pPr>
                    <w:pStyle w:val="49"/>
                    <w:bidi w:val="0"/>
                    <w:jc w:val="center"/>
                    <w:rPr>
                      <w:rFonts w:hint="eastAsia"/>
                      <w:color w:val="auto"/>
                      <w:highlight w:val="none"/>
                      <w:lang w:val="en-US" w:eastAsia="zh-CN"/>
                    </w:rPr>
                  </w:pPr>
                </w:p>
              </w:tc>
              <w:tc>
                <w:tcPr>
                  <w:tcW w:w="667" w:type="dxa"/>
                  <w:vMerge w:val="continue"/>
                  <w:vAlign w:val="center"/>
                </w:tcPr>
                <w:p w14:paraId="7E415DAC">
                  <w:pPr>
                    <w:pStyle w:val="49"/>
                    <w:bidi w:val="0"/>
                    <w:jc w:val="center"/>
                    <w:rPr>
                      <w:rFonts w:hint="eastAsia"/>
                      <w:color w:val="auto"/>
                      <w:highlight w:val="none"/>
                      <w:lang w:val="en-US" w:eastAsia="zh-CN"/>
                    </w:rPr>
                  </w:pPr>
                </w:p>
              </w:tc>
              <w:tc>
                <w:tcPr>
                  <w:tcW w:w="2117" w:type="dxa"/>
                  <w:vAlign w:val="center"/>
                </w:tcPr>
                <w:p w14:paraId="1C04F71B">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颗粒物</w:t>
                  </w:r>
                </w:p>
              </w:tc>
              <w:tc>
                <w:tcPr>
                  <w:tcW w:w="1659" w:type="dxa"/>
                  <w:vAlign w:val="center"/>
                </w:tcPr>
                <w:p w14:paraId="559882AA">
                  <w:pPr>
                    <w:bidi w:val="0"/>
                    <w:jc w:val="center"/>
                    <w:rPr>
                      <w:rFonts w:hint="default"/>
                      <w:color w:val="auto"/>
                      <w:highlight w:val="none"/>
                      <w:lang w:val="en-US" w:eastAsia="zh-CN"/>
                    </w:rPr>
                  </w:pPr>
                  <w:r>
                    <w:rPr>
                      <w:rFonts w:hint="eastAsia"/>
                      <w:color w:val="auto"/>
                      <w:highlight w:val="none"/>
                      <w:lang w:val="en-US" w:eastAsia="zh-CN"/>
                    </w:rPr>
                    <w:t>吨/吨-产品</w:t>
                  </w:r>
                </w:p>
              </w:tc>
              <w:tc>
                <w:tcPr>
                  <w:tcW w:w="1261" w:type="dxa"/>
                  <w:vAlign w:val="center"/>
                </w:tcPr>
                <w:p w14:paraId="7B2731D8">
                  <w:pPr>
                    <w:pStyle w:val="49"/>
                    <w:bidi w:val="0"/>
                    <w:jc w:val="center"/>
                    <w:rPr>
                      <w:rFonts w:hint="default"/>
                      <w:color w:val="auto"/>
                      <w:highlight w:val="none"/>
                      <w:lang w:val="en-US" w:eastAsia="zh-CN"/>
                    </w:rPr>
                  </w:pPr>
                  <w:r>
                    <w:rPr>
                      <w:rFonts w:hint="eastAsia"/>
                      <w:color w:val="auto"/>
                      <w:highlight w:val="none"/>
                      <w:lang w:val="en-US" w:eastAsia="zh-CN"/>
                    </w:rPr>
                    <w:t>4.01</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-3</w:t>
                  </w:r>
                </w:p>
              </w:tc>
            </w:tr>
            <w:tr w14:paraId="753E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2" w:type="dxa"/>
                  <w:vMerge w:val="continue"/>
                  <w:vAlign w:val="center"/>
                </w:tcPr>
                <w:p w14:paraId="7AE35882">
                  <w:pPr>
                    <w:pStyle w:val="49"/>
                    <w:bidi w:val="0"/>
                    <w:jc w:val="center"/>
                    <w:rPr>
                      <w:rFonts w:hint="eastAsia"/>
                      <w:color w:val="auto"/>
                      <w:highlight w:val="none"/>
                      <w:lang w:val="en-US" w:eastAsia="zh-CN"/>
                    </w:rPr>
                  </w:pPr>
                </w:p>
              </w:tc>
              <w:tc>
                <w:tcPr>
                  <w:tcW w:w="792" w:type="dxa"/>
                  <w:vMerge w:val="continue"/>
                  <w:vAlign w:val="center"/>
                </w:tcPr>
                <w:p w14:paraId="610D718E">
                  <w:pPr>
                    <w:pStyle w:val="49"/>
                    <w:bidi w:val="0"/>
                    <w:jc w:val="center"/>
                    <w:rPr>
                      <w:rFonts w:hint="default"/>
                      <w:color w:val="auto"/>
                      <w:highlight w:val="none"/>
                      <w:lang w:val="en-US" w:eastAsia="zh-CN"/>
                    </w:rPr>
                  </w:pPr>
                </w:p>
              </w:tc>
              <w:tc>
                <w:tcPr>
                  <w:tcW w:w="682" w:type="dxa"/>
                  <w:vMerge w:val="continue"/>
                  <w:vAlign w:val="center"/>
                </w:tcPr>
                <w:p w14:paraId="550563C1">
                  <w:pPr>
                    <w:pStyle w:val="49"/>
                    <w:bidi w:val="0"/>
                    <w:jc w:val="center"/>
                    <w:rPr>
                      <w:rFonts w:hint="eastAsia"/>
                      <w:color w:val="auto"/>
                      <w:highlight w:val="none"/>
                      <w:lang w:val="en-US" w:eastAsia="zh-CN"/>
                    </w:rPr>
                  </w:pPr>
                </w:p>
              </w:tc>
              <w:tc>
                <w:tcPr>
                  <w:tcW w:w="667" w:type="dxa"/>
                  <w:vMerge w:val="continue"/>
                  <w:vAlign w:val="center"/>
                </w:tcPr>
                <w:p w14:paraId="1E2D2EA9">
                  <w:pPr>
                    <w:pStyle w:val="49"/>
                    <w:bidi w:val="0"/>
                    <w:jc w:val="center"/>
                    <w:rPr>
                      <w:rFonts w:hint="eastAsia"/>
                      <w:color w:val="auto"/>
                      <w:highlight w:val="none"/>
                      <w:lang w:val="en-US" w:eastAsia="zh-CN"/>
                    </w:rPr>
                  </w:pPr>
                </w:p>
              </w:tc>
              <w:tc>
                <w:tcPr>
                  <w:tcW w:w="2117" w:type="dxa"/>
                  <w:vAlign w:val="center"/>
                </w:tcPr>
                <w:p w14:paraId="0138B23B">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氮氧化物</w:t>
                  </w:r>
                </w:p>
              </w:tc>
              <w:tc>
                <w:tcPr>
                  <w:tcW w:w="1659" w:type="dxa"/>
                  <w:vAlign w:val="center"/>
                </w:tcPr>
                <w:p w14:paraId="63559CBF">
                  <w:pPr>
                    <w:bidi w:val="0"/>
                    <w:jc w:val="center"/>
                    <w:rPr>
                      <w:rFonts w:hint="eastAsia"/>
                      <w:color w:val="auto"/>
                      <w:highlight w:val="none"/>
                      <w:lang w:val="en-US" w:eastAsia="zh-CN"/>
                    </w:rPr>
                  </w:pPr>
                  <w:r>
                    <w:rPr>
                      <w:rFonts w:hint="eastAsia"/>
                      <w:color w:val="auto"/>
                      <w:highlight w:val="none"/>
                      <w:lang w:val="en-US" w:eastAsia="zh-CN"/>
                    </w:rPr>
                    <w:t>吨/吨-产品</w:t>
                  </w:r>
                </w:p>
              </w:tc>
              <w:tc>
                <w:tcPr>
                  <w:tcW w:w="1261" w:type="dxa"/>
                  <w:vAlign w:val="center"/>
                </w:tcPr>
                <w:p w14:paraId="2F45882B">
                  <w:pPr>
                    <w:pStyle w:val="49"/>
                    <w:bidi w:val="0"/>
                    <w:jc w:val="center"/>
                    <w:rPr>
                      <w:rFonts w:hint="default"/>
                      <w:color w:val="auto"/>
                      <w:highlight w:val="none"/>
                      <w:lang w:val="en-US" w:eastAsia="zh-CN"/>
                    </w:rPr>
                  </w:pPr>
                  <w:r>
                    <w:rPr>
                      <w:rFonts w:hint="eastAsia"/>
                      <w:color w:val="auto"/>
                      <w:highlight w:val="none"/>
                      <w:lang w:val="en-US" w:eastAsia="zh-CN"/>
                    </w:rPr>
                    <w:t>6.89</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p>
              </w:tc>
            </w:tr>
            <w:tr w14:paraId="3659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92" w:type="dxa"/>
                  <w:vMerge w:val="continue"/>
                  <w:vAlign w:val="center"/>
                </w:tcPr>
                <w:p w14:paraId="46D85DFC">
                  <w:pPr>
                    <w:pStyle w:val="49"/>
                    <w:bidi w:val="0"/>
                    <w:jc w:val="center"/>
                    <w:rPr>
                      <w:rFonts w:hint="eastAsia"/>
                      <w:color w:val="auto"/>
                      <w:highlight w:val="none"/>
                      <w:lang w:val="en-US" w:eastAsia="zh-CN"/>
                    </w:rPr>
                  </w:pPr>
                </w:p>
              </w:tc>
              <w:tc>
                <w:tcPr>
                  <w:tcW w:w="792" w:type="dxa"/>
                  <w:vMerge w:val="continue"/>
                  <w:vAlign w:val="center"/>
                </w:tcPr>
                <w:p w14:paraId="2A9E911F">
                  <w:pPr>
                    <w:pStyle w:val="49"/>
                    <w:bidi w:val="0"/>
                    <w:jc w:val="center"/>
                    <w:rPr>
                      <w:rFonts w:hint="default"/>
                      <w:color w:val="auto"/>
                      <w:highlight w:val="none"/>
                      <w:lang w:val="en-US" w:eastAsia="zh-CN"/>
                    </w:rPr>
                  </w:pPr>
                </w:p>
              </w:tc>
              <w:tc>
                <w:tcPr>
                  <w:tcW w:w="682" w:type="dxa"/>
                  <w:vMerge w:val="continue"/>
                  <w:vAlign w:val="center"/>
                </w:tcPr>
                <w:p w14:paraId="4AFA641B">
                  <w:pPr>
                    <w:pStyle w:val="49"/>
                    <w:bidi w:val="0"/>
                    <w:jc w:val="center"/>
                    <w:rPr>
                      <w:rFonts w:hint="eastAsia"/>
                      <w:color w:val="auto"/>
                      <w:highlight w:val="none"/>
                      <w:lang w:val="en-US" w:eastAsia="zh-CN"/>
                    </w:rPr>
                  </w:pPr>
                </w:p>
              </w:tc>
              <w:tc>
                <w:tcPr>
                  <w:tcW w:w="667" w:type="dxa"/>
                  <w:vMerge w:val="continue"/>
                  <w:vAlign w:val="center"/>
                </w:tcPr>
                <w:p w14:paraId="055FD8CA">
                  <w:pPr>
                    <w:pStyle w:val="49"/>
                    <w:bidi w:val="0"/>
                    <w:jc w:val="center"/>
                    <w:rPr>
                      <w:rFonts w:hint="eastAsia"/>
                      <w:color w:val="auto"/>
                      <w:highlight w:val="none"/>
                      <w:lang w:val="en-US" w:eastAsia="zh-CN"/>
                    </w:rPr>
                  </w:pPr>
                </w:p>
              </w:tc>
              <w:tc>
                <w:tcPr>
                  <w:tcW w:w="2117" w:type="dxa"/>
                  <w:vAlign w:val="center"/>
                </w:tcPr>
                <w:p w14:paraId="4A5428BA">
                  <w:pPr>
                    <w:pStyle w:val="49"/>
                    <w:bidi w:val="0"/>
                    <w:ind w:left="0" w:leftChars="0" w:firstLine="0" w:firstLineChars="0"/>
                    <w:jc w:val="center"/>
                    <w:rPr>
                      <w:rFonts w:hint="default"/>
                      <w:color w:val="auto"/>
                      <w:highlight w:val="none"/>
                      <w:lang w:val="en-US" w:eastAsia="zh-CN"/>
                    </w:rPr>
                  </w:pPr>
                  <w:r>
                    <w:rPr>
                      <w:rFonts w:hint="eastAsia"/>
                      <w:color w:val="auto"/>
                      <w:highlight w:val="none"/>
                      <w:lang w:val="en-US" w:eastAsia="zh-CN"/>
                    </w:rPr>
                    <w:t>二氧化硫</w:t>
                  </w:r>
                </w:p>
              </w:tc>
              <w:tc>
                <w:tcPr>
                  <w:tcW w:w="1659" w:type="dxa"/>
                  <w:vAlign w:val="center"/>
                </w:tcPr>
                <w:p w14:paraId="59C15D56">
                  <w:pPr>
                    <w:bidi w:val="0"/>
                    <w:jc w:val="center"/>
                    <w:rPr>
                      <w:rFonts w:hint="eastAsia"/>
                      <w:color w:val="auto"/>
                      <w:highlight w:val="none"/>
                      <w:lang w:val="en-US" w:eastAsia="zh-CN"/>
                    </w:rPr>
                  </w:pPr>
                  <w:r>
                    <w:rPr>
                      <w:rFonts w:hint="eastAsia"/>
                      <w:color w:val="auto"/>
                      <w:highlight w:val="none"/>
                      <w:lang w:val="en-US" w:eastAsia="zh-CN"/>
                    </w:rPr>
                    <w:t>吨/吨-产品</w:t>
                  </w:r>
                </w:p>
              </w:tc>
              <w:tc>
                <w:tcPr>
                  <w:tcW w:w="1261" w:type="dxa"/>
                  <w:vAlign w:val="center"/>
                </w:tcPr>
                <w:p w14:paraId="15F3B646">
                  <w:pPr>
                    <w:pStyle w:val="49"/>
                    <w:bidi w:val="0"/>
                    <w:jc w:val="center"/>
                    <w:rPr>
                      <w:rFonts w:hint="default"/>
                      <w:color w:val="auto"/>
                      <w:highlight w:val="none"/>
                      <w:lang w:val="en-US" w:eastAsia="zh-CN"/>
                    </w:rPr>
                  </w:pPr>
                  <w:r>
                    <w:rPr>
                      <w:rFonts w:hint="eastAsia"/>
                      <w:color w:val="auto"/>
                      <w:highlight w:val="none"/>
                      <w:lang w:val="en-US" w:eastAsia="zh-CN"/>
                    </w:rPr>
                    <w:t>4.80</w:t>
                  </w:r>
                  <w:r>
                    <w:rPr>
                      <w:rFonts w:hint="default" w:ascii="Times New Roman" w:hAnsi="Times New Roman" w:cs="Times New Roman"/>
                      <w:color w:val="auto"/>
                      <w:highlight w:val="none"/>
                      <w:lang w:val="en-US" w:eastAsia="zh-CN"/>
                    </w:rPr>
                    <w:t>×</w:t>
                  </w:r>
                  <w:r>
                    <w:rPr>
                      <w:rFonts w:hint="eastAsia"/>
                      <w:color w:val="auto"/>
                      <w:highlight w:val="none"/>
                      <w:lang w:val="en-US" w:eastAsia="zh-CN"/>
                    </w:rPr>
                    <w:t>10</w:t>
                  </w:r>
                  <w:r>
                    <w:rPr>
                      <w:rFonts w:hint="eastAsia"/>
                      <w:color w:val="auto"/>
                      <w:highlight w:val="none"/>
                      <w:vertAlign w:val="superscript"/>
                      <w:lang w:val="en-US" w:eastAsia="zh-CN"/>
                    </w:rPr>
                    <w:t>-4</w:t>
                  </w:r>
                </w:p>
              </w:tc>
            </w:tr>
          </w:tbl>
          <w:p w14:paraId="59AC3997">
            <w:pPr>
              <w:pStyle w:val="32"/>
              <w:bidi w:val="0"/>
              <w:rPr>
                <w:rFonts w:hint="eastAsia"/>
                <w:color w:val="auto"/>
                <w:highlight w:val="none"/>
                <w:lang w:val="en-US" w:eastAsia="zh-CN"/>
              </w:rPr>
            </w:pPr>
          </w:p>
          <w:p w14:paraId="1A9AC459">
            <w:pPr>
              <w:pStyle w:val="32"/>
              <w:bidi w:val="0"/>
              <w:rPr>
                <w:rFonts w:hint="eastAsia"/>
                <w:color w:val="auto"/>
                <w:highlight w:val="none"/>
                <w:lang w:val="en-US" w:eastAsia="zh-CN"/>
              </w:rPr>
            </w:pPr>
            <w:r>
              <w:rPr>
                <w:rFonts w:hint="eastAsia"/>
                <w:color w:val="auto"/>
                <w:highlight w:val="none"/>
                <w:lang w:val="en-US" w:eastAsia="zh-CN"/>
              </w:rPr>
              <w:t>表4-5     粉碎粉尘污染物产排情况一览表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660"/>
              <w:gridCol w:w="851"/>
              <w:gridCol w:w="645"/>
              <w:gridCol w:w="856"/>
              <w:gridCol w:w="991"/>
              <w:gridCol w:w="1081"/>
              <w:gridCol w:w="1021"/>
              <w:gridCol w:w="1078"/>
            </w:tblGrid>
            <w:tr w14:paraId="3916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14:paraId="1C4170FE">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废气源</w:t>
                  </w:r>
                </w:p>
              </w:tc>
              <w:tc>
                <w:tcPr>
                  <w:tcW w:w="660" w:type="dxa"/>
                  <w:vAlign w:val="center"/>
                </w:tcPr>
                <w:p w14:paraId="4D8A95CB">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污染物</w:t>
                  </w:r>
                </w:p>
              </w:tc>
              <w:tc>
                <w:tcPr>
                  <w:tcW w:w="850" w:type="dxa"/>
                  <w:vAlign w:val="center"/>
                </w:tcPr>
                <w:p w14:paraId="78817499">
                  <w:pPr>
                    <w:pStyle w:val="49"/>
                    <w:bidi w:val="0"/>
                    <w:jc w:val="center"/>
                    <w:rPr>
                      <w:rFonts w:hint="default"/>
                      <w:b/>
                      <w:bCs w:val="0"/>
                      <w:color w:val="auto"/>
                      <w:highlight w:val="none"/>
                      <w:lang w:val="en-US" w:eastAsia="zh-CN"/>
                    </w:rPr>
                  </w:pPr>
                  <w:r>
                    <w:rPr>
                      <w:rFonts w:hint="eastAsia"/>
                      <w:b/>
                      <w:bCs w:val="0"/>
                      <w:color w:val="auto"/>
                      <w:highlight w:val="none"/>
                      <w:lang w:val="en-US" w:eastAsia="zh-CN"/>
                    </w:rPr>
                    <w:t>产生量(t/a)</w:t>
                  </w:r>
                </w:p>
              </w:tc>
              <w:tc>
                <w:tcPr>
                  <w:tcW w:w="645" w:type="dxa"/>
                  <w:vAlign w:val="center"/>
                </w:tcPr>
                <w:p w14:paraId="4BC13CDA">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排放形式</w:t>
                  </w:r>
                </w:p>
              </w:tc>
              <w:tc>
                <w:tcPr>
                  <w:tcW w:w="855" w:type="dxa"/>
                  <w:vAlign w:val="center"/>
                </w:tcPr>
                <w:p w14:paraId="005A4F55">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排放量(t/a)</w:t>
                  </w:r>
                </w:p>
              </w:tc>
              <w:tc>
                <w:tcPr>
                  <w:tcW w:w="990" w:type="dxa"/>
                  <w:vAlign w:val="center"/>
                </w:tcPr>
                <w:p w14:paraId="5ACC0F1F">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排放速率(kg/h)</w:t>
                  </w:r>
                </w:p>
              </w:tc>
              <w:tc>
                <w:tcPr>
                  <w:tcW w:w="1080" w:type="dxa"/>
                  <w:vAlign w:val="center"/>
                </w:tcPr>
                <w:p w14:paraId="6B4929E1">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排放浓度(mg/m</w:t>
                  </w:r>
                  <w:r>
                    <w:rPr>
                      <w:rFonts w:hint="eastAsia"/>
                      <w:b/>
                      <w:bCs w:val="0"/>
                      <w:color w:val="auto"/>
                      <w:highlight w:val="none"/>
                      <w:vertAlign w:val="superscript"/>
                      <w:lang w:val="en-US" w:eastAsia="zh-CN"/>
                    </w:rPr>
                    <w:t>3</w:t>
                  </w:r>
                  <w:r>
                    <w:rPr>
                      <w:rFonts w:hint="eastAsia"/>
                      <w:b/>
                      <w:bCs w:val="0"/>
                      <w:color w:val="auto"/>
                      <w:highlight w:val="none"/>
                      <w:lang w:val="en-US" w:eastAsia="zh-CN"/>
                    </w:rPr>
                    <w:t>)</w:t>
                  </w:r>
                </w:p>
              </w:tc>
              <w:tc>
                <w:tcPr>
                  <w:tcW w:w="1020" w:type="dxa"/>
                  <w:vAlign w:val="center"/>
                </w:tcPr>
                <w:p w14:paraId="20D21EB3">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治理措施</w:t>
                  </w:r>
                </w:p>
              </w:tc>
              <w:tc>
                <w:tcPr>
                  <w:tcW w:w="1077" w:type="dxa"/>
                  <w:vAlign w:val="center"/>
                </w:tcPr>
                <w:p w14:paraId="0E8A36D1">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无组织排放量(t/a)</w:t>
                  </w:r>
                </w:p>
              </w:tc>
            </w:tr>
            <w:tr w14:paraId="7176F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 w:type="dxa"/>
                  <w:vAlign w:val="center"/>
                </w:tcPr>
                <w:p w14:paraId="6BB3765D">
                  <w:pPr>
                    <w:pStyle w:val="49"/>
                    <w:bidi w:val="0"/>
                    <w:jc w:val="center"/>
                    <w:rPr>
                      <w:rFonts w:hint="default"/>
                      <w:color w:val="auto"/>
                      <w:highlight w:val="none"/>
                      <w:lang w:val="en-US" w:eastAsia="zh-CN"/>
                    </w:rPr>
                  </w:pPr>
                  <w:r>
                    <w:rPr>
                      <w:rFonts w:hint="eastAsia"/>
                      <w:color w:val="auto"/>
                      <w:highlight w:val="none"/>
                      <w:lang w:val="en-US" w:eastAsia="zh-CN"/>
                    </w:rPr>
                    <w:t>粉碎粉尘</w:t>
                  </w:r>
                </w:p>
              </w:tc>
              <w:tc>
                <w:tcPr>
                  <w:tcW w:w="660" w:type="dxa"/>
                  <w:vAlign w:val="center"/>
                </w:tcPr>
                <w:p w14:paraId="498AC507">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850" w:type="dxa"/>
                  <w:vAlign w:val="center"/>
                </w:tcPr>
                <w:p w14:paraId="54665D3E">
                  <w:pPr>
                    <w:pStyle w:val="49"/>
                    <w:bidi w:val="0"/>
                    <w:jc w:val="center"/>
                    <w:rPr>
                      <w:rFonts w:hint="default"/>
                      <w:color w:val="auto"/>
                      <w:highlight w:val="none"/>
                      <w:lang w:val="en-US" w:eastAsia="zh-CN"/>
                    </w:rPr>
                  </w:pPr>
                  <w:r>
                    <w:rPr>
                      <w:rFonts w:hint="eastAsia"/>
                      <w:color w:val="auto"/>
                      <w:highlight w:val="none"/>
                      <w:lang w:val="en-US" w:eastAsia="zh-CN"/>
                    </w:rPr>
                    <w:t>3.31</w:t>
                  </w:r>
                </w:p>
              </w:tc>
              <w:tc>
                <w:tcPr>
                  <w:tcW w:w="645" w:type="dxa"/>
                  <w:vAlign w:val="center"/>
                </w:tcPr>
                <w:p w14:paraId="6F6C76E5">
                  <w:pPr>
                    <w:pStyle w:val="49"/>
                    <w:bidi w:val="0"/>
                    <w:jc w:val="center"/>
                    <w:rPr>
                      <w:rFonts w:hint="default"/>
                      <w:color w:val="auto"/>
                      <w:highlight w:val="none"/>
                      <w:lang w:val="en-US" w:eastAsia="zh-CN"/>
                    </w:rPr>
                  </w:pPr>
                  <w:r>
                    <w:rPr>
                      <w:rFonts w:hint="eastAsia"/>
                      <w:color w:val="auto"/>
                      <w:highlight w:val="none"/>
                      <w:lang w:val="en-US" w:eastAsia="zh-CN"/>
                    </w:rPr>
                    <w:t>有组织</w:t>
                  </w:r>
                </w:p>
              </w:tc>
              <w:tc>
                <w:tcPr>
                  <w:tcW w:w="855" w:type="dxa"/>
                  <w:vAlign w:val="center"/>
                </w:tcPr>
                <w:p w14:paraId="7A720C26">
                  <w:pPr>
                    <w:pStyle w:val="49"/>
                    <w:bidi w:val="0"/>
                    <w:jc w:val="center"/>
                    <w:rPr>
                      <w:rFonts w:hint="default"/>
                      <w:color w:val="auto"/>
                      <w:highlight w:val="none"/>
                      <w:lang w:val="en-US" w:eastAsia="zh-CN"/>
                    </w:rPr>
                  </w:pPr>
                  <w:r>
                    <w:rPr>
                      <w:rFonts w:hint="eastAsia"/>
                      <w:color w:val="auto"/>
                      <w:highlight w:val="none"/>
                      <w:lang w:val="en-US" w:eastAsia="zh-CN"/>
                    </w:rPr>
                    <w:t>0.24</w:t>
                  </w:r>
                </w:p>
              </w:tc>
              <w:tc>
                <w:tcPr>
                  <w:tcW w:w="990" w:type="dxa"/>
                  <w:vAlign w:val="center"/>
                </w:tcPr>
                <w:p w14:paraId="7012DE6E">
                  <w:pPr>
                    <w:pStyle w:val="49"/>
                    <w:bidi w:val="0"/>
                    <w:jc w:val="center"/>
                    <w:rPr>
                      <w:rFonts w:hint="default"/>
                      <w:color w:val="auto"/>
                      <w:highlight w:val="none"/>
                      <w:lang w:val="en-US" w:eastAsia="zh-CN"/>
                    </w:rPr>
                  </w:pPr>
                  <w:r>
                    <w:rPr>
                      <w:rFonts w:hint="eastAsia"/>
                      <w:color w:val="auto"/>
                      <w:highlight w:val="none"/>
                      <w:lang w:val="en-US" w:eastAsia="zh-CN"/>
                    </w:rPr>
                    <w:t>0.2</w:t>
                  </w:r>
                </w:p>
              </w:tc>
              <w:tc>
                <w:tcPr>
                  <w:tcW w:w="1080" w:type="dxa"/>
                  <w:vAlign w:val="center"/>
                </w:tcPr>
                <w:p w14:paraId="0A2C768D">
                  <w:pPr>
                    <w:pStyle w:val="49"/>
                    <w:bidi w:val="0"/>
                    <w:jc w:val="center"/>
                    <w:rPr>
                      <w:rFonts w:hint="default"/>
                      <w:color w:val="auto"/>
                      <w:highlight w:val="none"/>
                      <w:lang w:val="en-US" w:eastAsia="zh-CN"/>
                    </w:rPr>
                  </w:pPr>
                  <w:r>
                    <w:rPr>
                      <w:rFonts w:hint="eastAsia"/>
                      <w:color w:val="auto"/>
                      <w:highlight w:val="none"/>
                      <w:lang w:val="en-US" w:eastAsia="zh-CN"/>
                    </w:rPr>
                    <w:t>40</w:t>
                  </w:r>
                </w:p>
              </w:tc>
              <w:tc>
                <w:tcPr>
                  <w:tcW w:w="1020" w:type="dxa"/>
                  <w:vAlign w:val="center"/>
                </w:tcPr>
                <w:p w14:paraId="5A68D022">
                  <w:pPr>
                    <w:pStyle w:val="49"/>
                    <w:bidi w:val="0"/>
                    <w:jc w:val="center"/>
                    <w:rPr>
                      <w:rFonts w:hint="default"/>
                      <w:color w:val="auto"/>
                      <w:highlight w:val="none"/>
                      <w:lang w:val="en-US" w:eastAsia="zh-CN"/>
                    </w:rPr>
                  </w:pPr>
                  <w:r>
                    <w:rPr>
                      <w:rFonts w:hint="eastAsia"/>
                      <w:color w:val="auto"/>
                      <w:highlight w:val="none"/>
                      <w:lang w:val="en-US" w:eastAsia="zh-CN"/>
                    </w:rPr>
                    <w:t>袋式除尘+15米高排气筒（DA001）排放</w:t>
                  </w:r>
                </w:p>
              </w:tc>
              <w:tc>
                <w:tcPr>
                  <w:tcW w:w="1077" w:type="dxa"/>
                  <w:vAlign w:val="center"/>
                </w:tcPr>
                <w:p w14:paraId="6F257C2F">
                  <w:pPr>
                    <w:pStyle w:val="49"/>
                    <w:bidi w:val="0"/>
                    <w:jc w:val="center"/>
                    <w:rPr>
                      <w:rFonts w:hint="default"/>
                      <w:color w:val="auto"/>
                      <w:highlight w:val="none"/>
                      <w:lang w:val="en-US" w:eastAsia="zh-CN"/>
                    </w:rPr>
                  </w:pPr>
                  <w:r>
                    <w:rPr>
                      <w:rFonts w:hint="eastAsia"/>
                      <w:color w:val="auto"/>
                      <w:highlight w:val="none"/>
                      <w:lang w:val="en-US" w:eastAsia="zh-CN"/>
                    </w:rPr>
                    <w:t>0.331</w:t>
                  </w:r>
                </w:p>
              </w:tc>
            </w:tr>
          </w:tbl>
          <w:p w14:paraId="27F21BA8">
            <w:pPr>
              <w:pStyle w:val="11"/>
              <w:bidi w:val="0"/>
              <w:rPr>
                <w:rFonts w:hint="default"/>
                <w:color w:val="auto"/>
                <w:highlight w:val="none"/>
                <w:lang w:val="en-US" w:eastAsia="zh-CN"/>
              </w:rPr>
            </w:pPr>
            <w:r>
              <w:rPr>
                <w:rFonts w:hint="eastAsia"/>
                <w:color w:val="auto"/>
                <w:highlight w:val="none"/>
                <w:lang w:val="en-US" w:eastAsia="zh-CN"/>
              </w:rPr>
              <w:t>根据上表计算结果，本项目秸秆粉碎粉尘中颗粒物排放可以满足</w:t>
            </w:r>
            <w:r>
              <w:rPr>
                <w:color w:val="auto"/>
                <w:highlight w:val="none"/>
              </w:rPr>
              <w:t>《大气污染物综合排放标准》（GB16297-1996）表2中排放限值</w:t>
            </w:r>
            <w:r>
              <w:rPr>
                <w:rFonts w:hint="eastAsia"/>
                <w:color w:val="auto"/>
                <w:highlight w:val="none"/>
                <w:lang w:val="en-US" w:eastAsia="zh-CN"/>
              </w:rPr>
              <w:t>要求，即浓度小于120mg/m</w:t>
            </w:r>
            <w:r>
              <w:rPr>
                <w:rFonts w:hint="eastAsia"/>
                <w:color w:val="auto"/>
                <w:highlight w:val="none"/>
                <w:vertAlign w:val="superscript"/>
                <w:lang w:val="en-US" w:eastAsia="zh-CN"/>
              </w:rPr>
              <w:t>3</w:t>
            </w:r>
            <w:r>
              <w:rPr>
                <w:rFonts w:hint="eastAsia"/>
                <w:color w:val="auto"/>
                <w:highlight w:val="none"/>
                <w:lang w:val="en-US" w:eastAsia="zh-CN"/>
              </w:rPr>
              <w:t>，排放速率小于3.5kg/h。</w:t>
            </w:r>
          </w:p>
          <w:p w14:paraId="44955FA0">
            <w:pPr>
              <w:adjustRightInd w:val="0"/>
              <w:snapToGrid w:val="0"/>
              <w:spacing w:line="360" w:lineRule="auto"/>
              <w:ind w:firstLine="480" w:firstLineChars="200"/>
              <w:rPr>
                <w:rFonts w:hint="eastAsia"/>
                <w:color w:val="auto"/>
                <w:sz w:val="24"/>
                <w:highlight w:val="none"/>
                <w:lang w:val="en-US" w:eastAsia="zh-CN"/>
              </w:rPr>
            </w:pPr>
            <w:r>
              <w:rPr>
                <w:rFonts w:hint="eastAsia"/>
                <w:color w:val="auto"/>
                <w:sz w:val="24"/>
                <w:highlight w:val="none"/>
                <w:lang w:val="en-US" w:eastAsia="zh-CN"/>
              </w:rPr>
              <w:t>③烘干废气</w:t>
            </w:r>
          </w:p>
          <w:p w14:paraId="73CFB0D7">
            <w:pPr>
              <w:pStyle w:val="11"/>
              <w:bidi w:val="0"/>
              <w:rPr>
                <w:rFonts w:hint="default"/>
                <w:color w:val="auto"/>
                <w:highlight w:val="none"/>
                <w:lang w:val="en-US" w:eastAsia="zh-CN"/>
              </w:rPr>
            </w:pPr>
            <w:r>
              <w:rPr>
                <w:rFonts w:hint="default"/>
                <w:color w:val="auto"/>
                <w:highlight w:val="none"/>
                <w:lang w:val="en-US" w:eastAsia="zh-CN"/>
              </w:rPr>
              <w:t>本项目</w:t>
            </w:r>
            <w:r>
              <w:rPr>
                <w:rFonts w:hint="eastAsia"/>
                <w:color w:val="auto"/>
                <w:highlight w:val="none"/>
                <w:lang w:val="en-US" w:eastAsia="zh-CN"/>
              </w:rPr>
              <w:t>采用两级烘干，烘干热源均来自碳化机炉膛的余热废气，如果秸秆可燃气体混合制气工序不用时，也可以返回烘干工序，点燃，为烘干部分加热。</w:t>
            </w:r>
            <w:r>
              <w:rPr>
                <w:rFonts w:hint="default"/>
                <w:color w:val="auto"/>
                <w:highlight w:val="none"/>
                <w:lang w:val="en-US" w:eastAsia="zh-CN"/>
              </w:rPr>
              <w:t>烘干</w:t>
            </w:r>
            <w:r>
              <w:rPr>
                <w:rFonts w:hint="eastAsia"/>
                <w:color w:val="auto"/>
                <w:highlight w:val="none"/>
                <w:lang w:val="en-US" w:eastAsia="zh-CN"/>
              </w:rPr>
              <w:t>废气</w:t>
            </w:r>
            <w:r>
              <w:rPr>
                <w:rFonts w:hint="default"/>
                <w:color w:val="auto"/>
                <w:highlight w:val="none"/>
                <w:lang w:val="en-US" w:eastAsia="zh-CN"/>
              </w:rPr>
              <w:t>仅为烘干过程产生的粉尘</w:t>
            </w:r>
            <w:r>
              <w:rPr>
                <w:rFonts w:hint="eastAsia"/>
                <w:color w:val="auto"/>
                <w:highlight w:val="none"/>
                <w:lang w:val="en-US" w:eastAsia="zh-CN"/>
              </w:rPr>
              <w:t>。根据上表4-4可知，秸秆烘干工艺的产污系数。本项目烘干机为密闭设备，带有低氮燃烧装置，拟在烘干机排气口处设置密闭管道连接，配套风机风量为15000m</w:t>
            </w:r>
            <w:r>
              <w:rPr>
                <w:rFonts w:hint="eastAsia"/>
                <w:color w:val="auto"/>
                <w:highlight w:val="none"/>
                <w:vertAlign w:val="superscript"/>
                <w:lang w:val="en-US" w:eastAsia="zh-CN"/>
              </w:rPr>
              <w:t>3</w:t>
            </w:r>
            <w:r>
              <w:rPr>
                <w:rFonts w:hint="eastAsia"/>
                <w:color w:val="auto"/>
                <w:highlight w:val="none"/>
                <w:lang w:val="en-US" w:eastAsia="zh-CN"/>
              </w:rPr>
              <w:t>/h，烘干废气收集效率100%，收集后经设备自带布袋除尘器（除尘效率92%）处理后与经处理后的粉碎粉尘一并由1根15m高排气筒（DA001）排放。烘干废气的产排情况见表4-6。</w:t>
            </w:r>
          </w:p>
          <w:p w14:paraId="5F7FA6ED">
            <w:pPr>
              <w:pStyle w:val="32"/>
              <w:bidi w:val="0"/>
              <w:rPr>
                <w:rFonts w:hint="eastAsia"/>
                <w:color w:val="auto"/>
                <w:highlight w:val="none"/>
                <w:lang w:val="en-US" w:eastAsia="zh-CN"/>
              </w:rPr>
            </w:pPr>
            <w:r>
              <w:rPr>
                <w:rFonts w:hint="eastAsia"/>
                <w:color w:val="auto"/>
                <w:highlight w:val="none"/>
                <w:lang w:val="en-US" w:eastAsia="zh-CN"/>
              </w:rPr>
              <w:t>表4-6     烘干废气污染物产排情况一览表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066"/>
              <w:gridCol w:w="855"/>
              <w:gridCol w:w="746"/>
              <w:gridCol w:w="991"/>
              <w:gridCol w:w="1147"/>
              <w:gridCol w:w="1251"/>
              <w:gridCol w:w="1181"/>
            </w:tblGrid>
            <w:tr w14:paraId="620F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9" w:type="dxa"/>
                  <w:vAlign w:val="center"/>
                </w:tcPr>
                <w:p w14:paraId="5B859F18">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废气源</w:t>
                  </w:r>
                </w:p>
              </w:tc>
              <w:tc>
                <w:tcPr>
                  <w:tcW w:w="1066" w:type="dxa"/>
                  <w:vAlign w:val="center"/>
                </w:tcPr>
                <w:p w14:paraId="24351668">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污染物</w:t>
                  </w:r>
                </w:p>
              </w:tc>
              <w:tc>
                <w:tcPr>
                  <w:tcW w:w="855" w:type="dxa"/>
                  <w:vAlign w:val="center"/>
                </w:tcPr>
                <w:p w14:paraId="5ED58681">
                  <w:pPr>
                    <w:pStyle w:val="49"/>
                    <w:bidi w:val="0"/>
                    <w:jc w:val="center"/>
                    <w:rPr>
                      <w:rFonts w:hint="default"/>
                      <w:b/>
                      <w:bCs w:val="0"/>
                      <w:color w:val="auto"/>
                      <w:highlight w:val="none"/>
                      <w:lang w:val="en-US" w:eastAsia="zh-CN"/>
                    </w:rPr>
                  </w:pPr>
                  <w:r>
                    <w:rPr>
                      <w:rFonts w:hint="eastAsia"/>
                      <w:b/>
                      <w:bCs w:val="0"/>
                      <w:color w:val="auto"/>
                      <w:highlight w:val="none"/>
                      <w:lang w:val="en-US" w:eastAsia="zh-CN"/>
                    </w:rPr>
                    <w:t>产生量(t/a)</w:t>
                  </w:r>
                </w:p>
              </w:tc>
              <w:tc>
                <w:tcPr>
                  <w:tcW w:w="746" w:type="dxa"/>
                  <w:vAlign w:val="center"/>
                </w:tcPr>
                <w:p w14:paraId="494F214E">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排放形式</w:t>
                  </w:r>
                </w:p>
              </w:tc>
              <w:tc>
                <w:tcPr>
                  <w:tcW w:w="991" w:type="dxa"/>
                  <w:vAlign w:val="center"/>
                </w:tcPr>
                <w:p w14:paraId="13E64A3E">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排放量(t/a)</w:t>
                  </w:r>
                </w:p>
              </w:tc>
              <w:tc>
                <w:tcPr>
                  <w:tcW w:w="1147" w:type="dxa"/>
                  <w:vAlign w:val="center"/>
                </w:tcPr>
                <w:p w14:paraId="43220F36">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排放速率(kg/h)</w:t>
                  </w:r>
                </w:p>
              </w:tc>
              <w:tc>
                <w:tcPr>
                  <w:tcW w:w="1251" w:type="dxa"/>
                  <w:vAlign w:val="center"/>
                </w:tcPr>
                <w:p w14:paraId="47C541B7">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排放浓度(mg/m</w:t>
                  </w:r>
                  <w:r>
                    <w:rPr>
                      <w:rFonts w:hint="eastAsia"/>
                      <w:b/>
                      <w:bCs w:val="0"/>
                      <w:color w:val="auto"/>
                      <w:highlight w:val="none"/>
                      <w:vertAlign w:val="superscript"/>
                      <w:lang w:val="en-US" w:eastAsia="zh-CN"/>
                    </w:rPr>
                    <w:t>3</w:t>
                  </w:r>
                  <w:r>
                    <w:rPr>
                      <w:rFonts w:hint="eastAsia"/>
                      <w:b/>
                      <w:bCs w:val="0"/>
                      <w:color w:val="auto"/>
                      <w:highlight w:val="none"/>
                      <w:lang w:val="en-US" w:eastAsia="zh-CN"/>
                    </w:rPr>
                    <w:t>)</w:t>
                  </w:r>
                </w:p>
              </w:tc>
              <w:tc>
                <w:tcPr>
                  <w:tcW w:w="1181" w:type="dxa"/>
                  <w:vAlign w:val="center"/>
                </w:tcPr>
                <w:p w14:paraId="29BD4A7B">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治理措施</w:t>
                  </w:r>
                </w:p>
              </w:tc>
            </w:tr>
            <w:tr w14:paraId="370EF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9" w:type="dxa"/>
                  <w:vMerge w:val="restart"/>
                  <w:vAlign w:val="center"/>
                </w:tcPr>
                <w:p w14:paraId="695D8B58">
                  <w:pPr>
                    <w:pStyle w:val="49"/>
                    <w:bidi w:val="0"/>
                    <w:jc w:val="center"/>
                    <w:rPr>
                      <w:rFonts w:hint="default"/>
                      <w:color w:val="auto"/>
                      <w:highlight w:val="none"/>
                      <w:lang w:val="en-US" w:eastAsia="zh-CN"/>
                    </w:rPr>
                  </w:pPr>
                  <w:r>
                    <w:rPr>
                      <w:rFonts w:hint="eastAsia"/>
                      <w:color w:val="auto"/>
                      <w:highlight w:val="none"/>
                      <w:lang w:val="en-US" w:eastAsia="zh-CN"/>
                    </w:rPr>
                    <w:t>烘干废气</w:t>
                  </w:r>
                </w:p>
              </w:tc>
              <w:tc>
                <w:tcPr>
                  <w:tcW w:w="1066" w:type="dxa"/>
                  <w:vAlign w:val="center"/>
                </w:tcPr>
                <w:p w14:paraId="29E9AA9B">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855" w:type="dxa"/>
                  <w:vAlign w:val="center"/>
                </w:tcPr>
                <w:p w14:paraId="14C71F2F">
                  <w:pPr>
                    <w:pStyle w:val="49"/>
                    <w:bidi w:val="0"/>
                    <w:jc w:val="center"/>
                    <w:rPr>
                      <w:rFonts w:hint="default"/>
                      <w:color w:val="auto"/>
                      <w:highlight w:val="none"/>
                      <w:lang w:val="en-US" w:eastAsia="zh-CN"/>
                    </w:rPr>
                  </w:pPr>
                  <w:r>
                    <w:rPr>
                      <w:rFonts w:hint="eastAsia"/>
                      <w:color w:val="auto"/>
                      <w:highlight w:val="none"/>
                      <w:lang w:val="en-US" w:eastAsia="zh-CN"/>
                    </w:rPr>
                    <w:t>19.82</w:t>
                  </w:r>
                </w:p>
              </w:tc>
              <w:tc>
                <w:tcPr>
                  <w:tcW w:w="746" w:type="dxa"/>
                  <w:vMerge w:val="restart"/>
                  <w:vAlign w:val="center"/>
                </w:tcPr>
                <w:p w14:paraId="56AA6A0F">
                  <w:pPr>
                    <w:pStyle w:val="49"/>
                    <w:bidi w:val="0"/>
                    <w:jc w:val="center"/>
                    <w:rPr>
                      <w:rFonts w:hint="default"/>
                      <w:color w:val="auto"/>
                      <w:highlight w:val="none"/>
                      <w:lang w:val="en-US" w:eastAsia="zh-CN"/>
                    </w:rPr>
                  </w:pPr>
                  <w:r>
                    <w:rPr>
                      <w:rFonts w:hint="eastAsia"/>
                      <w:color w:val="auto"/>
                      <w:highlight w:val="none"/>
                      <w:lang w:val="en-US" w:eastAsia="zh-CN"/>
                    </w:rPr>
                    <w:t>有组织</w:t>
                  </w:r>
                </w:p>
              </w:tc>
              <w:tc>
                <w:tcPr>
                  <w:tcW w:w="991" w:type="dxa"/>
                  <w:vAlign w:val="center"/>
                </w:tcPr>
                <w:p w14:paraId="1BA1E20F">
                  <w:pPr>
                    <w:pStyle w:val="49"/>
                    <w:bidi w:val="0"/>
                    <w:jc w:val="center"/>
                    <w:rPr>
                      <w:rFonts w:hint="default"/>
                      <w:color w:val="auto"/>
                      <w:highlight w:val="none"/>
                      <w:lang w:val="en-US" w:eastAsia="zh-CN"/>
                    </w:rPr>
                  </w:pPr>
                  <w:r>
                    <w:rPr>
                      <w:rFonts w:hint="eastAsia"/>
                      <w:color w:val="auto"/>
                      <w:highlight w:val="none"/>
                      <w:lang w:val="en-US" w:eastAsia="zh-CN"/>
                    </w:rPr>
                    <w:t>1.586</w:t>
                  </w:r>
                </w:p>
              </w:tc>
              <w:tc>
                <w:tcPr>
                  <w:tcW w:w="1147" w:type="dxa"/>
                  <w:vAlign w:val="center"/>
                </w:tcPr>
                <w:p w14:paraId="673B2011">
                  <w:pPr>
                    <w:pStyle w:val="49"/>
                    <w:bidi w:val="0"/>
                    <w:jc w:val="center"/>
                    <w:rPr>
                      <w:rFonts w:hint="default"/>
                      <w:color w:val="auto"/>
                      <w:highlight w:val="none"/>
                      <w:lang w:val="en-US" w:eastAsia="zh-CN"/>
                    </w:rPr>
                  </w:pPr>
                  <w:r>
                    <w:rPr>
                      <w:rFonts w:hint="eastAsia"/>
                      <w:color w:val="auto"/>
                      <w:highlight w:val="none"/>
                      <w:lang w:val="en-US" w:eastAsia="zh-CN"/>
                    </w:rPr>
                    <w:t>0.661</w:t>
                  </w:r>
                </w:p>
              </w:tc>
              <w:tc>
                <w:tcPr>
                  <w:tcW w:w="1251" w:type="dxa"/>
                  <w:vAlign w:val="center"/>
                </w:tcPr>
                <w:p w14:paraId="75E7F4E5">
                  <w:pPr>
                    <w:pStyle w:val="49"/>
                    <w:bidi w:val="0"/>
                    <w:jc w:val="center"/>
                    <w:rPr>
                      <w:rFonts w:hint="default"/>
                      <w:color w:val="auto"/>
                      <w:highlight w:val="none"/>
                      <w:lang w:val="en-US" w:eastAsia="zh-CN"/>
                    </w:rPr>
                  </w:pPr>
                  <w:r>
                    <w:rPr>
                      <w:rFonts w:hint="eastAsia"/>
                      <w:color w:val="auto"/>
                      <w:highlight w:val="none"/>
                      <w:lang w:val="en-US" w:eastAsia="zh-CN"/>
                    </w:rPr>
                    <w:t>44.05</w:t>
                  </w:r>
                </w:p>
              </w:tc>
              <w:tc>
                <w:tcPr>
                  <w:tcW w:w="1181" w:type="dxa"/>
                  <w:vMerge w:val="restart"/>
                  <w:vAlign w:val="center"/>
                </w:tcPr>
                <w:p w14:paraId="70678354">
                  <w:pPr>
                    <w:pStyle w:val="49"/>
                    <w:bidi w:val="0"/>
                    <w:jc w:val="center"/>
                    <w:rPr>
                      <w:rFonts w:hint="default"/>
                      <w:color w:val="auto"/>
                      <w:highlight w:val="none"/>
                      <w:lang w:val="en-US" w:eastAsia="zh-CN"/>
                    </w:rPr>
                  </w:pPr>
                  <w:r>
                    <w:rPr>
                      <w:rFonts w:hint="eastAsia"/>
                      <w:color w:val="auto"/>
                      <w:highlight w:val="none"/>
                      <w:lang w:val="en-US" w:eastAsia="zh-CN"/>
                    </w:rPr>
                    <w:t>袋式除尘+低氮燃耗装置+15米高排气筒（DA001）排放</w:t>
                  </w:r>
                </w:p>
              </w:tc>
            </w:tr>
            <w:tr w14:paraId="33DE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9" w:type="dxa"/>
                  <w:vMerge w:val="continue"/>
                  <w:vAlign w:val="center"/>
                </w:tcPr>
                <w:p w14:paraId="614E5E87">
                  <w:pPr>
                    <w:pStyle w:val="49"/>
                    <w:bidi w:val="0"/>
                    <w:jc w:val="center"/>
                    <w:rPr>
                      <w:rFonts w:hint="eastAsia"/>
                      <w:color w:val="auto"/>
                      <w:highlight w:val="none"/>
                      <w:lang w:val="en-US" w:eastAsia="zh-CN"/>
                    </w:rPr>
                  </w:pPr>
                </w:p>
              </w:tc>
              <w:tc>
                <w:tcPr>
                  <w:tcW w:w="1066" w:type="dxa"/>
                  <w:vAlign w:val="center"/>
                </w:tcPr>
                <w:p w14:paraId="08BD10E9">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氮氧化物</w:t>
                  </w:r>
                </w:p>
              </w:tc>
              <w:tc>
                <w:tcPr>
                  <w:tcW w:w="855" w:type="dxa"/>
                  <w:vAlign w:val="center"/>
                </w:tcPr>
                <w:p w14:paraId="025B0BE7">
                  <w:pPr>
                    <w:pStyle w:val="49"/>
                    <w:bidi w:val="0"/>
                    <w:jc w:val="center"/>
                    <w:rPr>
                      <w:rFonts w:hint="default"/>
                      <w:color w:val="auto"/>
                      <w:highlight w:val="none"/>
                      <w:lang w:val="en-US" w:eastAsia="zh-CN"/>
                    </w:rPr>
                  </w:pPr>
                  <w:r>
                    <w:rPr>
                      <w:rFonts w:hint="eastAsia"/>
                      <w:color w:val="auto"/>
                      <w:highlight w:val="none"/>
                      <w:lang w:val="en-US" w:eastAsia="zh-CN"/>
                    </w:rPr>
                    <w:t>3.404</w:t>
                  </w:r>
                </w:p>
              </w:tc>
              <w:tc>
                <w:tcPr>
                  <w:tcW w:w="746" w:type="dxa"/>
                  <w:vMerge w:val="continue"/>
                  <w:vAlign w:val="center"/>
                </w:tcPr>
                <w:p w14:paraId="1442BC6D">
                  <w:pPr>
                    <w:pStyle w:val="49"/>
                    <w:bidi w:val="0"/>
                    <w:jc w:val="center"/>
                    <w:rPr>
                      <w:rFonts w:hint="eastAsia"/>
                      <w:color w:val="auto"/>
                      <w:highlight w:val="none"/>
                      <w:lang w:val="en-US" w:eastAsia="zh-CN"/>
                    </w:rPr>
                  </w:pPr>
                </w:p>
              </w:tc>
              <w:tc>
                <w:tcPr>
                  <w:tcW w:w="991" w:type="dxa"/>
                  <w:vAlign w:val="center"/>
                </w:tcPr>
                <w:p w14:paraId="5340CED2">
                  <w:pPr>
                    <w:pStyle w:val="49"/>
                    <w:bidi w:val="0"/>
                    <w:jc w:val="center"/>
                    <w:rPr>
                      <w:rFonts w:hint="default"/>
                      <w:color w:val="auto"/>
                      <w:highlight w:val="none"/>
                      <w:lang w:val="en-US" w:eastAsia="zh-CN"/>
                    </w:rPr>
                  </w:pPr>
                  <w:r>
                    <w:rPr>
                      <w:rFonts w:hint="eastAsia"/>
                      <w:color w:val="auto"/>
                      <w:highlight w:val="none"/>
                      <w:lang w:val="en-US" w:eastAsia="zh-CN"/>
                    </w:rPr>
                    <w:t>1.702</w:t>
                  </w:r>
                </w:p>
              </w:tc>
              <w:tc>
                <w:tcPr>
                  <w:tcW w:w="1147" w:type="dxa"/>
                  <w:vAlign w:val="center"/>
                </w:tcPr>
                <w:p w14:paraId="32C87BF8">
                  <w:pPr>
                    <w:pStyle w:val="49"/>
                    <w:bidi w:val="0"/>
                    <w:jc w:val="center"/>
                    <w:rPr>
                      <w:rFonts w:hint="default"/>
                      <w:color w:val="auto"/>
                      <w:highlight w:val="none"/>
                      <w:lang w:val="en-US" w:eastAsia="zh-CN"/>
                    </w:rPr>
                  </w:pPr>
                  <w:r>
                    <w:rPr>
                      <w:rFonts w:hint="eastAsia"/>
                      <w:color w:val="auto"/>
                      <w:highlight w:val="none"/>
                      <w:lang w:val="en-US" w:eastAsia="zh-CN"/>
                    </w:rPr>
                    <w:t>0.709</w:t>
                  </w:r>
                </w:p>
              </w:tc>
              <w:tc>
                <w:tcPr>
                  <w:tcW w:w="1251" w:type="dxa"/>
                  <w:vAlign w:val="center"/>
                </w:tcPr>
                <w:p w14:paraId="753435A4">
                  <w:pPr>
                    <w:pStyle w:val="49"/>
                    <w:bidi w:val="0"/>
                    <w:jc w:val="center"/>
                    <w:rPr>
                      <w:rFonts w:hint="default"/>
                      <w:color w:val="auto"/>
                      <w:highlight w:val="none"/>
                      <w:lang w:val="en-US" w:eastAsia="zh-CN"/>
                    </w:rPr>
                  </w:pPr>
                  <w:r>
                    <w:rPr>
                      <w:rFonts w:hint="eastAsia"/>
                      <w:color w:val="auto"/>
                      <w:highlight w:val="none"/>
                      <w:lang w:val="en-US" w:eastAsia="zh-CN"/>
                    </w:rPr>
                    <w:t>47.25</w:t>
                  </w:r>
                </w:p>
              </w:tc>
              <w:tc>
                <w:tcPr>
                  <w:tcW w:w="1181" w:type="dxa"/>
                  <w:vMerge w:val="continue"/>
                  <w:vAlign w:val="center"/>
                </w:tcPr>
                <w:p w14:paraId="0E015B2C">
                  <w:pPr>
                    <w:pStyle w:val="49"/>
                    <w:bidi w:val="0"/>
                    <w:jc w:val="center"/>
                    <w:rPr>
                      <w:rFonts w:hint="eastAsia"/>
                      <w:color w:val="auto"/>
                      <w:highlight w:val="none"/>
                      <w:lang w:val="en-US" w:eastAsia="zh-CN"/>
                    </w:rPr>
                  </w:pPr>
                </w:p>
              </w:tc>
            </w:tr>
            <w:tr w14:paraId="59A1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99" w:type="dxa"/>
                  <w:vMerge w:val="continue"/>
                  <w:vAlign w:val="center"/>
                </w:tcPr>
                <w:p w14:paraId="01AD6699">
                  <w:pPr>
                    <w:pStyle w:val="49"/>
                    <w:bidi w:val="0"/>
                    <w:jc w:val="center"/>
                    <w:rPr>
                      <w:rFonts w:hint="eastAsia"/>
                      <w:color w:val="auto"/>
                      <w:highlight w:val="none"/>
                      <w:lang w:val="en-US" w:eastAsia="zh-CN"/>
                    </w:rPr>
                  </w:pPr>
                </w:p>
              </w:tc>
              <w:tc>
                <w:tcPr>
                  <w:tcW w:w="1066" w:type="dxa"/>
                  <w:vAlign w:val="center"/>
                </w:tcPr>
                <w:p w14:paraId="1E2C02E7">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二氧化硫</w:t>
                  </w:r>
                </w:p>
              </w:tc>
              <w:tc>
                <w:tcPr>
                  <w:tcW w:w="855" w:type="dxa"/>
                  <w:vAlign w:val="center"/>
                </w:tcPr>
                <w:p w14:paraId="31B6F5ED">
                  <w:pPr>
                    <w:pStyle w:val="49"/>
                    <w:bidi w:val="0"/>
                    <w:jc w:val="center"/>
                    <w:rPr>
                      <w:rFonts w:hint="default"/>
                      <w:color w:val="auto"/>
                      <w:highlight w:val="none"/>
                      <w:lang w:val="en-US" w:eastAsia="zh-CN"/>
                    </w:rPr>
                  </w:pPr>
                  <w:r>
                    <w:rPr>
                      <w:rFonts w:hint="eastAsia"/>
                      <w:color w:val="auto"/>
                      <w:highlight w:val="none"/>
                      <w:lang w:val="en-US" w:eastAsia="zh-CN"/>
                    </w:rPr>
                    <w:t>2.372</w:t>
                  </w:r>
                </w:p>
              </w:tc>
              <w:tc>
                <w:tcPr>
                  <w:tcW w:w="746" w:type="dxa"/>
                  <w:vMerge w:val="continue"/>
                  <w:vAlign w:val="center"/>
                </w:tcPr>
                <w:p w14:paraId="31947904">
                  <w:pPr>
                    <w:pStyle w:val="49"/>
                    <w:bidi w:val="0"/>
                    <w:jc w:val="center"/>
                    <w:rPr>
                      <w:rFonts w:hint="eastAsia"/>
                      <w:color w:val="auto"/>
                      <w:highlight w:val="none"/>
                      <w:lang w:val="en-US" w:eastAsia="zh-CN"/>
                    </w:rPr>
                  </w:pPr>
                </w:p>
              </w:tc>
              <w:tc>
                <w:tcPr>
                  <w:tcW w:w="991" w:type="dxa"/>
                  <w:vAlign w:val="center"/>
                </w:tcPr>
                <w:p w14:paraId="57C47045">
                  <w:pPr>
                    <w:pStyle w:val="49"/>
                    <w:bidi w:val="0"/>
                    <w:jc w:val="center"/>
                    <w:rPr>
                      <w:rFonts w:hint="default"/>
                      <w:color w:val="auto"/>
                      <w:highlight w:val="none"/>
                      <w:lang w:val="en-US" w:eastAsia="zh-CN"/>
                    </w:rPr>
                  </w:pPr>
                  <w:r>
                    <w:rPr>
                      <w:rFonts w:hint="eastAsia"/>
                      <w:color w:val="auto"/>
                      <w:highlight w:val="none"/>
                      <w:lang w:val="en-US" w:eastAsia="zh-CN"/>
                    </w:rPr>
                    <w:t>2.372</w:t>
                  </w:r>
                </w:p>
              </w:tc>
              <w:tc>
                <w:tcPr>
                  <w:tcW w:w="1147" w:type="dxa"/>
                  <w:vAlign w:val="center"/>
                </w:tcPr>
                <w:p w14:paraId="2821496E">
                  <w:pPr>
                    <w:pStyle w:val="49"/>
                    <w:bidi w:val="0"/>
                    <w:jc w:val="center"/>
                    <w:rPr>
                      <w:rFonts w:hint="default"/>
                      <w:color w:val="auto"/>
                      <w:highlight w:val="none"/>
                      <w:lang w:val="en-US" w:eastAsia="zh-CN"/>
                    </w:rPr>
                  </w:pPr>
                  <w:r>
                    <w:rPr>
                      <w:rFonts w:hint="eastAsia"/>
                      <w:color w:val="auto"/>
                      <w:highlight w:val="none"/>
                      <w:lang w:val="en-US" w:eastAsia="zh-CN"/>
                    </w:rPr>
                    <w:t>0.988</w:t>
                  </w:r>
                </w:p>
              </w:tc>
              <w:tc>
                <w:tcPr>
                  <w:tcW w:w="1251" w:type="dxa"/>
                  <w:vAlign w:val="center"/>
                </w:tcPr>
                <w:p w14:paraId="51C787DE">
                  <w:pPr>
                    <w:pStyle w:val="49"/>
                    <w:bidi w:val="0"/>
                    <w:jc w:val="center"/>
                    <w:rPr>
                      <w:rFonts w:hint="default"/>
                      <w:color w:val="auto"/>
                      <w:highlight w:val="none"/>
                      <w:lang w:val="en-US" w:eastAsia="zh-CN"/>
                    </w:rPr>
                  </w:pPr>
                  <w:r>
                    <w:rPr>
                      <w:rFonts w:hint="eastAsia"/>
                      <w:color w:val="auto"/>
                      <w:highlight w:val="none"/>
                      <w:lang w:val="en-US" w:eastAsia="zh-CN"/>
                    </w:rPr>
                    <w:t>65.89</w:t>
                  </w:r>
                </w:p>
              </w:tc>
              <w:tc>
                <w:tcPr>
                  <w:tcW w:w="1181" w:type="dxa"/>
                  <w:vMerge w:val="continue"/>
                  <w:vAlign w:val="center"/>
                </w:tcPr>
                <w:p w14:paraId="5314DEF4">
                  <w:pPr>
                    <w:pStyle w:val="49"/>
                    <w:bidi w:val="0"/>
                    <w:jc w:val="center"/>
                    <w:rPr>
                      <w:rFonts w:hint="eastAsia"/>
                      <w:color w:val="auto"/>
                      <w:highlight w:val="none"/>
                      <w:lang w:val="en-US" w:eastAsia="zh-CN"/>
                    </w:rPr>
                  </w:pPr>
                </w:p>
              </w:tc>
            </w:tr>
          </w:tbl>
          <w:p w14:paraId="1E905182">
            <w:pPr>
              <w:pStyle w:val="11"/>
              <w:bidi w:val="0"/>
              <w:rPr>
                <w:rFonts w:hint="eastAsia"/>
                <w:color w:val="auto"/>
                <w:highlight w:val="none"/>
                <w:lang w:val="en-US" w:eastAsia="zh-CN"/>
              </w:rPr>
            </w:pPr>
            <w:r>
              <w:rPr>
                <w:rFonts w:hint="eastAsia"/>
                <w:color w:val="auto"/>
                <w:highlight w:val="none"/>
                <w:lang w:val="en-US" w:eastAsia="zh-CN"/>
              </w:rPr>
              <w:t>根据上表计算结果，本项目秸秆烘干废气中颗粒物排放可以满足《工业炉窑大气污染物排放标准》（GB9078-1996）中二级排放标准限值，即浓度小于200mg/m</w:t>
            </w:r>
            <w:r>
              <w:rPr>
                <w:rFonts w:hint="eastAsia"/>
                <w:color w:val="auto"/>
                <w:highlight w:val="none"/>
                <w:vertAlign w:val="superscript"/>
                <w:lang w:val="en-US" w:eastAsia="zh-CN"/>
              </w:rPr>
              <w:t>3</w:t>
            </w:r>
            <w:r>
              <w:rPr>
                <w:rFonts w:hint="eastAsia"/>
                <w:color w:val="auto"/>
                <w:highlight w:val="none"/>
                <w:lang w:val="en-US" w:eastAsia="zh-CN"/>
              </w:rPr>
              <w:t>；氮氧化物和二氧化硫排放满足</w:t>
            </w:r>
            <w:r>
              <w:rPr>
                <w:color w:val="auto"/>
                <w:highlight w:val="none"/>
              </w:rPr>
              <w:t>《大气污染物综合排放标准》（GB16297-1996）表2中排放限值</w:t>
            </w:r>
            <w:r>
              <w:rPr>
                <w:rFonts w:hint="eastAsia"/>
                <w:color w:val="auto"/>
                <w:highlight w:val="none"/>
                <w:lang w:val="en-US" w:eastAsia="zh-CN"/>
              </w:rPr>
              <w:t>要求，即氮氧化物浓度小于240mg/m</w:t>
            </w:r>
            <w:r>
              <w:rPr>
                <w:rFonts w:hint="eastAsia"/>
                <w:color w:val="auto"/>
                <w:highlight w:val="none"/>
                <w:vertAlign w:val="superscript"/>
                <w:lang w:val="en-US" w:eastAsia="zh-CN"/>
              </w:rPr>
              <w:t>3</w:t>
            </w:r>
            <w:r>
              <w:rPr>
                <w:rFonts w:hint="eastAsia"/>
                <w:color w:val="auto"/>
                <w:highlight w:val="none"/>
                <w:lang w:val="en-US" w:eastAsia="zh-CN"/>
              </w:rPr>
              <w:t>，排放速率小于2.6kg/h，二氧化硫浓度小于550mg/m</w:t>
            </w:r>
            <w:r>
              <w:rPr>
                <w:rFonts w:hint="eastAsia"/>
                <w:color w:val="auto"/>
                <w:highlight w:val="none"/>
                <w:vertAlign w:val="superscript"/>
                <w:lang w:val="en-US" w:eastAsia="zh-CN"/>
              </w:rPr>
              <w:t>3</w:t>
            </w:r>
            <w:r>
              <w:rPr>
                <w:rFonts w:hint="eastAsia"/>
                <w:color w:val="auto"/>
                <w:highlight w:val="none"/>
                <w:lang w:val="en-US" w:eastAsia="zh-CN"/>
              </w:rPr>
              <w:t>，排放速率小于0.77kg/h。</w:t>
            </w:r>
          </w:p>
          <w:p w14:paraId="0AB595CD">
            <w:pPr>
              <w:pStyle w:val="11"/>
              <w:bidi w:val="0"/>
              <w:rPr>
                <w:rFonts w:hint="eastAsia"/>
                <w:color w:val="auto"/>
                <w:highlight w:val="none"/>
                <w:lang w:val="en-US" w:eastAsia="zh-CN"/>
              </w:rPr>
            </w:pPr>
            <w:r>
              <w:rPr>
                <w:rFonts w:hint="eastAsia"/>
                <w:color w:val="auto"/>
                <w:highlight w:val="none"/>
                <w:lang w:val="en-US" w:eastAsia="zh-CN"/>
              </w:rPr>
              <w:t>④储罐呼吸废气</w:t>
            </w:r>
          </w:p>
          <w:p w14:paraId="5A21719C">
            <w:pPr>
              <w:pStyle w:val="11"/>
              <w:bidi w:val="0"/>
              <w:rPr>
                <w:rFonts w:hint="default" w:cs="Times New Roman"/>
                <w:color w:val="auto"/>
                <w:kern w:val="0"/>
                <w:sz w:val="24"/>
                <w:szCs w:val="20"/>
                <w:highlight w:val="none"/>
                <w:vertAlign w:val="subscript"/>
                <w:lang w:val="en-US" w:eastAsia="zh-CN" w:bidi="ar-SA"/>
              </w:rPr>
            </w:pPr>
            <w:r>
              <w:rPr>
                <w:rFonts w:hint="eastAsia"/>
                <w:color w:val="auto"/>
                <w:highlight w:val="none"/>
                <w:lang w:val="en-US" w:eastAsia="zh-CN"/>
              </w:rPr>
              <w:t>本项目共设置2座30m</w:t>
            </w:r>
            <w:r>
              <w:rPr>
                <w:rFonts w:hint="eastAsia"/>
                <w:color w:val="auto"/>
                <w:highlight w:val="none"/>
                <w:vertAlign w:val="superscript"/>
                <w:lang w:val="en-US" w:eastAsia="zh-CN"/>
              </w:rPr>
              <w:t>3</w:t>
            </w:r>
            <w:r>
              <w:rPr>
                <w:rFonts w:hint="eastAsia"/>
                <w:color w:val="auto"/>
                <w:highlight w:val="none"/>
                <w:lang w:val="en-US" w:eastAsia="zh-CN"/>
              </w:rPr>
              <w:t>木醋液储罐，1座20m</w:t>
            </w:r>
            <w:r>
              <w:rPr>
                <w:rFonts w:hint="eastAsia"/>
                <w:color w:val="auto"/>
                <w:highlight w:val="none"/>
                <w:vertAlign w:val="superscript"/>
                <w:lang w:val="en-US" w:eastAsia="zh-CN"/>
              </w:rPr>
              <w:t>3</w:t>
            </w:r>
            <w:r>
              <w:rPr>
                <w:rFonts w:hint="eastAsia"/>
                <w:color w:val="auto"/>
                <w:highlight w:val="none"/>
                <w:lang w:val="en-US" w:eastAsia="zh-CN"/>
              </w:rPr>
              <w:t>木焦油储罐，均采用立式固定顶罐，参照《工业污染源调查与研究》第二辑中计算公式，其产生的废气中非甲烷总烃排放量如下所示：</w:t>
            </w:r>
          </w:p>
          <w:p w14:paraId="792FEB56">
            <w:pPr>
              <w:pStyle w:val="11"/>
              <w:bidi w:val="0"/>
              <w:rPr>
                <w:rFonts w:hint="default"/>
                <w:color w:val="auto"/>
                <w:highlight w:val="none"/>
                <w:vertAlign w:val="subscript"/>
                <w:lang w:val="en-US" w:eastAsia="zh-CN"/>
              </w:rPr>
            </w:pPr>
            <w:r>
              <w:rPr>
                <w:rFonts w:hint="default"/>
                <w:color w:val="auto"/>
                <w:highlight w:val="none"/>
                <w:lang w:val="en-US" w:eastAsia="zh-CN"/>
              </w:rPr>
              <w:t>小呼吸废气</w:t>
            </w:r>
            <w:r>
              <w:rPr>
                <w:rFonts w:hint="eastAsia"/>
                <w:color w:val="auto"/>
                <w:highlight w:val="none"/>
                <w:lang w:val="en-US" w:eastAsia="zh-CN"/>
              </w:rPr>
              <w:t>L</w:t>
            </w:r>
            <w:r>
              <w:rPr>
                <w:rFonts w:hint="eastAsia"/>
                <w:color w:val="auto"/>
                <w:highlight w:val="none"/>
                <w:vertAlign w:val="subscript"/>
                <w:lang w:val="en-US" w:eastAsia="zh-CN"/>
              </w:rPr>
              <w:t>B</w:t>
            </w:r>
          </w:p>
          <w:p w14:paraId="0878E643">
            <w:pPr>
              <w:pStyle w:val="11"/>
              <w:bidi w:val="0"/>
              <w:rPr>
                <w:rFonts w:hint="default"/>
                <w:color w:val="auto"/>
                <w:highlight w:val="none"/>
                <w:lang w:val="en-US" w:eastAsia="zh-CN"/>
              </w:rPr>
            </w:pPr>
            <w:r>
              <w:rPr>
                <w:rFonts w:hint="default"/>
                <w:color w:val="auto"/>
                <w:highlight w:val="none"/>
                <w:lang w:val="en-US" w:eastAsia="zh-CN"/>
              </w:rPr>
              <w:t>L</w:t>
            </w:r>
            <w:r>
              <w:rPr>
                <w:rFonts w:hint="default"/>
                <w:color w:val="auto"/>
                <w:highlight w:val="none"/>
                <w:vertAlign w:val="subscript"/>
                <w:lang w:val="en-US" w:eastAsia="zh-CN"/>
              </w:rPr>
              <w:t>B</w:t>
            </w:r>
            <w:r>
              <w:rPr>
                <w:rFonts w:hint="default"/>
                <w:color w:val="auto"/>
                <w:highlight w:val="none"/>
                <w:lang w:val="en-US" w:eastAsia="zh-CN"/>
              </w:rPr>
              <w:t>=0.01×M（P/（P</w:t>
            </w:r>
            <w:r>
              <w:rPr>
                <w:rFonts w:hint="default"/>
                <w:color w:val="auto"/>
                <w:highlight w:val="none"/>
                <w:vertAlign w:val="subscript"/>
                <w:lang w:val="en-US" w:eastAsia="zh-CN"/>
              </w:rPr>
              <w:t>0</w:t>
            </w:r>
            <w:r>
              <w:rPr>
                <w:rFonts w:hint="default"/>
                <w:color w:val="auto"/>
                <w:highlight w:val="none"/>
                <w:lang w:val="en-US" w:eastAsia="zh-CN"/>
              </w:rPr>
              <w:t>-P）</w:t>
            </w:r>
            <w:r>
              <w:rPr>
                <w:rFonts w:hint="default"/>
                <w:color w:val="auto"/>
                <w:highlight w:val="none"/>
                <w:vertAlign w:val="superscript"/>
                <w:lang w:val="en-US" w:eastAsia="zh-CN"/>
              </w:rPr>
              <w:t>0.68</w:t>
            </w:r>
            <w:r>
              <w:rPr>
                <w:rFonts w:hint="default"/>
                <w:color w:val="auto"/>
                <w:highlight w:val="none"/>
                <w:lang w:val="en-US" w:eastAsia="zh-CN"/>
              </w:rPr>
              <w:t>×D</w:t>
            </w:r>
            <w:r>
              <w:rPr>
                <w:rFonts w:hint="default"/>
                <w:color w:val="auto"/>
                <w:highlight w:val="none"/>
                <w:vertAlign w:val="superscript"/>
                <w:lang w:val="en-US" w:eastAsia="zh-CN"/>
              </w:rPr>
              <w:t>1.73</w:t>
            </w:r>
            <w:r>
              <w:rPr>
                <w:rFonts w:hint="default"/>
                <w:color w:val="auto"/>
                <w:highlight w:val="none"/>
                <w:lang w:val="en-US" w:eastAsia="zh-CN"/>
              </w:rPr>
              <w:t>×H</w:t>
            </w:r>
            <w:r>
              <w:rPr>
                <w:rFonts w:hint="default"/>
                <w:color w:val="auto"/>
                <w:highlight w:val="none"/>
                <w:vertAlign w:val="superscript"/>
                <w:lang w:val="en-US" w:eastAsia="zh-CN"/>
              </w:rPr>
              <w:t>0.51</w:t>
            </w:r>
            <w:r>
              <w:rPr>
                <w:rFonts w:hint="default"/>
                <w:color w:val="auto"/>
                <w:highlight w:val="none"/>
                <w:lang w:val="en-US" w:eastAsia="zh-CN"/>
              </w:rPr>
              <w:t>×△T</w:t>
            </w:r>
            <w:r>
              <w:rPr>
                <w:rFonts w:hint="default"/>
                <w:color w:val="auto"/>
                <w:highlight w:val="none"/>
                <w:vertAlign w:val="superscript"/>
                <w:lang w:val="en-US" w:eastAsia="zh-CN"/>
              </w:rPr>
              <w:t>0.45</w:t>
            </w:r>
            <w:r>
              <w:rPr>
                <w:rFonts w:hint="default"/>
                <w:color w:val="auto"/>
                <w:highlight w:val="none"/>
                <w:lang w:val="en-US" w:eastAsia="zh-CN"/>
              </w:rPr>
              <w:t>×F</w:t>
            </w:r>
            <w:r>
              <w:rPr>
                <w:rFonts w:hint="default"/>
                <w:color w:val="auto"/>
                <w:highlight w:val="none"/>
                <w:vertAlign w:val="subscript"/>
                <w:lang w:val="en-US" w:eastAsia="zh-CN"/>
              </w:rPr>
              <w:t>p</w:t>
            </w:r>
            <w:r>
              <w:rPr>
                <w:rFonts w:hint="default"/>
                <w:color w:val="auto"/>
                <w:highlight w:val="none"/>
                <w:lang w:val="en-US" w:eastAsia="zh-CN"/>
              </w:rPr>
              <w:t>×C×K</w:t>
            </w:r>
            <w:r>
              <w:rPr>
                <w:rFonts w:hint="default"/>
                <w:color w:val="auto"/>
                <w:highlight w:val="none"/>
                <w:vertAlign w:val="subscript"/>
                <w:lang w:val="en-US" w:eastAsia="zh-CN"/>
              </w:rPr>
              <w:t>c</w:t>
            </w:r>
          </w:p>
          <w:p w14:paraId="49D1726A">
            <w:pPr>
              <w:pStyle w:val="11"/>
              <w:bidi w:val="0"/>
              <w:rPr>
                <w:rFonts w:hint="default"/>
                <w:color w:val="auto"/>
                <w:highlight w:val="none"/>
                <w:lang w:val="en-US" w:eastAsia="zh-CN"/>
              </w:rPr>
            </w:pPr>
            <w:r>
              <w:rPr>
                <w:rFonts w:hint="default"/>
                <w:color w:val="auto"/>
                <w:highlight w:val="none"/>
                <w:lang w:val="en-US" w:eastAsia="zh-CN"/>
              </w:rPr>
              <w:t>式中：L</w:t>
            </w:r>
            <w:r>
              <w:rPr>
                <w:rFonts w:hint="default"/>
                <w:color w:val="auto"/>
                <w:highlight w:val="none"/>
                <w:vertAlign w:val="subscript"/>
                <w:lang w:val="en-US" w:eastAsia="zh-CN"/>
              </w:rPr>
              <w:t>B</w:t>
            </w:r>
            <w:r>
              <w:rPr>
                <w:rFonts w:hint="eastAsia"/>
                <w:color w:val="auto"/>
                <w:highlight w:val="none"/>
                <w:lang w:val="en-US" w:eastAsia="zh-CN"/>
              </w:rPr>
              <w:t>—</w:t>
            </w:r>
            <w:r>
              <w:rPr>
                <w:rFonts w:hint="default"/>
                <w:color w:val="auto"/>
                <w:highlight w:val="none"/>
                <w:lang w:val="en-US" w:eastAsia="zh-CN"/>
              </w:rPr>
              <w:t>固定顶罐的呼吸排放量（kg/a）；</w:t>
            </w:r>
          </w:p>
          <w:p w14:paraId="28591AC8">
            <w:pPr>
              <w:pStyle w:val="11"/>
              <w:bidi w:val="0"/>
              <w:ind w:firstLine="1200" w:firstLineChars="500"/>
              <w:rPr>
                <w:rFonts w:hint="default"/>
                <w:color w:val="auto"/>
                <w:highlight w:val="none"/>
                <w:lang w:val="en-US" w:eastAsia="zh-CN"/>
              </w:rPr>
            </w:pPr>
            <w:r>
              <w:rPr>
                <w:rFonts w:hint="default"/>
                <w:color w:val="auto"/>
                <w:highlight w:val="none"/>
                <w:lang w:val="en-US" w:eastAsia="zh-CN"/>
              </w:rPr>
              <w:t>M</w:t>
            </w:r>
            <w:r>
              <w:rPr>
                <w:rFonts w:hint="eastAsia"/>
                <w:color w:val="auto"/>
                <w:highlight w:val="none"/>
                <w:lang w:val="en-US" w:eastAsia="zh-CN"/>
              </w:rPr>
              <w:t>—</w:t>
            </w:r>
            <w:r>
              <w:rPr>
                <w:rFonts w:hint="default"/>
                <w:color w:val="auto"/>
                <w:highlight w:val="none"/>
                <w:lang w:val="en-US" w:eastAsia="zh-CN"/>
              </w:rPr>
              <w:t>储罐内蒸汽的分子量；</w:t>
            </w:r>
          </w:p>
          <w:p w14:paraId="45E41AF5">
            <w:pPr>
              <w:pStyle w:val="11"/>
              <w:bidi w:val="0"/>
              <w:ind w:firstLine="1200" w:firstLineChars="500"/>
              <w:rPr>
                <w:rFonts w:hint="default"/>
                <w:color w:val="auto"/>
                <w:highlight w:val="none"/>
                <w:lang w:val="en-US" w:eastAsia="zh-CN"/>
              </w:rPr>
            </w:pPr>
            <w:r>
              <w:rPr>
                <w:rFonts w:hint="default"/>
                <w:color w:val="auto"/>
                <w:highlight w:val="none"/>
                <w:lang w:val="en-US" w:eastAsia="zh-CN"/>
              </w:rPr>
              <w:t>P</w:t>
            </w:r>
            <w:r>
              <w:rPr>
                <w:rFonts w:hint="eastAsia"/>
                <w:color w:val="auto"/>
                <w:highlight w:val="none"/>
                <w:lang w:val="en-US" w:eastAsia="zh-CN"/>
              </w:rPr>
              <w:t>—</w:t>
            </w:r>
            <w:r>
              <w:rPr>
                <w:rFonts w:hint="default"/>
                <w:color w:val="auto"/>
                <w:highlight w:val="none"/>
                <w:lang w:val="en-US" w:eastAsia="zh-CN"/>
              </w:rPr>
              <w:t>在大量液体状态下，真实蒸汽压（Pa）；</w:t>
            </w:r>
          </w:p>
          <w:p w14:paraId="799376F7">
            <w:pPr>
              <w:pStyle w:val="11"/>
              <w:bidi w:val="0"/>
              <w:ind w:firstLine="1200" w:firstLineChars="500"/>
              <w:rPr>
                <w:rFonts w:hint="default"/>
                <w:color w:val="auto"/>
                <w:highlight w:val="none"/>
                <w:lang w:val="en-US" w:eastAsia="zh-CN"/>
              </w:rPr>
            </w:pPr>
            <w:r>
              <w:rPr>
                <w:rFonts w:hint="default"/>
                <w:color w:val="auto"/>
                <w:highlight w:val="none"/>
                <w:lang w:val="en-US" w:eastAsia="zh-CN"/>
              </w:rPr>
              <w:t>P</w:t>
            </w:r>
            <w:r>
              <w:rPr>
                <w:rFonts w:hint="default"/>
                <w:color w:val="auto"/>
                <w:highlight w:val="none"/>
                <w:vertAlign w:val="subscript"/>
                <w:lang w:val="en-US" w:eastAsia="zh-CN"/>
              </w:rPr>
              <w:t>0</w:t>
            </w:r>
            <w:r>
              <w:rPr>
                <w:rFonts w:hint="eastAsia"/>
                <w:color w:val="auto"/>
                <w:highlight w:val="none"/>
                <w:lang w:val="en-US" w:eastAsia="zh-CN"/>
              </w:rPr>
              <w:t>—</w:t>
            </w:r>
            <w:r>
              <w:rPr>
                <w:rFonts w:hint="default"/>
                <w:color w:val="auto"/>
                <w:highlight w:val="none"/>
                <w:lang w:val="en-US" w:eastAsia="zh-CN"/>
              </w:rPr>
              <w:t>当地的大气压强（Pa），本项目取值101800Pa；</w:t>
            </w:r>
          </w:p>
          <w:p w14:paraId="3D4667C0">
            <w:pPr>
              <w:pStyle w:val="11"/>
              <w:bidi w:val="0"/>
              <w:ind w:firstLine="1200" w:firstLineChars="500"/>
              <w:rPr>
                <w:rFonts w:hint="default"/>
                <w:color w:val="auto"/>
                <w:highlight w:val="none"/>
                <w:lang w:val="en-US" w:eastAsia="zh-CN"/>
              </w:rPr>
            </w:pPr>
            <w:r>
              <w:rPr>
                <w:rFonts w:hint="default"/>
                <w:color w:val="auto"/>
                <w:highlight w:val="none"/>
                <w:lang w:val="en-US" w:eastAsia="zh-CN"/>
              </w:rPr>
              <w:t>D—罐的直径（M）；</w:t>
            </w:r>
          </w:p>
          <w:p w14:paraId="49708EC2">
            <w:pPr>
              <w:pStyle w:val="11"/>
              <w:bidi w:val="0"/>
              <w:ind w:firstLine="1200" w:firstLineChars="500"/>
              <w:rPr>
                <w:rFonts w:hint="default"/>
                <w:color w:val="auto"/>
                <w:highlight w:val="none"/>
                <w:lang w:val="en-US" w:eastAsia="zh-CN"/>
              </w:rPr>
            </w:pPr>
            <w:r>
              <w:rPr>
                <w:rFonts w:hint="default"/>
                <w:color w:val="auto"/>
                <w:highlight w:val="none"/>
                <w:lang w:val="en-US" w:eastAsia="zh-CN"/>
              </w:rPr>
              <w:t>H—平均蒸汽空间高度（M），取2m；</w:t>
            </w:r>
          </w:p>
          <w:p w14:paraId="6E6FBB13">
            <w:pPr>
              <w:pStyle w:val="11"/>
              <w:bidi w:val="0"/>
              <w:ind w:firstLine="1200" w:firstLineChars="500"/>
              <w:rPr>
                <w:rFonts w:hint="default"/>
                <w:color w:val="auto"/>
                <w:highlight w:val="none"/>
                <w:lang w:val="en-US" w:eastAsia="zh-CN"/>
              </w:rPr>
            </w:pPr>
            <w:r>
              <w:rPr>
                <w:rFonts w:hint="default"/>
                <w:color w:val="auto"/>
                <w:highlight w:val="none"/>
                <w:lang w:val="en-US" w:eastAsia="zh-CN"/>
              </w:rPr>
              <w:t>△T—一天之内的平均温度差（℃），本次评价取10℃；</w:t>
            </w:r>
          </w:p>
          <w:p w14:paraId="024F21F9">
            <w:pPr>
              <w:pStyle w:val="11"/>
              <w:bidi w:val="0"/>
              <w:ind w:firstLine="1200" w:firstLineChars="500"/>
              <w:rPr>
                <w:rFonts w:hint="default"/>
                <w:color w:val="auto"/>
                <w:highlight w:val="none"/>
                <w:lang w:val="en-US" w:eastAsia="zh-CN"/>
              </w:rPr>
            </w:pPr>
            <w:r>
              <w:rPr>
                <w:rFonts w:hint="default"/>
                <w:color w:val="auto"/>
                <w:highlight w:val="none"/>
                <w:lang w:val="en-US" w:eastAsia="zh-CN"/>
              </w:rPr>
              <w:t>K</w:t>
            </w:r>
            <w:r>
              <w:rPr>
                <w:rFonts w:hint="default"/>
                <w:color w:val="auto"/>
                <w:highlight w:val="none"/>
                <w:vertAlign w:val="subscript"/>
                <w:lang w:val="en-US" w:eastAsia="zh-CN"/>
              </w:rPr>
              <w:t>c</w:t>
            </w:r>
            <w:r>
              <w:rPr>
                <w:rFonts w:hint="default"/>
                <w:color w:val="auto"/>
                <w:highlight w:val="none"/>
                <w:lang w:val="en-US" w:eastAsia="zh-CN"/>
              </w:rPr>
              <w:t>—产品因子，取值为1；</w:t>
            </w:r>
          </w:p>
          <w:p w14:paraId="41831510">
            <w:pPr>
              <w:pStyle w:val="11"/>
              <w:bidi w:val="0"/>
              <w:ind w:firstLine="1200" w:firstLineChars="500"/>
              <w:rPr>
                <w:rFonts w:hint="default"/>
                <w:color w:val="auto"/>
                <w:highlight w:val="none"/>
                <w:lang w:val="en-US" w:eastAsia="zh-CN"/>
              </w:rPr>
            </w:pPr>
            <w:r>
              <w:rPr>
                <w:rFonts w:hint="default"/>
                <w:color w:val="auto"/>
                <w:highlight w:val="none"/>
                <w:lang w:val="en-US" w:eastAsia="zh-CN"/>
              </w:rPr>
              <w:t>F</w:t>
            </w:r>
            <w:r>
              <w:rPr>
                <w:rFonts w:hint="default"/>
                <w:color w:val="auto"/>
                <w:highlight w:val="none"/>
                <w:vertAlign w:val="subscript"/>
                <w:lang w:val="en-US" w:eastAsia="zh-CN"/>
              </w:rPr>
              <w:t>p</w:t>
            </w:r>
            <w:r>
              <w:rPr>
                <w:rFonts w:hint="default"/>
                <w:color w:val="auto"/>
                <w:highlight w:val="none"/>
                <w:lang w:val="en-US" w:eastAsia="zh-CN"/>
              </w:rPr>
              <w:t>—涂层因子（无量纲），本次取1；</w:t>
            </w:r>
          </w:p>
          <w:p w14:paraId="092EA099">
            <w:pPr>
              <w:pStyle w:val="11"/>
              <w:bidi w:val="0"/>
              <w:ind w:left="1437" w:leftChars="570" w:hanging="240" w:hangingChars="100"/>
              <w:rPr>
                <w:rFonts w:hint="default"/>
                <w:color w:val="auto"/>
                <w:highlight w:val="none"/>
                <w:lang w:val="en-US" w:eastAsia="zh-CN"/>
              </w:rPr>
            </w:pPr>
            <w:r>
              <w:rPr>
                <w:rFonts w:hint="default"/>
                <w:color w:val="auto"/>
                <w:highlight w:val="none"/>
                <w:lang w:val="en-US" w:eastAsia="zh-CN"/>
              </w:rPr>
              <w:t>C—用于小直径罐的调节因子（无量纲）；直径在0～9m之间罐体，C=1</w:t>
            </w:r>
            <w:r>
              <w:rPr>
                <w:rFonts w:hint="eastAsia"/>
                <w:color w:val="auto"/>
                <w:highlight w:val="none"/>
                <w:lang w:val="en-US" w:eastAsia="zh-CN"/>
              </w:rPr>
              <w:t>-</w:t>
            </w:r>
            <w:r>
              <w:rPr>
                <w:rFonts w:hint="default"/>
                <w:color w:val="auto"/>
                <w:highlight w:val="none"/>
                <w:lang w:val="en-US" w:eastAsia="zh-CN"/>
              </w:rPr>
              <w:t>0.0123（D</w:t>
            </w:r>
            <w:r>
              <w:rPr>
                <w:rFonts w:hint="eastAsia"/>
                <w:color w:val="auto"/>
                <w:highlight w:val="none"/>
                <w:lang w:val="en-US" w:eastAsia="zh-CN"/>
              </w:rPr>
              <w:t>-</w:t>
            </w:r>
            <w:r>
              <w:rPr>
                <w:rFonts w:hint="default"/>
                <w:color w:val="auto"/>
                <w:highlight w:val="none"/>
                <w:lang w:val="en-US" w:eastAsia="zh-CN"/>
              </w:rPr>
              <w:t>9</w:t>
            </w:r>
            <w:r>
              <w:rPr>
                <w:rFonts w:hint="eastAsia"/>
                <w:color w:val="auto"/>
                <w:highlight w:val="none"/>
                <w:lang w:val="en-US" w:eastAsia="zh-CN"/>
              </w:rPr>
              <w:t>)</w:t>
            </w:r>
            <w:r>
              <w:rPr>
                <w:rFonts w:hint="default"/>
                <w:color w:val="auto"/>
                <w:highlight w:val="none"/>
                <w:vertAlign w:val="superscript"/>
                <w:lang w:val="en-US" w:eastAsia="zh-CN"/>
              </w:rPr>
              <w:t>2</w:t>
            </w:r>
            <w:r>
              <w:rPr>
                <w:rFonts w:hint="default"/>
                <w:color w:val="auto"/>
                <w:highlight w:val="none"/>
                <w:lang w:val="en-US" w:eastAsia="zh-CN"/>
              </w:rPr>
              <w:t>，罐径大于9m的C=1</w:t>
            </w:r>
            <w:r>
              <w:rPr>
                <w:rFonts w:hint="eastAsia"/>
                <w:color w:val="auto"/>
                <w:highlight w:val="none"/>
                <w:lang w:val="en-US" w:eastAsia="zh-CN"/>
              </w:rPr>
              <w:t>。</w:t>
            </w:r>
          </w:p>
          <w:p w14:paraId="018FDFDD">
            <w:pPr>
              <w:pStyle w:val="11"/>
              <w:bidi w:val="0"/>
              <w:rPr>
                <w:rFonts w:hint="eastAsia"/>
                <w:color w:val="auto"/>
                <w:highlight w:val="none"/>
                <w:vertAlign w:val="subscript"/>
                <w:lang w:val="en-US" w:eastAsia="zh-CN"/>
              </w:rPr>
            </w:pPr>
            <w:r>
              <w:rPr>
                <w:rFonts w:hint="default"/>
                <w:color w:val="auto"/>
                <w:highlight w:val="none"/>
                <w:lang w:val="en-US" w:eastAsia="zh-CN"/>
              </w:rPr>
              <w:t>大呼吸废气</w:t>
            </w:r>
            <w:r>
              <w:rPr>
                <w:rFonts w:hint="eastAsia"/>
                <w:color w:val="auto"/>
                <w:highlight w:val="none"/>
                <w:lang w:val="en-US" w:eastAsia="zh-CN"/>
              </w:rPr>
              <w:t>L</w:t>
            </w:r>
            <w:r>
              <w:rPr>
                <w:rFonts w:hint="eastAsia"/>
                <w:color w:val="auto"/>
                <w:highlight w:val="none"/>
                <w:vertAlign w:val="subscript"/>
                <w:lang w:val="en-US" w:eastAsia="zh-CN"/>
              </w:rPr>
              <w:t>W</w:t>
            </w:r>
          </w:p>
          <w:p w14:paraId="10A57D24">
            <w:pPr>
              <w:pStyle w:val="11"/>
              <w:bidi w:val="0"/>
              <w:jc w:val="center"/>
              <w:rPr>
                <w:rFonts w:hint="eastAsia" w:eastAsia="宋体"/>
                <w:color w:val="auto"/>
                <w:highlight w:val="none"/>
                <w:vertAlign w:val="subscript"/>
                <w:lang w:val="en-US" w:eastAsia="zh-CN"/>
              </w:rPr>
            </w:pPr>
            <w:r>
              <w:rPr>
                <w:color w:val="auto"/>
                <w:highlight w:val="none"/>
              </w:rPr>
              <w:t>L</w:t>
            </w:r>
            <w:r>
              <w:rPr>
                <w:color w:val="auto"/>
                <w:highlight w:val="none"/>
                <w:vertAlign w:val="subscript"/>
              </w:rPr>
              <w:t>W</w:t>
            </w:r>
            <w:r>
              <w:rPr>
                <w:color w:val="auto"/>
                <w:highlight w:val="none"/>
              </w:rPr>
              <w:t>=4.188×10</w:t>
            </w:r>
            <w:r>
              <w:rPr>
                <w:color w:val="auto"/>
                <w:highlight w:val="none"/>
                <w:vertAlign w:val="superscript"/>
              </w:rPr>
              <w:t>-7</w:t>
            </w:r>
            <w:r>
              <w:rPr>
                <w:color w:val="auto"/>
                <w:highlight w:val="none"/>
              </w:rPr>
              <w:t>×M×P×K</w:t>
            </w:r>
            <w:r>
              <w:rPr>
                <w:color w:val="auto"/>
                <w:highlight w:val="none"/>
                <w:vertAlign w:val="subscript"/>
              </w:rPr>
              <w:t>n</w:t>
            </w:r>
            <w:r>
              <w:rPr>
                <w:color w:val="auto"/>
                <w:highlight w:val="none"/>
              </w:rPr>
              <w:t>×K</w:t>
            </w:r>
            <w:r>
              <w:rPr>
                <w:rFonts w:hint="eastAsia"/>
                <w:color w:val="auto"/>
                <w:highlight w:val="none"/>
                <w:vertAlign w:val="subscript"/>
                <w:lang w:val="en-US" w:eastAsia="zh-CN"/>
              </w:rPr>
              <w:t>c</w:t>
            </w:r>
          </w:p>
          <w:p w14:paraId="2172C9D7">
            <w:pPr>
              <w:pStyle w:val="11"/>
              <w:bidi w:val="0"/>
              <w:rPr>
                <w:rFonts w:hint="eastAsia"/>
                <w:color w:val="auto"/>
                <w:highlight w:val="none"/>
                <w:vertAlign w:val="baseline"/>
                <w:lang w:eastAsia="zh-CN"/>
              </w:rPr>
            </w:pPr>
            <w:r>
              <w:rPr>
                <w:rFonts w:hint="eastAsia"/>
                <w:color w:val="auto"/>
                <w:highlight w:val="none"/>
                <w:lang w:val="en-US" w:eastAsia="zh-CN"/>
              </w:rPr>
              <w:t>式中：</w:t>
            </w:r>
            <w:r>
              <w:rPr>
                <w:color w:val="auto"/>
                <w:highlight w:val="none"/>
              </w:rPr>
              <w:t>L</w:t>
            </w:r>
            <w:r>
              <w:rPr>
                <w:color w:val="auto"/>
                <w:highlight w:val="none"/>
                <w:vertAlign w:val="subscript"/>
              </w:rPr>
              <w:t>W</w:t>
            </w:r>
            <w:r>
              <w:rPr>
                <w:rFonts w:hint="eastAsia"/>
                <w:color w:val="auto"/>
                <w:highlight w:val="none"/>
                <w:vertAlign w:val="baseline"/>
                <w:lang w:eastAsia="zh-CN"/>
              </w:rPr>
              <w:t>—固定顶罐的工作损失（kg/m</w:t>
            </w:r>
            <w:r>
              <w:rPr>
                <w:rFonts w:hint="eastAsia"/>
                <w:color w:val="auto"/>
                <w:highlight w:val="none"/>
                <w:vertAlign w:val="superscript"/>
                <w:lang w:eastAsia="zh-CN"/>
              </w:rPr>
              <w:t>3</w:t>
            </w:r>
            <w:r>
              <w:rPr>
                <w:rFonts w:hint="eastAsia"/>
                <w:color w:val="auto"/>
                <w:highlight w:val="none"/>
                <w:vertAlign w:val="baseline"/>
                <w:lang w:eastAsia="zh-CN"/>
              </w:rPr>
              <w:t>投入量）；</w:t>
            </w:r>
          </w:p>
          <w:p w14:paraId="33A6F7F7">
            <w:pPr>
              <w:pStyle w:val="11"/>
              <w:bidi w:val="0"/>
              <w:ind w:firstLine="1200" w:firstLineChars="500"/>
              <w:rPr>
                <w:color w:val="auto"/>
                <w:highlight w:val="none"/>
              </w:rPr>
            </w:pPr>
            <w:r>
              <w:rPr>
                <w:color w:val="auto"/>
                <w:highlight w:val="none"/>
              </w:rPr>
              <w:t>M—储罐内蒸汽的分子量；</w:t>
            </w:r>
          </w:p>
          <w:p w14:paraId="66AB845A">
            <w:pPr>
              <w:pStyle w:val="11"/>
              <w:bidi w:val="0"/>
              <w:ind w:firstLine="1200" w:firstLineChars="500"/>
              <w:rPr>
                <w:color w:val="auto"/>
                <w:highlight w:val="none"/>
              </w:rPr>
            </w:pPr>
            <w:r>
              <w:rPr>
                <w:color w:val="auto"/>
                <w:highlight w:val="none"/>
              </w:rPr>
              <w:t>P—在大量液体状态下，真实的蒸汽压力；</w:t>
            </w:r>
          </w:p>
          <w:p w14:paraId="63748B9B">
            <w:pPr>
              <w:pStyle w:val="11"/>
              <w:bidi w:val="0"/>
              <w:ind w:left="1437" w:leftChars="570" w:hanging="240" w:hangingChars="100"/>
              <w:rPr>
                <w:rFonts w:hint="eastAsia"/>
                <w:color w:val="auto"/>
                <w:highlight w:val="none"/>
                <w:lang w:val="en-US" w:eastAsia="zh-CN"/>
              </w:rPr>
            </w:pPr>
            <w:r>
              <w:rPr>
                <w:rFonts w:hint="eastAsia"/>
                <w:color w:val="auto"/>
                <w:highlight w:val="none"/>
                <w:lang w:val="en-US" w:eastAsia="zh-CN"/>
              </w:rPr>
              <w:t>K</w:t>
            </w:r>
            <w:r>
              <w:rPr>
                <w:rFonts w:hint="eastAsia"/>
                <w:color w:val="auto"/>
                <w:highlight w:val="none"/>
                <w:vertAlign w:val="subscript"/>
                <w:lang w:val="en-US" w:eastAsia="zh-CN"/>
              </w:rPr>
              <w:t>n</w:t>
            </w:r>
            <w:r>
              <w:rPr>
                <w:rFonts w:hint="eastAsia"/>
                <w:color w:val="auto"/>
                <w:highlight w:val="none"/>
                <w:lang w:val="en-US" w:eastAsia="zh-CN"/>
              </w:rPr>
              <w:t>—周转因子（无量纲），取值按年周转次数（K）确定，当K≤36时，Kn=1；当K＞220时，按Kn=0.26计算；当 36＜K＜220，Kn＝11.467×N</w:t>
            </w:r>
            <w:r>
              <w:rPr>
                <w:rFonts w:hint="eastAsia"/>
                <w:color w:val="auto"/>
                <w:highlight w:val="none"/>
                <w:vertAlign w:val="superscript"/>
                <w:lang w:val="en-US" w:eastAsia="zh-CN"/>
              </w:rPr>
              <w:t>-0.7026</w:t>
            </w:r>
            <w:r>
              <w:rPr>
                <w:rFonts w:hint="eastAsia"/>
                <w:color w:val="auto"/>
                <w:highlight w:val="none"/>
                <w:lang w:val="en-US" w:eastAsia="zh-CN"/>
              </w:rPr>
              <w:t>；</w:t>
            </w:r>
          </w:p>
          <w:p w14:paraId="0F58F6FC">
            <w:pPr>
              <w:pStyle w:val="11"/>
              <w:bidi w:val="0"/>
              <w:ind w:firstLine="1200" w:firstLineChars="500"/>
              <w:rPr>
                <w:rFonts w:hint="eastAsia"/>
                <w:color w:val="auto"/>
                <w:highlight w:val="none"/>
                <w:lang w:val="en-US" w:eastAsia="zh-CN"/>
              </w:rPr>
            </w:pPr>
            <w:r>
              <w:rPr>
                <w:rFonts w:hint="eastAsia"/>
                <w:color w:val="auto"/>
                <w:highlight w:val="none"/>
                <w:lang w:val="en-US" w:eastAsia="zh-CN"/>
              </w:rPr>
              <w:t>Kc—产品因子，取值为1。</w:t>
            </w:r>
          </w:p>
          <w:p w14:paraId="6F65B8D5">
            <w:pPr>
              <w:pStyle w:val="11"/>
              <w:bidi w:val="0"/>
              <w:rPr>
                <w:rFonts w:hint="eastAsia"/>
                <w:color w:val="auto"/>
                <w:highlight w:val="none"/>
                <w:lang w:val="en-US" w:eastAsia="zh-CN"/>
              </w:rPr>
            </w:pPr>
            <w:r>
              <w:rPr>
                <w:rFonts w:hint="eastAsia"/>
                <w:color w:val="auto"/>
                <w:highlight w:val="none"/>
                <w:lang w:val="en-US" w:eastAsia="zh-CN"/>
              </w:rPr>
              <w:t>本项目储罐呼吸废气产生量见下表。</w:t>
            </w:r>
          </w:p>
          <w:p w14:paraId="59E6DB2C">
            <w:pPr>
              <w:pStyle w:val="32"/>
              <w:bidi w:val="0"/>
              <w:rPr>
                <w:rFonts w:hint="eastAsia"/>
                <w:color w:val="auto"/>
                <w:highlight w:val="none"/>
                <w:lang w:val="en-US" w:eastAsia="zh-CN"/>
              </w:rPr>
            </w:pPr>
            <w:r>
              <w:rPr>
                <w:rFonts w:hint="eastAsia"/>
                <w:color w:val="auto"/>
                <w:highlight w:val="none"/>
                <w:lang w:val="en-US" w:eastAsia="zh-CN"/>
              </w:rPr>
              <w:t>表4-7    储罐呼吸废气一览表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1"/>
              <w:gridCol w:w="881"/>
              <w:gridCol w:w="881"/>
              <w:gridCol w:w="881"/>
              <w:gridCol w:w="881"/>
              <w:gridCol w:w="882"/>
              <w:gridCol w:w="883"/>
              <w:gridCol w:w="885"/>
            </w:tblGrid>
            <w:tr w14:paraId="5D0F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27ED129A">
                  <w:pPr>
                    <w:pStyle w:val="32"/>
                    <w:bidi w:val="0"/>
                    <w:jc w:val="center"/>
                    <w:rPr>
                      <w:rFonts w:hint="default"/>
                      <w:color w:val="auto"/>
                      <w:highlight w:val="none"/>
                      <w:lang w:val="en-US" w:eastAsia="zh-CN"/>
                    </w:rPr>
                  </w:pPr>
                  <w:r>
                    <w:rPr>
                      <w:rFonts w:hint="eastAsia"/>
                      <w:color w:val="auto"/>
                      <w:highlight w:val="none"/>
                      <w:lang w:val="en-US" w:eastAsia="zh-CN"/>
                    </w:rPr>
                    <w:t>储罐名称</w:t>
                  </w:r>
                </w:p>
              </w:tc>
              <w:tc>
                <w:tcPr>
                  <w:tcW w:w="793" w:type="dxa"/>
                  <w:vAlign w:val="center"/>
                </w:tcPr>
                <w:p w14:paraId="56C7F9CA">
                  <w:pPr>
                    <w:pStyle w:val="32"/>
                    <w:bidi w:val="0"/>
                    <w:jc w:val="center"/>
                    <w:rPr>
                      <w:rFonts w:hint="default"/>
                      <w:color w:val="auto"/>
                      <w:highlight w:val="none"/>
                      <w:lang w:val="en-US" w:eastAsia="zh-CN"/>
                    </w:rPr>
                  </w:pPr>
                  <w:r>
                    <w:rPr>
                      <w:rFonts w:hint="eastAsia"/>
                      <w:color w:val="auto"/>
                      <w:highlight w:val="none"/>
                      <w:lang w:val="en-US" w:eastAsia="zh-CN"/>
                    </w:rPr>
                    <w:t>分子量</w:t>
                  </w:r>
                  <w:r>
                    <w:rPr>
                      <w:color w:val="auto"/>
                      <w:highlight w:val="none"/>
                    </w:rPr>
                    <w:t>(g/mol)</w:t>
                  </w:r>
                </w:p>
              </w:tc>
              <w:tc>
                <w:tcPr>
                  <w:tcW w:w="793" w:type="dxa"/>
                  <w:vAlign w:val="center"/>
                </w:tcPr>
                <w:p w14:paraId="69222081">
                  <w:pPr>
                    <w:pStyle w:val="32"/>
                    <w:bidi w:val="0"/>
                    <w:jc w:val="center"/>
                    <w:rPr>
                      <w:rFonts w:hint="default"/>
                      <w:color w:val="auto"/>
                      <w:highlight w:val="none"/>
                      <w:lang w:val="en-US" w:eastAsia="zh-CN"/>
                    </w:rPr>
                  </w:pPr>
                  <w:r>
                    <w:rPr>
                      <w:rFonts w:hint="eastAsia"/>
                      <w:color w:val="auto"/>
                      <w:highlight w:val="none"/>
                      <w:lang w:val="en-US" w:eastAsia="zh-CN"/>
                    </w:rPr>
                    <w:t>真实蒸汽压（Pa）</w:t>
                  </w:r>
                </w:p>
              </w:tc>
              <w:tc>
                <w:tcPr>
                  <w:tcW w:w="793" w:type="dxa"/>
                  <w:vAlign w:val="center"/>
                </w:tcPr>
                <w:p w14:paraId="569F262B">
                  <w:pPr>
                    <w:pStyle w:val="32"/>
                    <w:bidi w:val="0"/>
                    <w:jc w:val="center"/>
                    <w:rPr>
                      <w:rFonts w:hint="default"/>
                      <w:color w:val="auto"/>
                      <w:highlight w:val="none"/>
                      <w:lang w:val="en-US" w:eastAsia="zh-CN"/>
                    </w:rPr>
                  </w:pPr>
                  <w:r>
                    <w:rPr>
                      <w:rFonts w:hint="eastAsia"/>
                      <w:color w:val="auto"/>
                      <w:highlight w:val="none"/>
                      <w:lang w:val="en-US" w:eastAsia="zh-CN"/>
                    </w:rPr>
                    <w:t>储量（m</w:t>
                  </w:r>
                  <w:r>
                    <w:rPr>
                      <w:rFonts w:hint="eastAsia"/>
                      <w:color w:val="auto"/>
                      <w:highlight w:val="none"/>
                      <w:vertAlign w:val="superscript"/>
                      <w:lang w:val="en-US" w:eastAsia="zh-CN"/>
                    </w:rPr>
                    <w:t>3</w:t>
                  </w:r>
                  <w:r>
                    <w:rPr>
                      <w:rFonts w:hint="eastAsia"/>
                      <w:color w:val="auto"/>
                      <w:highlight w:val="none"/>
                      <w:lang w:val="en-US" w:eastAsia="zh-CN"/>
                    </w:rPr>
                    <w:t>）</w:t>
                  </w:r>
                </w:p>
              </w:tc>
              <w:tc>
                <w:tcPr>
                  <w:tcW w:w="793" w:type="dxa"/>
                  <w:vAlign w:val="center"/>
                </w:tcPr>
                <w:p w14:paraId="3BA691A3">
                  <w:pPr>
                    <w:pStyle w:val="32"/>
                    <w:bidi w:val="0"/>
                    <w:jc w:val="center"/>
                    <w:rPr>
                      <w:rFonts w:hint="default"/>
                      <w:color w:val="auto"/>
                      <w:highlight w:val="none"/>
                      <w:lang w:val="en-US" w:eastAsia="zh-CN"/>
                    </w:rPr>
                  </w:pPr>
                  <w:r>
                    <w:rPr>
                      <w:rFonts w:hint="eastAsia"/>
                      <w:color w:val="auto"/>
                      <w:highlight w:val="none"/>
                      <w:lang w:val="en-US" w:eastAsia="zh-CN"/>
                    </w:rPr>
                    <w:t>数量（座）</w:t>
                  </w:r>
                </w:p>
              </w:tc>
              <w:tc>
                <w:tcPr>
                  <w:tcW w:w="793" w:type="dxa"/>
                  <w:vAlign w:val="center"/>
                </w:tcPr>
                <w:p w14:paraId="3AF03454">
                  <w:pPr>
                    <w:pStyle w:val="32"/>
                    <w:bidi w:val="0"/>
                    <w:jc w:val="center"/>
                    <w:rPr>
                      <w:rFonts w:hint="default"/>
                      <w:color w:val="auto"/>
                      <w:highlight w:val="none"/>
                      <w:lang w:val="en-US" w:eastAsia="zh-CN"/>
                    </w:rPr>
                  </w:pPr>
                  <w:r>
                    <w:rPr>
                      <w:rFonts w:hint="eastAsia"/>
                      <w:color w:val="auto"/>
                      <w:highlight w:val="none"/>
                      <w:lang w:val="en-US" w:eastAsia="zh-CN"/>
                    </w:rPr>
                    <w:t>周转量（K</w:t>
                  </w:r>
                  <w:r>
                    <w:rPr>
                      <w:rFonts w:hint="eastAsia"/>
                      <w:color w:val="auto"/>
                      <w:highlight w:val="none"/>
                      <w:vertAlign w:val="subscript"/>
                      <w:lang w:val="en-US" w:eastAsia="zh-CN"/>
                    </w:rPr>
                    <w:t>n</w:t>
                  </w:r>
                  <w:r>
                    <w:rPr>
                      <w:rFonts w:hint="eastAsia"/>
                      <w:color w:val="auto"/>
                      <w:highlight w:val="none"/>
                      <w:lang w:val="en-US" w:eastAsia="zh-CN"/>
                    </w:rPr>
                    <w:t>）</w:t>
                  </w:r>
                </w:p>
              </w:tc>
              <w:tc>
                <w:tcPr>
                  <w:tcW w:w="794" w:type="dxa"/>
                  <w:vAlign w:val="center"/>
                </w:tcPr>
                <w:p w14:paraId="14C48F78">
                  <w:pPr>
                    <w:pStyle w:val="32"/>
                    <w:bidi w:val="0"/>
                    <w:jc w:val="center"/>
                    <w:rPr>
                      <w:rFonts w:hint="default"/>
                      <w:color w:val="auto"/>
                      <w:highlight w:val="none"/>
                      <w:lang w:val="en-US" w:eastAsia="zh-CN"/>
                    </w:rPr>
                  </w:pPr>
                  <w:r>
                    <w:rPr>
                      <w:rFonts w:hint="eastAsia"/>
                      <w:color w:val="auto"/>
                      <w:highlight w:val="none"/>
                      <w:lang w:val="en-US" w:eastAsia="zh-CN"/>
                    </w:rPr>
                    <w:t>小呼吸废气（t/a）</w:t>
                  </w:r>
                </w:p>
              </w:tc>
              <w:tc>
                <w:tcPr>
                  <w:tcW w:w="794" w:type="dxa"/>
                  <w:vAlign w:val="center"/>
                </w:tcPr>
                <w:p w14:paraId="4149A147">
                  <w:pPr>
                    <w:pStyle w:val="32"/>
                    <w:bidi w:val="0"/>
                    <w:jc w:val="center"/>
                    <w:rPr>
                      <w:rFonts w:hint="default"/>
                      <w:color w:val="auto"/>
                      <w:highlight w:val="none"/>
                      <w:lang w:val="en-US" w:eastAsia="zh-CN"/>
                    </w:rPr>
                  </w:pPr>
                  <w:r>
                    <w:rPr>
                      <w:rFonts w:hint="eastAsia"/>
                      <w:color w:val="auto"/>
                      <w:highlight w:val="none"/>
                      <w:lang w:val="en-US" w:eastAsia="zh-CN"/>
                    </w:rPr>
                    <w:t>大呼吸废气（t/a）</w:t>
                  </w:r>
                </w:p>
              </w:tc>
              <w:tc>
                <w:tcPr>
                  <w:tcW w:w="795" w:type="dxa"/>
                  <w:vAlign w:val="center"/>
                </w:tcPr>
                <w:p w14:paraId="0E76AF38">
                  <w:pPr>
                    <w:pStyle w:val="32"/>
                    <w:bidi w:val="0"/>
                    <w:jc w:val="center"/>
                    <w:rPr>
                      <w:rFonts w:hint="default"/>
                      <w:color w:val="auto"/>
                      <w:highlight w:val="none"/>
                      <w:lang w:val="en-US" w:eastAsia="zh-CN"/>
                    </w:rPr>
                  </w:pPr>
                  <w:r>
                    <w:rPr>
                      <w:rFonts w:hint="eastAsia"/>
                      <w:color w:val="auto"/>
                      <w:highlight w:val="none"/>
                      <w:lang w:val="en-US" w:eastAsia="zh-CN"/>
                    </w:rPr>
                    <w:t>合计（t/a）</w:t>
                  </w:r>
                </w:p>
              </w:tc>
            </w:tr>
            <w:tr w14:paraId="52CB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3" w:type="dxa"/>
                  <w:vAlign w:val="center"/>
                </w:tcPr>
                <w:p w14:paraId="36980D4D">
                  <w:pPr>
                    <w:pStyle w:val="49"/>
                    <w:bidi w:val="0"/>
                    <w:rPr>
                      <w:rFonts w:hint="default"/>
                      <w:color w:val="auto"/>
                      <w:highlight w:val="none"/>
                      <w:lang w:val="en-US" w:eastAsia="zh-CN"/>
                    </w:rPr>
                  </w:pPr>
                  <w:r>
                    <w:rPr>
                      <w:rFonts w:hint="eastAsia"/>
                      <w:color w:val="auto"/>
                      <w:highlight w:val="none"/>
                      <w:lang w:val="en-US" w:eastAsia="zh-CN"/>
                    </w:rPr>
                    <w:t>木醋液</w:t>
                  </w:r>
                </w:p>
              </w:tc>
              <w:tc>
                <w:tcPr>
                  <w:tcW w:w="793" w:type="dxa"/>
                  <w:vAlign w:val="center"/>
                </w:tcPr>
                <w:p w14:paraId="11457B8E">
                  <w:pPr>
                    <w:pStyle w:val="49"/>
                    <w:bidi w:val="0"/>
                    <w:rPr>
                      <w:rFonts w:hint="default"/>
                      <w:color w:val="auto"/>
                      <w:highlight w:val="none"/>
                      <w:lang w:val="en-US" w:eastAsia="zh-CN"/>
                    </w:rPr>
                  </w:pPr>
                  <w:r>
                    <w:rPr>
                      <w:rFonts w:hint="eastAsia"/>
                      <w:color w:val="auto"/>
                      <w:highlight w:val="none"/>
                      <w:lang w:val="en-US" w:eastAsia="zh-CN"/>
                    </w:rPr>
                    <w:t>60</w:t>
                  </w:r>
                </w:p>
              </w:tc>
              <w:tc>
                <w:tcPr>
                  <w:tcW w:w="793" w:type="dxa"/>
                  <w:vAlign w:val="center"/>
                </w:tcPr>
                <w:p w14:paraId="788ADDE2">
                  <w:pPr>
                    <w:pStyle w:val="49"/>
                    <w:bidi w:val="0"/>
                    <w:rPr>
                      <w:rFonts w:hint="default"/>
                      <w:color w:val="auto"/>
                      <w:highlight w:val="none"/>
                      <w:lang w:val="en-US" w:eastAsia="zh-CN"/>
                    </w:rPr>
                  </w:pPr>
                  <w:r>
                    <w:rPr>
                      <w:rFonts w:hint="eastAsia"/>
                      <w:color w:val="auto"/>
                      <w:highlight w:val="none"/>
                      <w:lang w:val="en-US" w:eastAsia="zh-CN"/>
                    </w:rPr>
                    <w:t>5000</w:t>
                  </w:r>
                </w:p>
              </w:tc>
              <w:tc>
                <w:tcPr>
                  <w:tcW w:w="793" w:type="dxa"/>
                  <w:vAlign w:val="center"/>
                </w:tcPr>
                <w:p w14:paraId="70AB73D8">
                  <w:pPr>
                    <w:pStyle w:val="49"/>
                    <w:bidi w:val="0"/>
                    <w:rPr>
                      <w:rFonts w:hint="default"/>
                      <w:color w:val="auto"/>
                      <w:highlight w:val="none"/>
                      <w:lang w:val="en-US" w:eastAsia="zh-CN"/>
                    </w:rPr>
                  </w:pPr>
                  <w:r>
                    <w:rPr>
                      <w:rFonts w:hint="eastAsia"/>
                      <w:color w:val="auto"/>
                      <w:highlight w:val="none"/>
                      <w:lang w:val="en-US" w:eastAsia="zh-CN"/>
                    </w:rPr>
                    <w:t>30</w:t>
                  </w:r>
                </w:p>
              </w:tc>
              <w:tc>
                <w:tcPr>
                  <w:tcW w:w="793" w:type="dxa"/>
                  <w:vAlign w:val="center"/>
                </w:tcPr>
                <w:p w14:paraId="2629F01B">
                  <w:pPr>
                    <w:pStyle w:val="49"/>
                    <w:bidi w:val="0"/>
                    <w:rPr>
                      <w:rFonts w:hint="default"/>
                      <w:color w:val="auto"/>
                      <w:highlight w:val="none"/>
                      <w:lang w:val="en-US" w:eastAsia="zh-CN"/>
                    </w:rPr>
                  </w:pPr>
                  <w:r>
                    <w:rPr>
                      <w:rFonts w:hint="eastAsia"/>
                      <w:color w:val="auto"/>
                      <w:highlight w:val="none"/>
                      <w:lang w:val="en-US" w:eastAsia="zh-CN"/>
                    </w:rPr>
                    <w:t>2</w:t>
                  </w:r>
                </w:p>
              </w:tc>
              <w:tc>
                <w:tcPr>
                  <w:tcW w:w="793" w:type="dxa"/>
                  <w:vAlign w:val="center"/>
                </w:tcPr>
                <w:p w14:paraId="286E077F">
                  <w:pPr>
                    <w:pStyle w:val="49"/>
                    <w:bidi w:val="0"/>
                    <w:rPr>
                      <w:rFonts w:hint="default"/>
                      <w:color w:val="auto"/>
                      <w:highlight w:val="none"/>
                      <w:lang w:val="en-US" w:eastAsia="zh-CN"/>
                    </w:rPr>
                  </w:pPr>
                  <w:r>
                    <w:rPr>
                      <w:rFonts w:hint="eastAsia"/>
                      <w:color w:val="auto"/>
                      <w:highlight w:val="none"/>
                      <w:lang w:val="en-US" w:eastAsia="zh-CN"/>
                    </w:rPr>
                    <w:t>0.4593</w:t>
                  </w:r>
                </w:p>
              </w:tc>
              <w:tc>
                <w:tcPr>
                  <w:tcW w:w="794" w:type="dxa"/>
                  <w:vAlign w:val="center"/>
                </w:tcPr>
                <w:p w14:paraId="0BAF7C4C">
                  <w:pPr>
                    <w:pStyle w:val="49"/>
                    <w:bidi w:val="0"/>
                    <w:rPr>
                      <w:rFonts w:hint="default"/>
                      <w:color w:val="auto"/>
                      <w:highlight w:val="none"/>
                      <w:lang w:val="en-US" w:eastAsia="zh-CN"/>
                    </w:rPr>
                  </w:pPr>
                  <w:r>
                    <w:rPr>
                      <w:rFonts w:hint="eastAsia"/>
                      <w:color w:val="auto"/>
                      <w:highlight w:val="none"/>
                      <w:lang w:val="en-US" w:eastAsia="zh-CN"/>
                    </w:rPr>
                    <w:t>0.0024</w:t>
                  </w:r>
                </w:p>
              </w:tc>
              <w:tc>
                <w:tcPr>
                  <w:tcW w:w="794" w:type="dxa"/>
                  <w:vAlign w:val="center"/>
                </w:tcPr>
                <w:p w14:paraId="2C25D3BC">
                  <w:pPr>
                    <w:pStyle w:val="49"/>
                    <w:bidi w:val="0"/>
                    <w:rPr>
                      <w:rFonts w:hint="default"/>
                      <w:color w:val="auto"/>
                      <w:highlight w:val="none"/>
                      <w:lang w:val="en-US" w:eastAsia="zh-CN"/>
                    </w:rPr>
                  </w:pPr>
                  <w:r>
                    <w:rPr>
                      <w:rFonts w:hint="eastAsia"/>
                      <w:color w:val="auto"/>
                      <w:highlight w:val="none"/>
                      <w:lang w:val="en-US" w:eastAsia="zh-CN"/>
                    </w:rPr>
                    <w:t>0.3481</w:t>
                  </w:r>
                </w:p>
              </w:tc>
              <w:tc>
                <w:tcPr>
                  <w:tcW w:w="795" w:type="dxa"/>
                  <w:vAlign w:val="center"/>
                </w:tcPr>
                <w:p w14:paraId="75011D89">
                  <w:pPr>
                    <w:pStyle w:val="49"/>
                    <w:bidi w:val="0"/>
                    <w:rPr>
                      <w:rFonts w:hint="default"/>
                      <w:color w:val="auto"/>
                      <w:highlight w:val="none"/>
                      <w:lang w:val="en-US" w:eastAsia="zh-CN"/>
                    </w:rPr>
                  </w:pPr>
                  <w:r>
                    <w:rPr>
                      <w:rFonts w:hint="eastAsia"/>
                      <w:color w:val="auto"/>
                      <w:highlight w:val="none"/>
                      <w:lang w:val="en-US" w:eastAsia="zh-CN"/>
                    </w:rPr>
                    <w:t>0.3505</w:t>
                  </w:r>
                </w:p>
              </w:tc>
            </w:tr>
            <w:tr w14:paraId="5D755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 w:type="dxa"/>
                  <w:vAlign w:val="center"/>
                </w:tcPr>
                <w:p w14:paraId="1AF3C216">
                  <w:pPr>
                    <w:pStyle w:val="49"/>
                    <w:bidi w:val="0"/>
                    <w:rPr>
                      <w:rFonts w:hint="default"/>
                      <w:color w:val="auto"/>
                      <w:highlight w:val="none"/>
                      <w:lang w:val="en-US" w:eastAsia="zh-CN"/>
                    </w:rPr>
                  </w:pPr>
                  <w:r>
                    <w:rPr>
                      <w:rFonts w:hint="eastAsia"/>
                      <w:color w:val="auto"/>
                      <w:highlight w:val="none"/>
                      <w:lang w:val="en-US" w:eastAsia="zh-CN"/>
                    </w:rPr>
                    <w:t>木焦油</w:t>
                  </w:r>
                </w:p>
              </w:tc>
              <w:tc>
                <w:tcPr>
                  <w:tcW w:w="793" w:type="dxa"/>
                  <w:vAlign w:val="center"/>
                </w:tcPr>
                <w:p w14:paraId="1C15AC2E">
                  <w:pPr>
                    <w:pStyle w:val="49"/>
                    <w:bidi w:val="0"/>
                    <w:rPr>
                      <w:rFonts w:hint="default"/>
                      <w:color w:val="auto"/>
                      <w:highlight w:val="none"/>
                      <w:lang w:val="en-US" w:eastAsia="zh-CN"/>
                    </w:rPr>
                  </w:pPr>
                  <w:r>
                    <w:rPr>
                      <w:rFonts w:hint="eastAsia"/>
                      <w:color w:val="auto"/>
                      <w:highlight w:val="none"/>
                      <w:lang w:val="en-US" w:eastAsia="zh-CN"/>
                    </w:rPr>
                    <w:t>110</w:t>
                  </w:r>
                </w:p>
              </w:tc>
              <w:tc>
                <w:tcPr>
                  <w:tcW w:w="793" w:type="dxa"/>
                  <w:vAlign w:val="center"/>
                </w:tcPr>
                <w:p w14:paraId="2DA2F735">
                  <w:pPr>
                    <w:pStyle w:val="49"/>
                    <w:bidi w:val="0"/>
                    <w:rPr>
                      <w:rFonts w:hint="default"/>
                      <w:color w:val="auto"/>
                      <w:highlight w:val="none"/>
                      <w:lang w:val="en-US" w:eastAsia="zh-CN"/>
                    </w:rPr>
                  </w:pPr>
                  <w:r>
                    <w:rPr>
                      <w:rFonts w:hint="eastAsia"/>
                      <w:color w:val="auto"/>
                      <w:highlight w:val="none"/>
                      <w:lang w:val="en-US" w:eastAsia="zh-CN"/>
                    </w:rPr>
                    <w:t>1200</w:t>
                  </w:r>
                </w:p>
              </w:tc>
              <w:tc>
                <w:tcPr>
                  <w:tcW w:w="793" w:type="dxa"/>
                  <w:vAlign w:val="center"/>
                </w:tcPr>
                <w:p w14:paraId="5B7BA8C3">
                  <w:pPr>
                    <w:pStyle w:val="49"/>
                    <w:bidi w:val="0"/>
                    <w:rPr>
                      <w:rFonts w:hint="default"/>
                      <w:color w:val="auto"/>
                      <w:highlight w:val="none"/>
                      <w:lang w:val="en-US" w:eastAsia="zh-CN"/>
                    </w:rPr>
                  </w:pPr>
                  <w:r>
                    <w:rPr>
                      <w:rFonts w:hint="eastAsia"/>
                      <w:color w:val="auto"/>
                      <w:highlight w:val="none"/>
                      <w:lang w:val="en-US" w:eastAsia="zh-CN"/>
                    </w:rPr>
                    <w:t>20</w:t>
                  </w:r>
                </w:p>
              </w:tc>
              <w:tc>
                <w:tcPr>
                  <w:tcW w:w="793" w:type="dxa"/>
                  <w:vAlign w:val="center"/>
                </w:tcPr>
                <w:p w14:paraId="558C7396">
                  <w:pPr>
                    <w:pStyle w:val="49"/>
                    <w:bidi w:val="0"/>
                    <w:rPr>
                      <w:rFonts w:hint="default"/>
                      <w:color w:val="auto"/>
                      <w:highlight w:val="none"/>
                      <w:lang w:val="en-US" w:eastAsia="zh-CN"/>
                    </w:rPr>
                  </w:pPr>
                  <w:r>
                    <w:rPr>
                      <w:rFonts w:hint="eastAsia"/>
                      <w:color w:val="auto"/>
                      <w:highlight w:val="none"/>
                      <w:lang w:val="en-US" w:eastAsia="zh-CN"/>
                    </w:rPr>
                    <w:t>1</w:t>
                  </w:r>
                </w:p>
              </w:tc>
              <w:tc>
                <w:tcPr>
                  <w:tcW w:w="793" w:type="dxa"/>
                  <w:vAlign w:val="center"/>
                </w:tcPr>
                <w:p w14:paraId="01AA4A64">
                  <w:pPr>
                    <w:pStyle w:val="49"/>
                    <w:bidi w:val="0"/>
                    <w:rPr>
                      <w:rFonts w:hint="default"/>
                      <w:color w:val="auto"/>
                      <w:highlight w:val="none"/>
                      <w:lang w:val="en-US" w:eastAsia="zh-CN"/>
                    </w:rPr>
                  </w:pPr>
                  <w:r>
                    <w:rPr>
                      <w:rFonts w:hint="eastAsia"/>
                      <w:color w:val="auto"/>
                      <w:highlight w:val="none"/>
                      <w:lang w:val="en-US" w:eastAsia="zh-CN"/>
                    </w:rPr>
                    <w:t>1</w:t>
                  </w:r>
                </w:p>
              </w:tc>
              <w:tc>
                <w:tcPr>
                  <w:tcW w:w="794" w:type="dxa"/>
                  <w:vAlign w:val="center"/>
                </w:tcPr>
                <w:p w14:paraId="5E6A6C97">
                  <w:pPr>
                    <w:pStyle w:val="49"/>
                    <w:bidi w:val="0"/>
                    <w:rPr>
                      <w:rFonts w:hint="default"/>
                      <w:color w:val="auto"/>
                      <w:highlight w:val="none"/>
                      <w:lang w:val="en-US" w:eastAsia="zh-CN"/>
                    </w:rPr>
                  </w:pPr>
                  <w:r>
                    <w:rPr>
                      <w:rFonts w:hint="eastAsia"/>
                      <w:color w:val="auto"/>
                      <w:highlight w:val="none"/>
                      <w:lang w:val="en-US" w:eastAsia="zh-CN"/>
                    </w:rPr>
                    <w:t>0.0006</w:t>
                  </w:r>
                </w:p>
              </w:tc>
              <w:tc>
                <w:tcPr>
                  <w:tcW w:w="794" w:type="dxa"/>
                  <w:vAlign w:val="center"/>
                </w:tcPr>
                <w:p w14:paraId="4E78071A">
                  <w:pPr>
                    <w:pStyle w:val="49"/>
                    <w:bidi w:val="0"/>
                    <w:rPr>
                      <w:rFonts w:hint="default"/>
                      <w:color w:val="auto"/>
                      <w:highlight w:val="none"/>
                      <w:lang w:val="en-US" w:eastAsia="zh-CN"/>
                    </w:rPr>
                  </w:pPr>
                  <w:r>
                    <w:rPr>
                      <w:rFonts w:hint="eastAsia"/>
                      <w:color w:val="auto"/>
                      <w:highlight w:val="none"/>
                      <w:lang w:val="en-US" w:eastAsia="zh-CN"/>
                    </w:rPr>
                    <w:t>0.0137</w:t>
                  </w:r>
                </w:p>
              </w:tc>
              <w:tc>
                <w:tcPr>
                  <w:tcW w:w="795" w:type="dxa"/>
                  <w:vAlign w:val="center"/>
                </w:tcPr>
                <w:p w14:paraId="766AEC38">
                  <w:pPr>
                    <w:pStyle w:val="49"/>
                    <w:bidi w:val="0"/>
                    <w:rPr>
                      <w:rFonts w:hint="default"/>
                      <w:color w:val="auto"/>
                      <w:highlight w:val="none"/>
                      <w:lang w:val="en-US" w:eastAsia="zh-CN"/>
                    </w:rPr>
                  </w:pPr>
                  <w:r>
                    <w:rPr>
                      <w:rFonts w:hint="eastAsia"/>
                      <w:color w:val="auto"/>
                      <w:highlight w:val="none"/>
                      <w:lang w:val="en-US" w:eastAsia="zh-CN"/>
                    </w:rPr>
                    <w:t>0.0144</w:t>
                  </w:r>
                </w:p>
              </w:tc>
            </w:tr>
          </w:tbl>
          <w:p w14:paraId="6B1DD105">
            <w:pPr>
              <w:pStyle w:val="11"/>
              <w:bidi w:val="0"/>
              <w:rPr>
                <w:rFonts w:hint="default"/>
                <w:color w:val="auto"/>
                <w:highlight w:val="none"/>
                <w:lang w:val="en-US" w:eastAsia="zh-CN"/>
              </w:rPr>
            </w:pPr>
            <w:r>
              <w:rPr>
                <w:rFonts w:hint="eastAsia"/>
                <w:color w:val="auto"/>
                <w:highlight w:val="none"/>
                <w:lang w:val="en-US" w:eastAsia="zh-CN"/>
              </w:rPr>
              <w:t>经计算，本项目储罐呼吸废气中非甲烷总烃的产生量为0.3649t/a。本项目VOCs产生量较小，类比其他同类项目，项目运行期间厂界非甲烷总烃浓度可满足</w:t>
            </w:r>
            <w:r>
              <w:rPr>
                <w:color w:val="auto"/>
                <w:highlight w:val="none"/>
              </w:rPr>
              <w:t>《挥发性有机物无组织排放控制标准》</w:t>
            </w:r>
            <w:r>
              <w:rPr>
                <w:rFonts w:hint="eastAsia"/>
                <w:color w:val="auto"/>
                <w:highlight w:val="none"/>
                <w:lang w:eastAsia="zh-CN"/>
              </w:rPr>
              <w:t>（</w:t>
            </w:r>
            <w:r>
              <w:rPr>
                <w:rFonts w:hint="eastAsia"/>
                <w:color w:val="auto"/>
                <w:highlight w:val="none"/>
                <w:lang w:val="en-US" w:eastAsia="zh-CN"/>
              </w:rPr>
              <w:t>GB37822-2019</w:t>
            </w:r>
            <w:r>
              <w:rPr>
                <w:rFonts w:hint="eastAsia"/>
                <w:color w:val="auto"/>
                <w:highlight w:val="none"/>
                <w:lang w:eastAsia="zh-CN"/>
              </w:rPr>
              <w:t>）</w:t>
            </w:r>
            <w:r>
              <w:rPr>
                <w:rFonts w:hint="eastAsia"/>
                <w:color w:val="auto"/>
                <w:highlight w:val="none"/>
                <w:lang w:val="en-US" w:eastAsia="zh-CN"/>
              </w:rPr>
              <w:t>表A.1中排放限值要求。</w:t>
            </w:r>
          </w:p>
          <w:p w14:paraId="2C84CC10">
            <w:pPr>
              <w:pStyle w:val="11"/>
              <w:numPr>
                <w:ilvl w:val="0"/>
                <w:numId w:val="9"/>
              </w:numPr>
              <w:bidi w:val="0"/>
              <w:rPr>
                <w:rFonts w:hint="eastAsia"/>
                <w:color w:val="auto"/>
                <w:sz w:val="24"/>
                <w:highlight w:val="none"/>
                <w:lang w:val="en-US" w:eastAsia="zh-CN"/>
              </w:rPr>
            </w:pPr>
            <w:r>
              <w:rPr>
                <w:rFonts w:hint="eastAsia"/>
                <w:color w:val="auto"/>
                <w:sz w:val="24"/>
                <w:highlight w:val="none"/>
                <w:lang w:val="en-US" w:eastAsia="zh-CN"/>
              </w:rPr>
              <w:t>有机肥产线废气</w:t>
            </w:r>
          </w:p>
          <w:p w14:paraId="3FD54442">
            <w:pPr>
              <w:pStyle w:val="11"/>
              <w:bidi w:val="0"/>
              <w:rPr>
                <w:rFonts w:hint="default"/>
                <w:color w:val="auto"/>
                <w:highlight w:val="none"/>
                <w:lang w:val="en-US" w:eastAsia="zh-CN"/>
              </w:rPr>
            </w:pPr>
            <w:r>
              <w:rPr>
                <w:rFonts w:hint="eastAsia"/>
                <w:color w:val="auto"/>
                <w:highlight w:val="none"/>
                <w:lang w:val="en-US" w:eastAsia="zh-CN"/>
              </w:rPr>
              <w:t>①发酵废气</w:t>
            </w:r>
          </w:p>
          <w:p w14:paraId="36CC7FF8">
            <w:pPr>
              <w:pStyle w:val="11"/>
              <w:bidi w:val="0"/>
              <w:rPr>
                <w:rFonts w:hint="eastAsia"/>
                <w:color w:val="auto"/>
                <w:sz w:val="22"/>
                <w:szCs w:val="18"/>
                <w:highlight w:val="none"/>
                <w:vertAlign w:val="baseline"/>
                <w:lang w:val="en-US" w:eastAsia="zh-CN"/>
              </w:rPr>
            </w:pPr>
            <w:r>
              <w:rPr>
                <w:rFonts w:hint="eastAsia"/>
                <w:color w:val="auto"/>
                <w:highlight w:val="none"/>
                <w:lang w:val="en-US" w:eastAsia="zh-CN"/>
              </w:rPr>
              <w:t>本项目发酵过程中会产生恶臭气体，根据《排放源统计调查产排污核算方法和系数手册》中的《2625有机肥料及微生物肥料制造行业系数手册》中的“2625有机肥料及微生物肥料制造行业系数表”，本项目发酵属于罐式发酵，氨的产污系数为1.0×10</w:t>
            </w:r>
            <w:r>
              <w:rPr>
                <w:rFonts w:hint="eastAsia"/>
                <w:color w:val="auto"/>
                <w:highlight w:val="none"/>
                <w:vertAlign w:val="superscript"/>
                <w:lang w:val="en-US" w:eastAsia="zh-CN"/>
              </w:rPr>
              <w:t>-2</w:t>
            </w:r>
            <w:r>
              <w:rPr>
                <w:rFonts w:hint="eastAsia"/>
                <w:color w:val="auto"/>
                <w:highlight w:val="none"/>
                <w:lang w:val="en-US" w:eastAsia="zh-CN"/>
              </w:rPr>
              <w:t>kg/t-产品，硫化氢产生量约为NH</w:t>
            </w:r>
            <w:r>
              <w:rPr>
                <w:rFonts w:hint="eastAsia"/>
                <w:color w:val="auto"/>
                <w:highlight w:val="none"/>
                <w:vertAlign w:val="subscript"/>
                <w:lang w:val="en-US" w:eastAsia="zh-CN"/>
              </w:rPr>
              <w:t>3</w:t>
            </w:r>
            <w:r>
              <w:rPr>
                <w:rFonts w:hint="eastAsia"/>
                <w:color w:val="auto"/>
                <w:highlight w:val="none"/>
                <w:lang w:val="en-US" w:eastAsia="zh-CN"/>
              </w:rPr>
              <w:t>的10%。本项目年产5000t有机肥，则NH</w:t>
            </w:r>
            <w:r>
              <w:rPr>
                <w:rFonts w:hint="eastAsia"/>
                <w:color w:val="auto"/>
                <w:sz w:val="22"/>
                <w:szCs w:val="18"/>
                <w:highlight w:val="none"/>
                <w:vertAlign w:val="subscript"/>
                <w:lang w:val="en-US" w:eastAsia="zh-CN"/>
              </w:rPr>
              <w:t>3</w:t>
            </w:r>
            <w:r>
              <w:rPr>
                <w:rFonts w:hint="eastAsia"/>
                <w:color w:val="auto"/>
                <w:sz w:val="22"/>
                <w:szCs w:val="18"/>
                <w:highlight w:val="none"/>
                <w:vertAlign w:val="baseline"/>
                <w:lang w:val="en-US" w:eastAsia="zh-CN"/>
              </w:rPr>
              <w:t>的</w:t>
            </w:r>
            <w:r>
              <w:rPr>
                <w:rFonts w:hint="eastAsia"/>
                <w:color w:val="auto"/>
                <w:highlight w:val="none"/>
                <w:lang w:val="en-US" w:eastAsia="zh-CN"/>
              </w:rPr>
              <w:t>产生</w:t>
            </w:r>
            <w:r>
              <w:rPr>
                <w:rFonts w:hint="eastAsia"/>
                <w:color w:val="auto"/>
                <w:sz w:val="22"/>
                <w:szCs w:val="18"/>
                <w:highlight w:val="none"/>
                <w:vertAlign w:val="baseline"/>
                <w:lang w:val="en-US" w:eastAsia="zh-CN"/>
              </w:rPr>
              <w:t>量为0.05t/a，H</w:t>
            </w:r>
            <w:r>
              <w:rPr>
                <w:rFonts w:hint="eastAsia"/>
                <w:color w:val="auto"/>
                <w:sz w:val="22"/>
                <w:szCs w:val="18"/>
                <w:highlight w:val="none"/>
                <w:vertAlign w:val="subscript"/>
                <w:lang w:val="en-US" w:eastAsia="zh-CN"/>
              </w:rPr>
              <w:t>2</w:t>
            </w:r>
            <w:r>
              <w:rPr>
                <w:rFonts w:hint="eastAsia"/>
                <w:color w:val="auto"/>
                <w:sz w:val="22"/>
                <w:szCs w:val="18"/>
                <w:highlight w:val="none"/>
                <w:vertAlign w:val="baseline"/>
                <w:lang w:val="en-US" w:eastAsia="zh-CN"/>
              </w:rPr>
              <w:t>S产生量为0.005t/a。臭气浓度为无量纲，不对其进行定量分析。</w:t>
            </w:r>
          </w:p>
          <w:p w14:paraId="5E5BB47D">
            <w:pPr>
              <w:pStyle w:val="11"/>
              <w:bidi w:val="0"/>
              <w:rPr>
                <w:rFonts w:hint="default" w:ascii="Times New Roman" w:hAnsi="Times New Roman" w:eastAsia="宋体" w:cs="Times New Roman"/>
                <w:bCs/>
                <w:color w:val="auto"/>
                <w:sz w:val="24"/>
                <w:szCs w:val="24"/>
                <w:lang w:val="en-US" w:eastAsia="zh-CN"/>
              </w:rPr>
            </w:pPr>
            <w:r>
              <w:rPr>
                <w:rFonts w:hint="default" w:ascii="Times New Roman" w:hAnsi="Times New Roman" w:eastAsia="宋体" w:cs="Times New Roman"/>
                <w:bCs/>
                <w:color w:val="auto"/>
                <w:sz w:val="24"/>
                <w:szCs w:val="24"/>
                <w:lang w:val="en-US" w:eastAsia="zh-CN"/>
              </w:rPr>
              <w:t>项目</w:t>
            </w:r>
            <w:r>
              <w:rPr>
                <w:rFonts w:hint="eastAsia" w:cs="Times New Roman"/>
                <w:bCs/>
                <w:color w:val="auto"/>
                <w:sz w:val="24"/>
                <w:szCs w:val="24"/>
                <w:lang w:val="en-US" w:eastAsia="zh-CN"/>
              </w:rPr>
              <w:t>拟采取</w:t>
            </w:r>
            <w:r>
              <w:rPr>
                <w:rFonts w:hint="default" w:ascii="Times New Roman" w:hAnsi="Times New Roman" w:eastAsia="宋体" w:cs="Times New Roman"/>
                <w:bCs/>
                <w:color w:val="auto"/>
                <w:sz w:val="24"/>
                <w:szCs w:val="24"/>
                <w:lang w:val="en-US" w:eastAsia="zh-CN"/>
              </w:rPr>
              <w:t>1套</w:t>
            </w:r>
            <w:r>
              <w:rPr>
                <w:rFonts w:hint="eastAsia" w:ascii="Times New Roman" w:hAnsi="Times New Roman" w:eastAsia="宋体" w:cs="Times New Roman"/>
                <w:bCs/>
                <w:color w:val="auto"/>
                <w:sz w:val="24"/>
                <w:szCs w:val="24"/>
                <w:lang w:val="en-US" w:eastAsia="zh-CN"/>
              </w:rPr>
              <w:t>“生物除臭</w:t>
            </w:r>
            <w:r>
              <w:rPr>
                <w:rFonts w:hint="default" w:ascii="Times New Roman" w:hAnsi="Times New Roman" w:eastAsia="宋体" w:cs="Times New Roman"/>
                <w:bCs/>
                <w:color w:val="auto"/>
                <w:sz w:val="24"/>
                <w:szCs w:val="24"/>
                <w:lang w:val="en-US" w:eastAsia="zh-CN"/>
              </w:rPr>
              <w:t>装置</w:t>
            </w:r>
            <w:r>
              <w:rPr>
                <w:rFonts w:hint="eastAsia"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US" w:eastAsia="zh-CN"/>
              </w:rPr>
              <w:t>，用来处理</w:t>
            </w:r>
            <w:r>
              <w:rPr>
                <w:rFonts w:hint="eastAsia" w:ascii="宋体" w:hAnsi="宋体" w:eastAsia="宋体" w:cs="宋体"/>
                <w:snapToGrid w:val="0"/>
                <w:color w:val="auto"/>
                <w:sz w:val="24"/>
                <w:lang w:val="en-US" w:eastAsia="zh-CN"/>
              </w:rPr>
              <w:t>液态肥发酵、有机肥及生物有机肥陈化料堆放</w:t>
            </w:r>
            <w:r>
              <w:rPr>
                <w:rFonts w:hint="default" w:ascii="Times New Roman" w:hAnsi="Times New Roman" w:eastAsia="宋体" w:cs="Times New Roman"/>
                <w:bCs/>
                <w:color w:val="auto"/>
                <w:sz w:val="24"/>
                <w:szCs w:val="24"/>
                <w:lang w:val="en-US" w:eastAsia="zh-CN"/>
              </w:rPr>
              <w:t>产生的恶臭。项目</w:t>
            </w:r>
            <w:r>
              <w:rPr>
                <w:rFonts w:hint="eastAsia" w:ascii="Times New Roman" w:hAnsi="Times New Roman" w:eastAsia="宋体" w:cs="Times New Roman"/>
                <w:bCs/>
                <w:color w:val="auto"/>
                <w:sz w:val="24"/>
                <w:szCs w:val="24"/>
                <w:lang w:val="en-US" w:eastAsia="zh-CN"/>
              </w:rPr>
              <w:t>有机肥车间</w:t>
            </w:r>
            <w:r>
              <w:rPr>
                <w:rFonts w:hint="default" w:ascii="Times New Roman" w:hAnsi="Times New Roman" w:eastAsia="宋体" w:cs="Times New Roman"/>
                <w:bCs/>
                <w:color w:val="auto"/>
                <w:sz w:val="24"/>
                <w:szCs w:val="24"/>
                <w:lang w:val="en-US" w:eastAsia="zh-CN"/>
              </w:rPr>
              <w:t>采用封闭式钢结构厂房，</w:t>
            </w:r>
            <w:r>
              <w:rPr>
                <w:rFonts w:hint="eastAsia" w:ascii="Times New Roman" w:hAnsi="Times New Roman" w:eastAsia="宋体" w:cs="Times New Roman"/>
                <w:bCs/>
                <w:color w:val="auto"/>
                <w:sz w:val="24"/>
                <w:szCs w:val="24"/>
                <w:lang w:val="en-US" w:eastAsia="zh-CN"/>
              </w:rPr>
              <w:t>微</w:t>
            </w:r>
            <w:r>
              <w:rPr>
                <w:rFonts w:hint="default" w:ascii="Times New Roman" w:hAnsi="Times New Roman" w:eastAsia="宋体" w:cs="Times New Roman"/>
                <w:bCs/>
                <w:color w:val="auto"/>
                <w:sz w:val="24"/>
                <w:szCs w:val="24"/>
                <w:lang w:val="en-US" w:eastAsia="zh-CN"/>
              </w:rPr>
              <w:t>负压设计</w:t>
            </w:r>
            <w:r>
              <w:rPr>
                <w:rFonts w:hint="eastAsia" w:ascii="Times New Roman" w:hAnsi="Times New Roman" w:eastAsia="宋体" w:cs="Times New Roman"/>
                <w:bCs/>
                <w:color w:val="auto"/>
                <w:sz w:val="24"/>
                <w:szCs w:val="24"/>
                <w:lang w:val="en-US" w:eastAsia="zh-CN"/>
              </w:rPr>
              <w:t>，废气收集效率</w:t>
            </w:r>
            <w:r>
              <w:rPr>
                <w:rFonts w:hint="default" w:ascii="Times New Roman" w:hAnsi="Times New Roman" w:eastAsia="宋体" w:cs="Times New Roman"/>
                <w:bCs/>
                <w:color w:val="auto"/>
                <w:sz w:val="24"/>
                <w:szCs w:val="24"/>
                <w:lang w:val="en-US" w:eastAsia="zh-CN"/>
              </w:rPr>
              <w:t>按9</w:t>
            </w:r>
            <w:r>
              <w:rPr>
                <w:rFonts w:hint="default" w:ascii="Times New Roman" w:hAnsi="Times New Roman" w:cs="Times New Roman"/>
                <w:bCs/>
                <w:color w:val="auto"/>
                <w:sz w:val="24"/>
                <w:szCs w:val="24"/>
                <w:lang w:val="en-US" w:eastAsia="zh-CN"/>
              </w:rPr>
              <w:t>5</w:t>
            </w:r>
            <w:r>
              <w:rPr>
                <w:rFonts w:hint="default" w:ascii="Times New Roman" w:hAnsi="Times New Roman" w:eastAsia="宋体" w:cs="Times New Roman"/>
                <w:bCs/>
                <w:color w:val="auto"/>
                <w:sz w:val="24"/>
                <w:szCs w:val="24"/>
                <w:lang w:val="en-US" w:eastAsia="zh-CN"/>
              </w:rPr>
              <w:t>%计。</w:t>
            </w:r>
            <w:r>
              <w:rPr>
                <w:rFonts w:hint="eastAsia" w:ascii="Times New Roman" w:hAnsi="Times New Roman" w:eastAsia="宋体" w:cs="Times New Roman"/>
                <w:bCs/>
                <w:color w:val="auto"/>
                <w:sz w:val="24"/>
                <w:szCs w:val="24"/>
                <w:lang w:val="en-US" w:eastAsia="zh-CN"/>
              </w:rPr>
              <w:t>配套</w:t>
            </w:r>
            <w:r>
              <w:rPr>
                <w:rFonts w:hint="default" w:ascii="Times New Roman" w:hAnsi="Times New Roman" w:eastAsia="宋体" w:cs="Times New Roman"/>
                <w:bCs/>
                <w:color w:val="auto"/>
                <w:sz w:val="24"/>
                <w:szCs w:val="24"/>
                <w:lang w:val="en-US" w:eastAsia="zh-CN"/>
              </w:rPr>
              <w:t>设置引风机和废气收集管路，将</w:t>
            </w:r>
            <w:r>
              <w:rPr>
                <w:rFonts w:hint="eastAsia" w:ascii="宋体" w:hAnsi="宋体" w:eastAsia="宋体" w:cs="宋体"/>
                <w:snapToGrid w:val="0"/>
                <w:color w:val="auto"/>
                <w:sz w:val="24"/>
                <w:lang w:val="en-US" w:eastAsia="zh-CN"/>
              </w:rPr>
              <w:t>有机肥发酵</w:t>
            </w:r>
            <w:r>
              <w:rPr>
                <w:rFonts w:hint="eastAsia" w:cs="Times New Roman"/>
                <w:bCs/>
                <w:color w:val="auto"/>
                <w:sz w:val="24"/>
                <w:szCs w:val="24"/>
                <w:lang w:val="en-US" w:eastAsia="zh-CN"/>
              </w:rPr>
              <w:t>工序</w:t>
            </w:r>
            <w:r>
              <w:rPr>
                <w:rFonts w:hint="default" w:ascii="Times New Roman" w:hAnsi="Times New Roman" w:eastAsia="宋体" w:cs="Times New Roman"/>
                <w:bCs/>
                <w:color w:val="auto"/>
                <w:sz w:val="24"/>
                <w:szCs w:val="24"/>
                <w:lang w:val="en-US" w:eastAsia="zh-CN"/>
              </w:rPr>
              <w:t>产生的</w:t>
            </w:r>
            <w:r>
              <w:rPr>
                <w:rFonts w:hint="eastAsia" w:ascii="Times New Roman" w:hAnsi="Times New Roman" w:eastAsia="宋体" w:cs="Times New Roman"/>
                <w:bCs/>
                <w:color w:val="auto"/>
                <w:sz w:val="24"/>
                <w:szCs w:val="24"/>
                <w:lang w:val="en-US" w:eastAsia="zh-CN"/>
              </w:rPr>
              <w:t>恶臭气体</w:t>
            </w:r>
            <w:r>
              <w:rPr>
                <w:rFonts w:hint="default" w:ascii="Times New Roman" w:hAnsi="Times New Roman" w:eastAsia="宋体" w:cs="Times New Roman"/>
                <w:bCs/>
                <w:color w:val="auto"/>
                <w:sz w:val="24"/>
                <w:szCs w:val="24"/>
                <w:lang w:val="en-US" w:eastAsia="zh-CN"/>
              </w:rPr>
              <w:t>经管道引至</w:t>
            </w:r>
            <w:r>
              <w:rPr>
                <w:rFonts w:hint="eastAsia" w:ascii="Times New Roman" w:hAnsi="Times New Roman" w:eastAsia="宋体" w:cs="Times New Roman"/>
                <w:bCs/>
                <w:color w:val="auto"/>
                <w:sz w:val="24"/>
                <w:szCs w:val="24"/>
                <w:lang w:val="en-US" w:eastAsia="zh-CN"/>
              </w:rPr>
              <w:t>“生物除臭</w:t>
            </w:r>
            <w:r>
              <w:rPr>
                <w:rFonts w:hint="default" w:ascii="Times New Roman" w:hAnsi="Times New Roman" w:eastAsia="宋体" w:cs="Times New Roman"/>
                <w:bCs/>
                <w:color w:val="auto"/>
                <w:sz w:val="24"/>
                <w:szCs w:val="24"/>
                <w:lang w:val="en-US" w:eastAsia="zh-CN"/>
              </w:rPr>
              <w:t>装置</w:t>
            </w:r>
            <w:r>
              <w:rPr>
                <w:rFonts w:hint="eastAsia"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US" w:eastAsia="zh-CN"/>
              </w:rPr>
              <w:t>，处理后经15m高排气筒</w:t>
            </w:r>
            <w:r>
              <w:rPr>
                <w:rStyle w:val="38"/>
                <w:rFonts w:hint="default"/>
                <w:lang w:val="en-US" w:eastAsia="zh-CN"/>
              </w:rPr>
              <w:t>（DA00</w:t>
            </w:r>
            <w:r>
              <w:rPr>
                <w:rStyle w:val="38"/>
                <w:rFonts w:hint="eastAsia"/>
                <w:lang w:val="en-US" w:eastAsia="zh-CN"/>
              </w:rPr>
              <w:t>3</w:t>
            </w:r>
            <w:r>
              <w:rPr>
                <w:rStyle w:val="38"/>
                <w:rFonts w:hint="default"/>
                <w:lang w:val="en-US" w:eastAsia="zh-CN"/>
              </w:rPr>
              <w:t>）</w:t>
            </w:r>
            <w:r>
              <w:rPr>
                <w:rFonts w:hint="default" w:ascii="Times New Roman" w:hAnsi="Times New Roman" w:eastAsia="宋体" w:cs="Times New Roman"/>
                <w:bCs/>
                <w:color w:val="auto"/>
                <w:sz w:val="24"/>
                <w:szCs w:val="24"/>
                <w:lang w:val="en-US" w:eastAsia="zh-CN"/>
              </w:rPr>
              <w:t>排放。</w:t>
            </w:r>
            <w:r>
              <w:rPr>
                <w:rFonts w:hint="default" w:ascii="Times New Roman" w:hAnsi="Times New Roman" w:cs="Times New Roman"/>
                <w:bCs/>
                <w:color w:val="auto"/>
                <w:sz w:val="24"/>
                <w:szCs w:val="24"/>
                <w:lang w:val="en-US" w:eastAsia="zh-CN"/>
              </w:rPr>
              <w:t>本项目</w:t>
            </w:r>
            <w:r>
              <w:rPr>
                <w:rFonts w:hint="eastAsia" w:ascii="Times New Roman" w:hAnsi="Times New Roman" w:eastAsia="宋体" w:cs="Times New Roman"/>
                <w:bCs/>
                <w:color w:val="auto"/>
                <w:sz w:val="24"/>
                <w:szCs w:val="24"/>
                <w:lang w:val="en-US" w:eastAsia="zh-CN"/>
              </w:rPr>
              <w:t>“生物除臭</w:t>
            </w:r>
            <w:r>
              <w:rPr>
                <w:rFonts w:hint="default" w:ascii="Times New Roman" w:hAnsi="Times New Roman" w:eastAsia="宋体" w:cs="Times New Roman"/>
                <w:bCs/>
                <w:color w:val="auto"/>
                <w:sz w:val="24"/>
                <w:szCs w:val="24"/>
                <w:lang w:val="en-US" w:eastAsia="zh-CN"/>
              </w:rPr>
              <w:t>装置</w:t>
            </w:r>
            <w:r>
              <w:rPr>
                <w:rFonts w:hint="eastAsia" w:ascii="Times New Roman" w:hAnsi="Times New Roman" w:eastAsia="宋体" w:cs="Times New Roman"/>
                <w:bCs/>
                <w:color w:val="auto"/>
                <w:sz w:val="24"/>
                <w:szCs w:val="24"/>
                <w:lang w:val="en-US" w:eastAsia="zh-CN"/>
              </w:rPr>
              <w:t>”</w:t>
            </w:r>
            <w:r>
              <w:rPr>
                <w:rFonts w:hint="default" w:ascii="Times New Roman" w:hAnsi="Times New Roman" w:eastAsia="宋体" w:cs="Times New Roman"/>
                <w:bCs/>
                <w:color w:val="auto"/>
                <w:sz w:val="24"/>
                <w:szCs w:val="24"/>
                <w:lang w:val="en-US" w:eastAsia="zh-CN"/>
              </w:rPr>
              <w:t>去除效率</w:t>
            </w:r>
            <w:r>
              <w:rPr>
                <w:rFonts w:hint="default" w:ascii="Times New Roman" w:hAnsi="Times New Roman" w:cs="Times New Roman"/>
                <w:bCs/>
                <w:color w:val="auto"/>
                <w:sz w:val="24"/>
                <w:szCs w:val="24"/>
                <w:lang w:val="en-US" w:eastAsia="zh-CN"/>
              </w:rPr>
              <w:t>取</w:t>
            </w:r>
            <w:r>
              <w:rPr>
                <w:rFonts w:hint="eastAsia" w:ascii="Times New Roman" w:hAnsi="Times New Roman" w:cs="Times New Roman"/>
                <w:bCs/>
                <w:color w:val="auto"/>
                <w:sz w:val="24"/>
                <w:szCs w:val="24"/>
                <w:lang w:val="en-US" w:eastAsia="zh-CN"/>
              </w:rPr>
              <w:t>80</w:t>
            </w:r>
            <w:r>
              <w:rPr>
                <w:rFonts w:hint="default" w:ascii="Times New Roman" w:hAnsi="Times New Roman" w:eastAsia="宋体" w:cs="Times New Roman"/>
                <w:bCs/>
                <w:color w:val="auto"/>
                <w:sz w:val="24"/>
                <w:szCs w:val="24"/>
                <w:lang w:val="en-US" w:eastAsia="zh-CN"/>
              </w:rPr>
              <w:t>%，设计总风量</w:t>
            </w:r>
            <w:r>
              <w:rPr>
                <w:rFonts w:hint="default" w:ascii="Times New Roman" w:hAnsi="Times New Roman" w:cs="Times New Roman"/>
                <w:bCs/>
                <w:color w:val="auto"/>
                <w:sz w:val="24"/>
                <w:szCs w:val="24"/>
                <w:lang w:val="en-US" w:eastAsia="zh-CN"/>
              </w:rPr>
              <w:t>计算</w:t>
            </w:r>
            <w:r>
              <w:rPr>
                <w:rFonts w:hint="eastAsia" w:cs="Times New Roman"/>
                <w:bCs/>
                <w:color w:val="auto"/>
                <w:sz w:val="24"/>
                <w:szCs w:val="24"/>
                <w:lang w:val="en-US" w:eastAsia="zh-CN"/>
              </w:rPr>
              <w:t>过程如下：</w:t>
            </w:r>
          </w:p>
          <w:p w14:paraId="32FF3E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根据房间新风换气次数计算：[取房间新风换气次数盘p=4</w:t>
            </w:r>
            <w:r>
              <w:rPr>
                <w:rFonts w:hint="eastAsia" w:ascii="宋体" w:hAnsi="宋体" w:eastAsia="宋体" w:cs="宋体"/>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次/h</w:t>
            </w:r>
            <w:r>
              <w:rPr>
                <w:rFonts w:hint="eastAsia" w:ascii="宋体" w:hAnsi="宋体" w:eastAsia="宋体" w:cs="宋体"/>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]，则新风量</w:t>
            </w:r>
          </w:p>
          <w:p w14:paraId="33E733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center"/>
              <w:textAlignment w:val="auto"/>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Q=p·s·h</w:t>
            </w:r>
          </w:p>
          <w:p w14:paraId="6044B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式中：</w:t>
            </w:r>
          </w:p>
          <w:p w14:paraId="0443B0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eastAsia"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Q</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新风量（m</w:t>
            </w:r>
            <w:r>
              <w:rPr>
                <w:rFonts w:hint="eastAsia" w:ascii="Times New Roman" w:hAnsi="Times New Roman" w:eastAsia="宋体" w:cs="Times New Roman"/>
                <w:color w:val="auto"/>
                <w:sz w:val="24"/>
                <w:szCs w:val="22"/>
                <w:highlight w:val="none"/>
                <w:vertAlign w:val="superscript"/>
                <w:lang w:val="en-US" w:eastAsia="zh-CN"/>
              </w:rPr>
              <w:t>3</w:t>
            </w:r>
            <w:r>
              <w:rPr>
                <w:rFonts w:hint="eastAsia" w:ascii="Times New Roman" w:hAnsi="Times New Roman" w:eastAsia="宋体" w:cs="Times New Roman"/>
                <w:color w:val="auto"/>
                <w:sz w:val="24"/>
                <w:szCs w:val="22"/>
                <w:highlight w:val="none"/>
                <w:lang w:val="en-US" w:eastAsia="zh-CN"/>
              </w:rPr>
              <w:t>/h）</w:t>
            </w:r>
          </w:p>
          <w:p w14:paraId="117F3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p</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换气次数（次/h），本次环评取4次/h；</w:t>
            </w:r>
          </w:p>
          <w:p w14:paraId="12C760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s</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车间面积（车间</w:t>
            </w:r>
            <w:r>
              <w:rPr>
                <w:rFonts w:hint="default" w:ascii="Times New Roman" w:hAnsi="Times New Roman" w:eastAsia="宋体" w:cs="Times New Roman"/>
                <w:color w:val="auto"/>
                <w:sz w:val="24"/>
                <w:szCs w:val="22"/>
                <w:highlight w:val="none"/>
                <w:lang w:val="en-US" w:eastAsia="zh-CN"/>
              </w:rPr>
              <w:t>面积</w:t>
            </w:r>
            <w:r>
              <w:rPr>
                <w:rFonts w:hint="eastAsia" w:ascii="Times New Roman" w:hAnsi="Times New Roman" w:eastAsia="宋体" w:cs="Times New Roman"/>
                <w:color w:val="auto"/>
                <w:sz w:val="24"/>
                <w:szCs w:val="22"/>
                <w:highlight w:val="none"/>
                <w:lang w:val="en-US" w:eastAsia="zh-CN"/>
              </w:rPr>
              <w:t>约</w:t>
            </w:r>
            <w:r>
              <w:rPr>
                <w:rFonts w:hint="default" w:ascii="Times New Roman" w:hAnsi="Times New Roman" w:eastAsia="宋体" w:cs="Times New Roman"/>
                <w:color w:val="auto"/>
                <w:sz w:val="24"/>
                <w:szCs w:val="22"/>
                <w:highlight w:val="none"/>
                <w:lang w:val="en-US" w:eastAsia="zh-CN"/>
              </w:rPr>
              <w:t>为</w:t>
            </w:r>
            <w:r>
              <w:rPr>
                <w:rFonts w:hint="eastAsia" w:ascii="Times New Roman" w:hAnsi="Times New Roman" w:eastAsia="宋体" w:cs="Times New Roman"/>
                <w:color w:val="auto"/>
                <w:sz w:val="24"/>
                <w:szCs w:val="22"/>
                <w:highlight w:val="none"/>
                <w:lang w:val="en-US" w:eastAsia="zh-CN"/>
              </w:rPr>
              <w:t>1039.62</w:t>
            </w:r>
            <w:r>
              <w:rPr>
                <w:rFonts w:hint="default" w:ascii="Times New Roman" w:hAnsi="Times New Roman" w:eastAsia="宋体" w:cs="Times New Roman"/>
                <w:color w:val="auto"/>
                <w:sz w:val="24"/>
                <w:szCs w:val="22"/>
                <w:highlight w:val="none"/>
                <w:lang w:val="en-US" w:eastAsia="zh-CN"/>
              </w:rPr>
              <w:t>m</w:t>
            </w:r>
            <w:r>
              <w:rPr>
                <w:rFonts w:hint="default" w:ascii="Times New Roman" w:hAnsi="Times New Roman" w:eastAsia="宋体" w:cs="Times New Roman"/>
                <w:color w:val="auto"/>
                <w:sz w:val="24"/>
                <w:szCs w:val="22"/>
                <w:highlight w:val="none"/>
                <w:vertAlign w:val="superscript"/>
                <w:lang w:val="en-US" w:eastAsia="zh-CN"/>
              </w:rPr>
              <w:t>2</w:t>
            </w:r>
            <w:r>
              <w:rPr>
                <w:rFonts w:hint="eastAsia" w:ascii="Times New Roman" w:hAnsi="Times New Roman" w:eastAsia="宋体" w:cs="Times New Roman"/>
                <w:color w:val="auto"/>
                <w:sz w:val="24"/>
                <w:szCs w:val="22"/>
                <w:highlight w:val="none"/>
                <w:lang w:val="en-US" w:eastAsia="zh-CN"/>
              </w:rPr>
              <w:t>）；</w:t>
            </w:r>
          </w:p>
          <w:p w14:paraId="00574E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sz w:val="24"/>
                <w:szCs w:val="22"/>
                <w:highlight w:val="none"/>
                <w:lang w:val="en-US" w:eastAsia="zh-CN"/>
              </w:rPr>
            </w:pPr>
            <w:r>
              <w:rPr>
                <w:rFonts w:hint="eastAsia" w:ascii="Times New Roman" w:hAnsi="Times New Roman" w:eastAsia="宋体" w:cs="Times New Roman"/>
                <w:color w:val="auto"/>
                <w:sz w:val="24"/>
                <w:szCs w:val="22"/>
                <w:highlight w:val="none"/>
                <w:lang w:val="en-US" w:eastAsia="zh-CN"/>
              </w:rPr>
              <w:t>h</w:t>
            </w:r>
            <w:r>
              <w:rPr>
                <w:rFonts w:hint="default" w:ascii="Times New Roman" w:hAnsi="Times New Roman" w:eastAsia="宋体" w:cs="Times New Roman"/>
                <w:color w:val="auto"/>
                <w:sz w:val="24"/>
                <w:szCs w:val="22"/>
                <w:highlight w:val="none"/>
                <w:lang w:val="en-US" w:eastAsia="zh-CN"/>
              </w:rPr>
              <w:t>——</w:t>
            </w:r>
            <w:r>
              <w:rPr>
                <w:rFonts w:hint="eastAsia" w:ascii="Times New Roman" w:hAnsi="Times New Roman" w:eastAsia="宋体" w:cs="Times New Roman"/>
                <w:color w:val="auto"/>
                <w:sz w:val="24"/>
                <w:szCs w:val="22"/>
                <w:highlight w:val="none"/>
                <w:lang w:val="en-US" w:eastAsia="zh-CN"/>
              </w:rPr>
              <w:t>车间高度，车间高度约为7.35m。</w:t>
            </w:r>
          </w:p>
          <w:p w14:paraId="734029E0">
            <w:pPr>
              <w:pStyle w:val="11"/>
              <w:bidi w:val="0"/>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则由上式可计算出项目</w:t>
            </w:r>
            <w:r>
              <w:rPr>
                <w:rFonts w:hint="eastAsia" w:ascii="Times New Roman" w:hAnsi="Times New Roman" w:eastAsia="宋体" w:cs="Times New Roman"/>
                <w:color w:val="auto"/>
                <w:sz w:val="24"/>
                <w:szCs w:val="22"/>
                <w:highlight w:val="none"/>
                <w:lang w:val="en-US" w:eastAsia="zh-CN"/>
              </w:rPr>
              <w:t>肥料生产车间</w:t>
            </w:r>
            <w:r>
              <w:rPr>
                <w:rFonts w:hint="default" w:ascii="Times New Roman" w:hAnsi="Times New Roman" w:eastAsia="宋体" w:cs="Times New Roman"/>
                <w:color w:val="auto"/>
                <w:sz w:val="24"/>
                <w:szCs w:val="22"/>
                <w:highlight w:val="none"/>
                <w:lang w:val="en-US" w:eastAsia="zh-CN"/>
              </w:rPr>
              <w:t>所需总风量</w:t>
            </w:r>
            <w:r>
              <w:rPr>
                <w:rFonts w:hint="eastAsia" w:ascii="Times New Roman" w:hAnsi="Times New Roman" w:eastAsia="宋体" w:cs="Times New Roman"/>
                <w:color w:val="auto"/>
                <w:sz w:val="24"/>
                <w:szCs w:val="22"/>
                <w:highlight w:val="none"/>
                <w:lang w:val="en-US" w:eastAsia="zh-CN"/>
              </w:rPr>
              <w:t>30564.8</w:t>
            </w:r>
            <w:r>
              <w:rPr>
                <w:rFonts w:hint="default" w:ascii="Times New Roman" w:hAnsi="Times New Roman" w:eastAsia="宋体" w:cs="Times New Roman"/>
                <w:color w:val="auto"/>
                <w:sz w:val="24"/>
                <w:szCs w:val="22"/>
                <w:highlight w:val="none"/>
                <w:lang w:val="en-US" w:eastAsia="zh-CN"/>
              </w:rPr>
              <w:t>m</w:t>
            </w:r>
            <w:r>
              <w:rPr>
                <w:rFonts w:hint="default" w:ascii="Times New Roman" w:hAnsi="Times New Roman" w:eastAsia="宋体" w:cs="Times New Roman"/>
                <w:color w:val="auto"/>
                <w:sz w:val="24"/>
                <w:szCs w:val="22"/>
                <w:highlight w:val="none"/>
                <w:vertAlign w:val="superscript"/>
                <w:lang w:val="en-US" w:eastAsia="zh-CN"/>
              </w:rPr>
              <w:t>3</w:t>
            </w:r>
            <w:r>
              <w:rPr>
                <w:rFonts w:hint="default" w:ascii="Times New Roman" w:hAnsi="Times New Roman" w:eastAsia="宋体" w:cs="Times New Roman"/>
                <w:color w:val="auto"/>
                <w:sz w:val="24"/>
                <w:szCs w:val="22"/>
                <w:highlight w:val="none"/>
                <w:lang w:val="en-US" w:eastAsia="zh-CN"/>
              </w:rPr>
              <w:t>/h，</w:t>
            </w:r>
            <w:r>
              <w:rPr>
                <w:rFonts w:hint="default" w:ascii="Times New Roman" w:hAnsi="Times New Roman" w:eastAsia="宋体" w:cs="Times New Roman"/>
                <w:color w:val="auto"/>
                <w:sz w:val="24"/>
                <w:szCs w:val="24"/>
                <w:highlight w:val="none"/>
                <w:lang w:val="en-US" w:eastAsia="zh-CN"/>
              </w:rPr>
              <w:t>按</w:t>
            </w:r>
            <w:r>
              <w:rPr>
                <w:rFonts w:hint="eastAsia" w:ascii="Times New Roman" w:hAnsi="Times New Roman" w:cs="Times New Roman"/>
                <w:color w:val="auto"/>
                <w:sz w:val="24"/>
                <w:szCs w:val="24"/>
                <w:highlight w:val="none"/>
                <w:lang w:val="en-US" w:eastAsia="zh-CN"/>
              </w:rPr>
              <w:t>35000</w:t>
            </w:r>
            <w:r>
              <w:rPr>
                <w:rFonts w:hint="default" w:ascii="Times New Roman" w:hAnsi="Times New Roman" w:eastAsia="宋体" w:cs="Times New Roman"/>
                <w:color w:val="auto"/>
                <w:sz w:val="24"/>
                <w:szCs w:val="24"/>
                <w:highlight w:val="none"/>
                <w:lang w:val="en-US" w:eastAsia="zh-CN"/>
              </w:rPr>
              <w:t>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eastAsia="宋体" w:cs="Times New Roman"/>
                <w:color w:val="auto"/>
                <w:sz w:val="24"/>
                <w:szCs w:val="24"/>
                <w:highlight w:val="none"/>
                <w:lang w:val="en-US" w:eastAsia="zh-CN"/>
              </w:rPr>
              <w:t>/h 计。</w:t>
            </w:r>
          </w:p>
          <w:p w14:paraId="39A99A4B">
            <w:pPr>
              <w:pStyle w:val="68"/>
              <w:spacing w:line="360" w:lineRule="auto"/>
              <w:ind w:firstLine="480" w:firstLineChars="200"/>
              <w:rPr>
                <w:rFonts w:hint="eastAsia" w:ascii="Times New Roman" w:hAnsi="Times New Roman" w:eastAsia="宋体" w:cs="Times New Roman"/>
                <w:color w:val="auto"/>
                <w:spacing w:val="0"/>
                <w:position w:val="0"/>
                <w:sz w:val="24"/>
                <w:szCs w:val="24"/>
                <w:highlight w:val="none"/>
                <w:lang w:eastAsia="zh-CN"/>
              </w:rPr>
            </w:pPr>
            <w:r>
              <w:rPr>
                <w:rFonts w:hint="eastAsia" w:ascii="Times New Roman" w:hAnsi="Times New Roman" w:eastAsia="宋体" w:cs="Times New Roman"/>
                <w:color w:val="auto"/>
                <w:spacing w:val="0"/>
                <w:position w:val="0"/>
                <w:sz w:val="24"/>
                <w:szCs w:val="24"/>
                <w:highlight w:val="none"/>
                <w:lang w:val="en-US" w:eastAsia="zh-CN"/>
              </w:rPr>
              <w:t>则氨有组织产生量为0.05t/a，产生速率约为0.0208kg/h，产生浓度为0.594mg/m</w:t>
            </w:r>
            <w:r>
              <w:rPr>
                <w:rFonts w:hint="eastAsia" w:ascii="Times New Roman" w:hAnsi="Times New Roman" w:eastAsia="宋体" w:cs="Times New Roman"/>
                <w:color w:val="auto"/>
                <w:spacing w:val="0"/>
                <w:position w:val="0"/>
                <w:sz w:val="24"/>
                <w:szCs w:val="24"/>
                <w:highlight w:val="none"/>
                <w:vertAlign w:val="superscript"/>
                <w:lang w:val="en-US" w:eastAsia="zh-CN"/>
              </w:rPr>
              <w:t>3</w:t>
            </w:r>
            <w:r>
              <w:rPr>
                <w:rFonts w:hint="eastAsia" w:ascii="Times New Roman" w:hAnsi="Times New Roman" w:eastAsia="宋体" w:cs="Times New Roman"/>
                <w:color w:val="auto"/>
                <w:spacing w:val="0"/>
                <w:position w:val="0"/>
                <w:sz w:val="24"/>
                <w:szCs w:val="24"/>
                <w:highlight w:val="none"/>
                <w:lang w:val="en-US" w:eastAsia="zh-CN"/>
              </w:rPr>
              <w:t>；硫化氢有组织产生量为0.005t/a，产生速率约为0.00280kg/h，产生浓度为0.059mg/m</w:t>
            </w:r>
            <w:r>
              <w:rPr>
                <w:rFonts w:hint="eastAsia" w:ascii="Times New Roman" w:hAnsi="Times New Roman" w:eastAsia="宋体" w:cs="Times New Roman"/>
                <w:color w:val="auto"/>
                <w:spacing w:val="0"/>
                <w:position w:val="0"/>
                <w:sz w:val="24"/>
                <w:szCs w:val="24"/>
                <w:highlight w:val="none"/>
                <w:vertAlign w:val="superscript"/>
                <w:lang w:val="en-US" w:eastAsia="zh-CN"/>
              </w:rPr>
              <w:t>3</w:t>
            </w:r>
            <w:r>
              <w:rPr>
                <w:rFonts w:hint="eastAsia" w:ascii="Times New Roman" w:hAnsi="Times New Roman" w:eastAsia="宋体" w:cs="Times New Roman"/>
                <w:color w:val="auto"/>
                <w:spacing w:val="0"/>
                <w:position w:val="0"/>
                <w:sz w:val="24"/>
                <w:szCs w:val="24"/>
                <w:highlight w:val="none"/>
                <w:lang w:val="en-US" w:eastAsia="zh-CN"/>
              </w:rPr>
              <w:t>；经“生物除臭装置”处理后，氨有组织排放量约为0.010t/a，排放速率约为0.00417kg/h，排放浓度约为0.119mg/m</w:t>
            </w:r>
            <w:r>
              <w:rPr>
                <w:rFonts w:hint="eastAsia" w:ascii="Times New Roman" w:hAnsi="Times New Roman" w:eastAsia="宋体" w:cs="Times New Roman"/>
                <w:color w:val="auto"/>
                <w:spacing w:val="0"/>
                <w:position w:val="0"/>
                <w:sz w:val="24"/>
                <w:szCs w:val="24"/>
                <w:highlight w:val="none"/>
                <w:vertAlign w:val="superscript"/>
                <w:lang w:val="en-US" w:eastAsia="zh-CN"/>
              </w:rPr>
              <w:t>3</w:t>
            </w:r>
            <w:r>
              <w:rPr>
                <w:rFonts w:hint="eastAsia" w:ascii="Times New Roman" w:hAnsi="Times New Roman" w:eastAsia="宋体" w:cs="Times New Roman"/>
                <w:color w:val="auto"/>
                <w:spacing w:val="0"/>
                <w:position w:val="0"/>
                <w:sz w:val="24"/>
                <w:szCs w:val="24"/>
                <w:highlight w:val="none"/>
                <w:lang w:val="en-US" w:eastAsia="zh-CN"/>
              </w:rPr>
              <w:t>；硫化氢有组织排放量约为0.0010t/a，排放速率约为0.00042kg/h，排放浓度约为0.012mg/m</w:t>
            </w:r>
            <w:r>
              <w:rPr>
                <w:rFonts w:hint="eastAsia" w:ascii="Times New Roman" w:hAnsi="Times New Roman" w:eastAsia="宋体" w:cs="Times New Roman"/>
                <w:color w:val="auto"/>
                <w:spacing w:val="0"/>
                <w:position w:val="0"/>
                <w:sz w:val="24"/>
                <w:szCs w:val="24"/>
                <w:highlight w:val="none"/>
                <w:vertAlign w:val="superscript"/>
                <w:lang w:val="en-US" w:eastAsia="zh-CN"/>
              </w:rPr>
              <w:t>3</w:t>
            </w:r>
            <w:r>
              <w:rPr>
                <w:rFonts w:hint="eastAsia" w:ascii="Times New Roman" w:hAnsi="Times New Roman" w:eastAsia="宋体" w:cs="Times New Roman"/>
                <w:color w:val="auto"/>
                <w:spacing w:val="0"/>
                <w:position w:val="0"/>
                <w:sz w:val="24"/>
                <w:szCs w:val="24"/>
                <w:highlight w:val="none"/>
                <w:lang w:eastAsia="zh-CN"/>
              </w:rPr>
              <w:t>。</w:t>
            </w:r>
          </w:p>
          <w:p w14:paraId="6A042E13">
            <w:pPr>
              <w:pStyle w:val="11"/>
              <w:bidi w:val="0"/>
              <w:rPr>
                <w:rFonts w:hint="default"/>
                <w:color w:val="auto"/>
                <w:lang w:eastAsia="zh-CN"/>
              </w:rPr>
            </w:pPr>
            <w:r>
              <w:rPr>
                <w:rFonts w:hint="eastAsia"/>
                <w:lang w:val="en-US" w:eastAsia="zh-CN"/>
              </w:rPr>
              <w:t>氨无组织</w:t>
            </w:r>
            <w:r>
              <w:rPr>
                <w:rFonts w:hint="default"/>
                <w:lang w:val="en-US" w:eastAsia="zh-CN"/>
              </w:rPr>
              <w:t>排放量</w:t>
            </w:r>
            <w:r>
              <w:rPr>
                <w:rFonts w:hint="eastAsia"/>
                <w:lang w:val="en-US" w:eastAsia="zh-CN"/>
              </w:rPr>
              <w:t>约</w:t>
            </w:r>
            <w:r>
              <w:rPr>
                <w:rFonts w:hint="default"/>
                <w:color w:val="auto"/>
                <w:lang w:val="en-US" w:eastAsia="zh-CN"/>
              </w:rPr>
              <w:t>为</w:t>
            </w:r>
            <w:r>
              <w:rPr>
                <w:rFonts w:hint="eastAsia"/>
                <w:color w:val="auto"/>
                <w:lang w:val="en-US" w:eastAsia="zh-CN"/>
              </w:rPr>
              <w:t>0.0025</w:t>
            </w:r>
            <w:r>
              <w:rPr>
                <w:rFonts w:hint="default"/>
                <w:color w:val="auto"/>
                <w:lang w:val="en-US" w:eastAsia="zh-CN"/>
              </w:rPr>
              <w:t>/a，排放速率</w:t>
            </w:r>
            <w:r>
              <w:rPr>
                <w:rFonts w:hint="eastAsia"/>
                <w:color w:val="auto"/>
                <w:lang w:val="en-US" w:eastAsia="zh-CN"/>
              </w:rPr>
              <w:t>约</w:t>
            </w:r>
            <w:r>
              <w:rPr>
                <w:rFonts w:hint="default"/>
                <w:color w:val="auto"/>
                <w:lang w:val="en-US" w:eastAsia="zh-CN"/>
              </w:rPr>
              <w:t>为</w:t>
            </w:r>
            <w:r>
              <w:rPr>
                <w:rFonts w:hint="eastAsia"/>
                <w:color w:val="auto"/>
                <w:lang w:val="en-US" w:eastAsia="zh-CN"/>
              </w:rPr>
              <w:t>0.00104</w:t>
            </w:r>
            <w:r>
              <w:rPr>
                <w:rFonts w:hint="default"/>
                <w:color w:val="auto"/>
                <w:lang w:val="en-US" w:eastAsia="zh-CN"/>
              </w:rPr>
              <w:t>kg/h</w:t>
            </w:r>
            <w:r>
              <w:rPr>
                <w:rFonts w:hint="eastAsia"/>
                <w:color w:val="auto"/>
                <w:lang w:val="en-US" w:eastAsia="zh-CN"/>
              </w:rPr>
              <w:t>；硫化氢无组织</w:t>
            </w:r>
            <w:r>
              <w:rPr>
                <w:rFonts w:hint="default"/>
                <w:color w:val="auto"/>
                <w:lang w:val="en-US" w:eastAsia="zh-CN"/>
              </w:rPr>
              <w:t>排放量</w:t>
            </w:r>
            <w:r>
              <w:rPr>
                <w:rFonts w:hint="eastAsia"/>
                <w:color w:val="auto"/>
                <w:lang w:val="en-US" w:eastAsia="zh-CN"/>
              </w:rPr>
              <w:t>约</w:t>
            </w:r>
            <w:r>
              <w:rPr>
                <w:rFonts w:hint="default"/>
                <w:color w:val="auto"/>
                <w:lang w:val="en-US" w:eastAsia="zh-CN"/>
              </w:rPr>
              <w:t>为</w:t>
            </w:r>
            <w:r>
              <w:rPr>
                <w:rFonts w:hint="eastAsia"/>
                <w:color w:val="auto"/>
                <w:lang w:val="en-US" w:eastAsia="zh-CN"/>
              </w:rPr>
              <w:t>0.00025</w:t>
            </w:r>
            <w:r>
              <w:rPr>
                <w:rFonts w:hint="default"/>
                <w:color w:val="auto"/>
                <w:lang w:val="en-US" w:eastAsia="zh-CN"/>
              </w:rPr>
              <w:t>t/a，排放速率</w:t>
            </w:r>
            <w:r>
              <w:rPr>
                <w:rFonts w:hint="eastAsia"/>
                <w:color w:val="auto"/>
                <w:lang w:val="en-US" w:eastAsia="zh-CN"/>
              </w:rPr>
              <w:t>约</w:t>
            </w:r>
            <w:r>
              <w:rPr>
                <w:rFonts w:hint="default"/>
                <w:color w:val="auto"/>
                <w:lang w:val="en-US" w:eastAsia="zh-CN"/>
              </w:rPr>
              <w:t>为</w:t>
            </w:r>
            <w:r>
              <w:rPr>
                <w:rFonts w:hint="eastAsia"/>
                <w:color w:val="auto"/>
                <w:lang w:val="en-US" w:eastAsia="zh-CN"/>
              </w:rPr>
              <w:t>0.00010</w:t>
            </w:r>
            <w:r>
              <w:rPr>
                <w:rFonts w:hint="default"/>
                <w:color w:val="auto"/>
                <w:lang w:val="en-US" w:eastAsia="zh-CN"/>
              </w:rPr>
              <w:t>kg/h</w:t>
            </w:r>
            <w:r>
              <w:rPr>
                <w:rFonts w:hint="default"/>
                <w:color w:val="auto"/>
                <w:lang w:eastAsia="zh-CN"/>
              </w:rPr>
              <w:t>。</w:t>
            </w:r>
          </w:p>
          <w:p w14:paraId="3F94D1CA">
            <w:pPr>
              <w:pStyle w:val="11"/>
              <w:bidi w:val="0"/>
              <w:rPr>
                <w:rFonts w:hint="eastAsia"/>
                <w:color w:val="auto"/>
                <w:highlight w:val="none"/>
                <w:lang w:val="en-US" w:eastAsia="zh-CN"/>
              </w:rPr>
            </w:pPr>
            <w:r>
              <w:rPr>
                <w:rFonts w:hint="eastAsia"/>
                <w:color w:val="auto"/>
                <w:lang w:val="en-US" w:eastAsia="zh-CN"/>
              </w:rPr>
              <w:t>经生物除臭装置处理的发酵废气经15m</w:t>
            </w:r>
            <w:r>
              <w:rPr>
                <w:rFonts w:hint="default"/>
                <w:color w:val="auto"/>
                <w:lang w:val="en-US" w:eastAsia="zh-CN"/>
              </w:rPr>
              <w:t>高排气筒（DA00</w:t>
            </w:r>
            <w:r>
              <w:rPr>
                <w:rFonts w:hint="eastAsia"/>
                <w:color w:val="auto"/>
                <w:lang w:val="en-US" w:eastAsia="zh-CN"/>
              </w:rPr>
              <w:t>3</w:t>
            </w:r>
            <w:r>
              <w:rPr>
                <w:rFonts w:hint="default"/>
                <w:color w:val="auto"/>
                <w:lang w:val="en-US" w:eastAsia="zh-CN"/>
              </w:rPr>
              <w:t>）排放</w:t>
            </w:r>
            <w:r>
              <w:rPr>
                <w:rFonts w:hint="eastAsia"/>
                <w:color w:val="auto"/>
                <w:lang w:val="en-US" w:eastAsia="zh-CN"/>
              </w:rPr>
              <w:t>，排放量满足《</w:t>
            </w:r>
            <w:r>
              <w:rPr>
                <w:rFonts w:hint="eastAsia"/>
                <w:color w:val="auto"/>
                <w:highlight w:val="none"/>
                <w:lang w:val="en-US" w:eastAsia="zh-CN"/>
              </w:rPr>
              <w:t>恶臭污染物排放标准》（GB14554-93）表2的排放量限值要求（NH</w:t>
            </w:r>
            <w:r>
              <w:rPr>
                <w:rFonts w:hint="eastAsia"/>
                <w:color w:val="auto"/>
                <w:highlight w:val="none"/>
                <w:vertAlign w:val="subscript"/>
                <w:lang w:val="en-US" w:eastAsia="zh-CN"/>
              </w:rPr>
              <w:t>3</w:t>
            </w:r>
            <w:r>
              <w:rPr>
                <w:rFonts w:hint="eastAsia"/>
                <w:color w:val="auto"/>
                <w:highlight w:val="none"/>
                <w:lang w:val="en-US" w:eastAsia="zh-CN"/>
              </w:rPr>
              <w:t>＜4.9kg/h，H</w:t>
            </w:r>
            <w:r>
              <w:rPr>
                <w:rFonts w:hint="eastAsia"/>
                <w:color w:val="auto"/>
                <w:highlight w:val="none"/>
                <w:vertAlign w:val="subscript"/>
                <w:lang w:val="en-US" w:eastAsia="zh-CN"/>
              </w:rPr>
              <w:t>2</w:t>
            </w:r>
            <w:r>
              <w:rPr>
                <w:rFonts w:hint="eastAsia"/>
                <w:color w:val="auto"/>
                <w:highlight w:val="none"/>
                <w:lang w:val="en-US" w:eastAsia="zh-CN"/>
              </w:rPr>
              <w:t>S＜0.33kg/h）。同时，项目运行期厂界NH</w:t>
            </w:r>
            <w:r>
              <w:rPr>
                <w:rFonts w:hint="eastAsia"/>
                <w:color w:val="auto"/>
                <w:highlight w:val="none"/>
                <w:vertAlign w:val="subscript"/>
                <w:lang w:val="en-US" w:eastAsia="zh-CN"/>
              </w:rPr>
              <w:t>3</w:t>
            </w: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S和臭气浓度均满足《恶臭污染物排放标准》（GB14554-93）表1中的浓度限值要求（NH</w:t>
            </w:r>
            <w:r>
              <w:rPr>
                <w:rFonts w:hint="eastAsia"/>
                <w:color w:val="auto"/>
                <w:highlight w:val="none"/>
                <w:vertAlign w:val="subscript"/>
                <w:lang w:val="en-US" w:eastAsia="zh-CN"/>
              </w:rPr>
              <w:t>3</w:t>
            </w:r>
            <w:r>
              <w:rPr>
                <w:rFonts w:hint="eastAsia"/>
                <w:color w:val="auto"/>
                <w:highlight w:val="none"/>
                <w:lang w:val="en-US" w:eastAsia="zh-CN"/>
              </w:rPr>
              <w:t>＜1.5mg/m</w:t>
            </w:r>
            <w:r>
              <w:rPr>
                <w:rFonts w:hint="eastAsia"/>
                <w:color w:val="auto"/>
                <w:highlight w:val="none"/>
                <w:vertAlign w:val="superscript"/>
                <w:lang w:val="en-US" w:eastAsia="zh-CN"/>
              </w:rPr>
              <w:t>3</w:t>
            </w:r>
            <w:r>
              <w:rPr>
                <w:rFonts w:hint="eastAsia"/>
                <w:color w:val="auto"/>
                <w:highlight w:val="none"/>
                <w:lang w:val="en-US" w:eastAsia="zh-CN"/>
              </w:rPr>
              <w:t>，H</w:t>
            </w:r>
            <w:r>
              <w:rPr>
                <w:rFonts w:hint="eastAsia"/>
                <w:color w:val="auto"/>
                <w:highlight w:val="none"/>
                <w:vertAlign w:val="subscript"/>
                <w:lang w:val="en-US" w:eastAsia="zh-CN"/>
              </w:rPr>
              <w:t>2</w:t>
            </w:r>
            <w:r>
              <w:rPr>
                <w:rFonts w:hint="eastAsia"/>
                <w:color w:val="auto"/>
                <w:highlight w:val="none"/>
                <w:lang w:val="en-US" w:eastAsia="zh-CN"/>
              </w:rPr>
              <w:t>S最大浓度＜0.06mg/m</w:t>
            </w:r>
            <w:r>
              <w:rPr>
                <w:rFonts w:hint="eastAsia"/>
                <w:color w:val="auto"/>
                <w:highlight w:val="none"/>
                <w:vertAlign w:val="superscript"/>
                <w:lang w:val="en-US" w:eastAsia="zh-CN"/>
              </w:rPr>
              <w:t>3</w:t>
            </w:r>
            <w:r>
              <w:rPr>
                <w:rFonts w:hint="eastAsia"/>
                <w:color w:val="auto"/>
                <w:highlight w:val="none"/>
                <w:lang w:val="en-US" w:eastAsia="zh-CN"/>
              </w:rPr>
              <w:t>，臭气浓度＜20）。</w:t>
            </w:r>
          </w:p>
          <w:p w14:paraId="1B38FD94">
            <w:pPr>
              <w:pStyle w:val="11"/>
              <w:bidi w:val="0"/>
              <w:rPr>
                <w:rFonts w:hint="eastAsia"/>
                <w:color w:val="auto"/>
                <w:highlight w:val="none"/>
                <w:lang w:val="en-US" w:eastAsia="zh-CN"/>
              </w:rPr>
            </w:pPr>
            <w:r>
              <w:rPr>
                <w:rFonts w:hint="eastAsia"/>
                <w:color w:val="auto"/>
                <w:highlight w:val="none"/>
                <w:lang w:val="en-US" w:eastAsia="zh-CN"/>
              </w:rPr>
              <w:t>②粉尘</w:t>
            </w:r>
          </w:p>
          <w:p w14:paraId="029367E7">
            <w:pPr>
              <w:pStyle w:val="11"/>
              <w:bidi w:val="0"/>
              <w:rPr>
                <w:rFonts w:hint="eastAsia"/>
                <w:color w:val="auto"/>
                <w:highlight w:val="none"/>
                <w:lang w:val="en-US" w:eastAsia="zh-CN"/>
              </w:rPr>
            </w:pPr>
            <w:r>
              <w:rPr>
                <w:rFonts w:hint="eastAsia"/>
                <w:color w:val="auto"/>
                <w:highlight w:val="none"/>
                <w:lang w:val="en-US" w:eastAsia="zh-CN"/>
              </w:rPr>
              <w:t>辅料在运输过程中皆有包装且颗粒较大不易产生粉尘，项目粉尘主要来源于发酵后粪肥粉碎、筛分、造粒工序。根据《2625有机肥料及微生物肥料制造行业系数手册》，有机肥造粒过程中会产生一定量的废气，主要为颗粒物，其产污系数为0.370kg/t-产品，则造粒工段颗粒物的产生量为1.85t/a。</w:t>
            </w:r>
            <w:r>
              <w:rPr>
                <w:color w:val="auto"/>
                <w:highlight w:val="none"/>
              </w:rPr>
              <w:t>项目配备风机风量</w:t>
            </w:r>
            <w:r>
              <w:rPr>
                <w:rFonts w:hint="eastAsia"/>
                <w:color w:val="auto"/>
                <w:highlight w:val="none"/>
                <w:lang w:val="en-US" w:eastAsia="zh-CN"/>
              </w:rPr>
              <w:t>3</w:t>
            </w:r>
            <w:r>
              <w:rPr>
                <w:color w:val="auto"/>
                <w:highlight w:val="none"/>
              </w:rPr>
              <w:t>000m</w:t>
            </w:r>
            <w:r>
              <w:rPr>
                <w:color w:val="auto"/>
                <w:highlight w:val="none"/>
                <w:vertAlign w:val="superscript"/>
              </w:rPr>
              <w:t>3</w:t>
            </w:r>
            <w:r>
              <w:rPr>
                <w:color w:val="auto"/>
                <w:highlight w:val="none"/>
              </w:rPr>
              <w:t>/h</w:t>
            </w:r>
            <w:r>
              <w:rPr>
                <w:rFonts w:hint="eastAsia"/>
                <w:color w:val="auto"/>
                <w:highlight w:val="none"/>
                <w:lang w:eastAsia="zh-CN"/>
              </w:rPr>
              <w:t>，</w:t>
            </w:r>
            <w:r>
              <w:rPr>
                <w:rFonts w:hint="eastAsia"/>
                <w:color w:val="auto"/>
                <w:highlight w:val="none"/>
                <w:lang w:val="en-US" w:eastAsia="zh-CN"/>
              </w:rPr>
              <w:t xml:space="preserve">粉尘经集气罩收集后（收集效率90%），经布袋除尘器（除尘效率92%）处理后由1根15m高排气筒（DA002）排放。 </w:t>
            </w:r>
          </w:p>
          <w:p w14:paraId="547CB9DB">
            <w:pPr>
              <w:pStyle w:val="32"/>
              <w:bidi w:val="0"/>
              <w:rPr>
                <w:rFonts w:hint="eastAsia"/>
                <w:color w:val="auto"/>
                <w:highlight w:val="none"/>
                <w:lang w:val="en-US" w:eastAsia="zh-CN"/>
              </w:rPr>
            </w:pPr>
            <w:r>
              <w:rPr>
                <w:rFonts w:hint="eastAsia"/>
                <w:color w:val="auto"/>
                <w:highlight w:val="none"/>
                <w:lang w:val="en-US" w:eastAsia="zh-CN"/>
              </w:rPr>
              <w:t>表4-8     粉碎粉尘污染物产排情况一览表</w:t>
            </w:r>
          </w:p>
          <w:tbl>
            <w:tblPr>
              <w:tblStyle w:val="2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660"/>
              <w:gridCol w:w="851"/>
              <w:gridCol w:w="645"/>
              <w:gridCol w:w="856"/>
              <w:gridCol w:w="991"/>
              <w:gridCol w:w="953"/>
              <w:gridCol w:w="1149"/>
              <w:gridCol w:w="1078"/>
            </w:tblGrid>
            <w:tr w14:paraId="2D977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Align w:val="center"/>
                </w:tcPr>
                <w:p w14:paraId="6F4CCFCF">
                  <w:pPr>
                    <w:pStyle w:val="49"/>
                    <w:bidi w:val="0"/>
                    <w:jc w:val="center"/>
                    <w:rPr>
                      <w:rFonts w:hint="default"/>
                      <w:b/>
                      <w:bCs w:val="0"/>
                      <w:color w:val="auto"/>
                      <w:highlight w:val="none"/>
                      <w:lang w:val="en-US" w:eastAsia="zh-CN"/>
                    </w:rPr>
                  </w:pPr>
                  <w:r>
                    <w:rPr>
                      <w:rFonts w:hint="eastAsia"/>
                      <w:b/>
                      <w:bCs w:val="0"/>
                      <w:color w:val="auto"/>
                      <w:highlight w:val="none"/>
                      <w:lang w:val="en-US" w:eastAsia="zh-CN"/>
                    </w:rPr>
                    <w:t>废气源</w:t>
                  </w:r>
                </w:p>
              </w:tc>
              <w:tc>
                <w:tcPr>
                  <w:tcW w:w="660" w:type="dxa"/>
                  <w:vAlign w:val="center"/>
                </w:tcPr>
                <w:p w14:paraId="6FCD01E0">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污染物</w:t>
                  </w:r>
                </w:p>
              </w:tc>
              <w:tc>
                <w:tcPr>
                  <w:tcW w:w="851" w:type="dxa"/>
                  <w:vAlign w:val="center"/>
                </w:tcPr>
                <w:p w14:paraId="741F6D96">
                  <w:pPr>
                    <w:pStyle w:val="49"/>
                    <w:bidi w:val="0"/>
                    <w:jc w:val="center"/>
                    <w:rPr>
                      <w:rFonts w:hint="default"/>
                      <w:b/>
                      <w:bCs w:val="0"/>
                      <w:color w:val="auto"/>
                      <w:highlight w:val="none"/>
                      <w:lang w:val="en-US" w:eastAsia="zh-CN"/>
                    </w:rPr>
                  </w:pPr>
                  <w:r>
                    <w:rPr>
                      <w:rFonts w:hint="eastAsia"/>
                      <w:b/>
                      <w:bCs w:val="0"/>
                      <w:color w:val="auto"/>
                      <w:highlight w:val="none"/>
                      <w:lang w:val="en-US" w:eastAsia="zh-CN"/>
                    </w:rPr>
                    <w:t>产生量(t/a)</w:t>
                  </w:r>
                </w:p>
              </w:tc>
              <w:tc>
                <w:tcPr>
                  <w:tcW w:w="645" w:type="dxa"/>
                  <w:vAlign w:val="center"/>
                </w:tcPr>
                <w:p w14:paraId="781F6D00">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排放形式</w:t>
                  </w:r>
                </w:p>
              </w:tc>
              <w:tc>
                <w:tcPr>
                  <w:tcW w:w="856" w:type="dxa"/>
                  <w:vAlign w:val="center"/>
                </w:tcPr>
                <w:p w14:paraId="4AD6806B">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排放量(t/a)</w:t>
                  </w:r>
                </w:p>
              </w:tc>
              <w:tc>
                <w:tcPr>
                  <w:tcW w:w="991" w:type="dxa"/>
                  <w:vAlign w:val="center"/>
                </w:tcPr>
                <w:p w14:paraId="217278F8">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排放速率(kg/h)</w:t>
                  </w:r>
                </w:p>
              </w:tc>
              <w:tc>
                <w:tcPr>
                  <w:tcW w:w="953" w:type="dxa"/>
                  <w:vAlign w:val="center"/>
                </w:tcPr>
                <w:p w14:paraId="296E055F">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排放浓度(mg/m</w:t>
                  </w:r>
                  <w:r>
                    <w:rPr>
                      <w:rFonts w:hint="eastAsia"/>
                      <w:b/>
                      <w:bCs w:val="0"/>
                      <w:color w:val="auto"/>
                      <w:highlight w:val="none"/>
                      <w:vertAlign w:val="superscript"/>
                      <w:lang w:val="en-US" w:eastAsia="zh-CN"/>
                    </w:rPr>
                    <w:t>3</w:t>
                  </w:r>
                  <w:r>
                    <w:rPr>
                      <w:rFonts w:hint="eastAsia"/>
                      <w:b/>
                      <w:bCs w:val="0"/>
                      <w:color w:val="auto"/>
                      <w:highlight w:val="none"/>
                      <w:lang w:val="en-US" w:eastAsia="zh-CN"/>
                    </w:rPr>
                    <w:t>)</w:t>
                  </w:r>
                </w:p>
              </w:tc>
              <w:tc>
                <w:tcPr>
                  <w:tcW w:w="1149" w:type="dxa"/>
                  <w:vAlign w:val="center"/>
                </w:tcPr>
                <w:p w14:paraId="094C3589">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治理措施</w:t>
                  </w:r>
                </w:p>
              </w:tc>
              <w:tc>
                <w:tcPr>
                  <w:tcW w:w="1078" w:type="dxa"/>
                  <w:vAlign w:val="center"/>
                </w:tcPr>
                <w:p w14:paraId="0D063A63">
                  <w:pPr>
                    <w:pStyle w:val="49"/>
                    <w:bidi w:val="0"/>
                    <w:jc w:val="center"/>
                    <w:rPr>
                      <w:rFonts w:hint="default"/>
                      <w:b/>
                      <w:bCs w:val="0"/>
                      <w:color w:val="auto"/>
                      <w:highlight w:val="none"/>
                      <w:lang w:val="en-US" w:eastAsia="zh-CN"/>
                    </w:rPr>
                  </w:pPr>
                  <w:r>
                    <w:rPr>
                      <w:rFonts w:hint="eastAsia"/>
                      <w:b/>
                      <w:bCs w:val="0"/>
                      <w:color w:val="auto"/>
                      <w:highlight w:val="none"/>
                      <w:lang w:val="en-US" w:eastAsia="zh-CN"/>
                    </w:rPr>
                    <w:t>无组织排放量(t/a)</w:t>
                  </w:r>
                </w:p>
              </w:tc>
            </w:tr>
            <w:tr w14:paraId="06B46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Align w:val="center"/>
                </w:tcPr>
                <w:p w14:paraId="45C1C980">
                  <w:pPr>
                    <w:pStyle w:val="49"/>
                    <w:bidi w:val="0"/>
                    <w:jc w:val="center"/>
                    <w:rPr>
                      <w:rFonts w:hint="default"/>
                      <w:color w:val="auto"/>
                      <w:highlight w:val="none"/>
                      <w:lang w:val="en-US" w:eastAsia="zh-CN"/>
                    </w:rPr>
                  </w:pPr>
                  <w:r>
                    <w:rPr>
                      <w:rFonts w:hint="eastAsia"/>
                      <w:color w:val="auto"/>
                      <w:highlight w:val="none"/>
                      <w:lang w:val="en-US" w:eastAsia="zh-CN"/>
                    </w:rPr>
                    <w:t>粉碎、筛分、造粒</w:t>
                  </w:r>
                </w:p>
              </w:tc>
              <w:tc>
                <w:tcPr>
                  <w:tcW w:w="660" w:type="dxa"/>
                  <w:vAlign w:val="center"/>
                </w:tcPr>
                <w:p w14:paraId="4EC3FE27">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851" w:type="dxa"/>
                  <w:vAlign w:val="center"/>
                </w:tcPr>
                <w:p w14:paraId="35C9B842">
                  <w:pPr>
                    <w:pStyle w:val="49"/>
                    <w:bidi w:val="0"/>
                    <w:jc w:val="center"/>
                    <w:rPr>
                      <w:rFonts w:hint="default"/>
                      <w:color w:val="auto"/>
                      <w:highlight w:val="none"/>
                      <w:lang w:val="en-US" w:eastAsia="zh-CN"/>
                    </w:rPr>
                  </w:pPr>
                  <w:r>
                    <w:rPr>
                      <w:rFonts w:hint="eastAsia"/>
                      <w:color w:val="auto"/>
                      <w:highlight w:val="none"/>
                      <w:lang w:val="en-US" w:eastAsia="zh-CN"/>
                    </w:rPr>
                    <w:t>1.85</w:t>
                  </w:r>
                </w:p>
              </w:tc>
              <w:tc>
                <w:tcPr>
                  <w:tcW w:w="645" w:type="dxa"/>
                  <w:vAlign w:val="center"/>
                </w:tcPr>
                <w:p w14:paraId="3F6965B8">
                  <w:pPr>
                    <w:pStyle w:val="49"/>
                    <w:bidi w:val="0"/>
                    <w:jc w:val="center"/>
                    <w:rPr>
                      <w:rFonts w:hint="default"/>
                      <w:color w:val="auto"/>
                      <w:highlight w:val="none"/>
                      <w:lang w:val="en-US" w:eastAsia="zh-CN"/>
                    </w:rPr>
                  </w:pPr>
                  <w:r>
                    <w:rPr>
                      <w:rFonts w:hint="eastAsia"/>
                      <w:color w:val="auto"/>
                      <w:highlight w:val="none"/>
                      <w:lang w:val="en-US" w:eastAsia="zh-CN"/>
                    </w:rPr>
                    <w:t>有组织</w:t>
                  </w:r>
                </w:p>
              </w:tc>
              <w:tc>
                <w:tcPr>
                  <w:tcW w:w="856" w:type="dxa"/>
                  <w:vAlign w:val="center"/>
                </w:tcPr>
                <w:p w14:paraId="0F731762">
                  <w:pPr>
                    <w:pStyle w:val="49"/>
                    <w:bidi w:val="0"/>
                    <w:jc w:val="center"/>
                    <w:rPr>
                      <w:rFonts w:hint="default"/>
                      <w:color w:val="auto"/>
                      <w:highlight w:val="none"/>
                      <w:lang w:val="en-US" w:eastAsia="zh-CN"/>
                    </w:rPr>
                  </w:pPr>
                  <w:r>
                    <w:rPr>
                      <w:rFonts w:hint="eastAsia"/>
                      <w:color w:val="auto"/>
                      <w:highlight w:val="none"/>
                      <w:lang w:val="en-US" w:eastAsia="zh-CN"/>
                    </w:rPr>
                    <w:t>0.133</w:t>
                  </w:r>
                </w:p>
              </w:tc>
              <w:tc>
                <w:tcPr>
                  <w:tcW w:w="991" w:type="dxa"/>
                  <w:vAlign w:val="center"/>
                </w:tcPr>
                <w:p w14:paraId="217E82CB">
                  <w:pPr>
                    <w:pStyle w:val="49"/>
                    <w:bidi w:val="0"/>
                    <w:jc w:val="center"/>
                    <w:rPr>
                      <w:rFonts w:hint="default"/>
                      <w:color w:val="auto"/>
                      <w:highlight w:val="none"/>
                      <w:lang w:val="en-US" w:eastAsia="zh-CN"/>
                    </w:rPr>
                  </w:pPr>
                  <w:r>
                    <w:rPr>
                      <w:rFonts w:hint="eastAsia"/>
                      <w:color w:val="auto"/>
                      <w:highlight w:val="none"/>
                      <w:lang w:val="en-US" w:eastAsia="zh-CN"/>
                    </w:rPr>
                    <w:t>0.018</w:t>
                  </w:r>
                </w:p>
              </w:tc>
              <w:tc>
                <w:tcPr>
                  <w:tcW w:w="953" w:type="dxa"/>
                  <w:vAlign w:val="center"/>
                </w:tcPr>
                <w:p w14:paraId="3FD08845">
                  <w:pPr>
                    <w:pStyle w:val="49"/>
                    <w:bidi w:val="0"/>
                    <w:jc w:val="center"/>
                    <w:rPr>
                      <w:rFonts w:hint="default"/>
                      <w:color w:val="auto"/>
                      <w:highlight w:val="none"/>
                      <w:lang w:val="en-US" w:eastAsia="zh-CN"/>
                    </w:rPr>
                  </w:pPr>
                  <w:r>
                    <w:rPr>
                      <w:rFonts w:hint="eastAsia"/>
                      <w:color w:val="auto"/>
                      <w:highlight w:val="none"/>
                      <w:lang w:val="en-US" w:eastAsia="zh-CN"/>
                    </w:rPr>
                    <w:t>6.16</w:t>
                  </w:r>
                </w:p>
              </w:tc>
              <w:tc>
                <w:tcPr>
                  <w:tcW w:w="1149" w:type="dxa"/>
                  <w:vAlign w:val="center"/>
                </w:tcPr>
                <w:p w14:paraId="2734C4CF">
                  <w:pPr>
                    <w:pStyle w:val="49"/>
                    <w:bidi w:val="0"/>
                    <w:jc w:val="center"/>
                    <w:rPr>
                      <w:rFonts w:hint="default"/>
                      <w:color w:val="auto"/>
                      <w:highlight w:val="none"/>
                      <w:lang w:val="en-US" w:eastAsia="zh-CN"/>
                    </w:rPr>
                  </w:pPr>
                  <w:r>
                    <w:rPr>
                      <w:rFonts w:hint="eastAsia"/>
                      <w:color w:val="auto"/>
                      <w:highlight w:val="none"/>
                      <w:lang w:val="en-US" w:eastAsia="zh-CN"/>
                    </w:rPr>
                    <w:t>袋式除尘+15米高排气筒（DA002）排放</w:t>
                  </w:r>
                </w:p>
              </w:tc>
              <w:tc>
                <w:tcPr>
                  <w:tcW w:w="1078" w:type="dxa"/>
                  <w:vAlign w:val="center"/>
                </w:tcPr>
                <w:p w14:paraId="452CA2A8">
                  <w:pPr>
                    <w:pStyle w:val="49"/>
                    <w:bidi w:val="0"/>
                    <w:jc w:val="center"/>
                    <w:rPr>
                      <w:rFonts w:hint="default"/>
                      <w:color w:val="auto"/>
                      <w:highlight w:val="none"/>
                      <w:lang w:val="en-US" w:eastAsia="zh-CN"/>
                    </w:rPr>
                  </w:pPr>
                  <w:r>
                    <w:rPr>
                      <w:rFonts w:hint="eastAsia"/>
                      <w:color w:val="auto"/>
                      <w:highlight w:val="none"/>
                      <w:lang w:val="en-US" w:eastAsia="zh-CN"/>
                    </w:rPr>
                    <w:t>0.185</w:t>
                  </w:r>
                </w:p>
              </w:tc>
            </w:tr>
          </w:tbl>
          <w:p w14:paraId="58C6149C">
            <w:pPr>
              <w:pStyle w:val="11"/>
              <w:bidi w:val="0"/>
              <w:rPr>
                <w:rFonts w:hint="default"/>
                <w:color w:val="auto"/>
                <w:highlight w:val="none"/>
                <w:lang w:val="en-US" w:eastAsia="zh-CN"/>
              </w:rPr>
            </w:pPr>
            <w:r>
              <w:rPr>
                <w:rFonts w:hint="eastAsia"/>
                <w:color w:val="auto"/>
                <w:highlight w:val="none"/>
                <w:lang w:val="en-US" w:eastAsia="zh-CN"/>
              </w:rPr>
              <w:t>根据上表计算结果，本项目秸秆粉碎粉尘中颗粒物排放可以满足</w:t>
            </w:r>
            <w:r>
              <w:rPr>
                <w:color w:val="auto"/>
                <w:highlight w:val="none"/>
              </w:rPr>
              <w:t>《大气污染物综合排放标准》（GB16297-1996）表2中排放限值</w:t>
            </w:r>
            <w:r>
              <w:rPr>
                <w:rFonts w:hint="eastAsia"/>
                <w:color w:val="auto"/>
                <w:highlight w:val="none"/>
                <w:lang w:val="en-US" w:eastAsia="zh-CN"/>
              </w:rPr>
              <w:t>要求，即浓度小于120mg/m</w:t>
            </w:r>
            <w:r>
              <w:rPr>
                <w:rFonts w:hint="eastAsia"/>
                <w:color w:val="auto"/>
                <w:highlight w:val="none"/>
                <w:vertAlign w:val="superscript"/>
                <w:lang w:val="en-US" w:eastAsia="zh-CN"/>
              </w:rPr>
              <w:t>3</w:t>
            </w:r>
            <w:r>
              <w:rPr>
                <w:rFonts w:hint="eastAsia"/>
                <w:color w:val="auto"/>
                <w:highlight w:val="none"/>
                <w:lang w:val="en-US" w:eastAsia="zh-CN"/>
              </w:rPr>
              <w:t>，排放速率小于3.5kg/h。</w:t>
            </w:r>
          </w:p>
          <w:p w14:paraId="575B3ABF">
            <w:pPr>
              <w:pStyle w:val="11"/>
              <w:numPr>
                <w:ilvl w:val="0"/>
                <w:numId w:val="9"/>
              </w:numPr>
              <w:bidi w:val="0"/>
              <w:rPr>
                <w:rFonts w:hint="default"/>
                <w:color w:val="auto"/>
                <w:sz w:val="24"/>
                <w:highlight w:val="none"/>
                <w:lang w:val="en-US" w:eastAsia="zh-CN"/>
              </w:rPr>
            </w:pPr>
            <w:r>
              <w:rPr>
                <w:rFonts w:hint="eastAsia"/>
                <w:color w:val="auto"/>
                <w:sz w:val="24"/>
                <w:highlight w:val="none"/>
                <w:lang w:val="en-US" w:eastAsia="zh-CN"/>
              </w:rPr>
              <w:t>其他废气</w:t>
            </w:r>
          </w:p>
          <w:p w14:paraId="73C09716">
            <w:pPr>
              <w:pStyle w:val="11"/>
              <w:bidi w:val="0"/>
              <w:rPr>
                <w:rFonts w:hint="eastAsia"/>
                <w:color w:val="auto"/>
                <w:highlight w:val="none"/>
                <w:lang w:val="en-US" w:eastAsia="zh-CN"/>
              </w:rPr>
            </w:pPr>
            <w:r>
              <w:rPr>
                <w:rFonts w:hint="eastAsia"/>
                <w:color w:val="auto"/>
                <w:highlight w:val="none"/>
                <w:lang w:val="en-US" w:eastAsia="zh-CN"/>
              </w:rPr>
              <w:t>①食堂油烟</w:t>
            </w:r>
          </w:p>
          <w:p w14:paraId="58787E18">
            <w:pPr>
              <w:pStyle w:val="11"/>
              <w:bidi w:val="0"/>
              <w:rPr>
                <w:rFonts w:hint="default"/>
                <w:color w:val="auto"/>
                <w:highlight w:val="none"/>
              </w:rPr>
            </w:pPr>
            <w:r>
              <w:rPr>
                <w:rFonts w:hint="default"/>
                <w:color w:val="auto"/>
                <w:highlight w:val="none"/>
                <w:lang w:val="en-US" w:eastAsia="zh-CN"/>
              </w:rPr>
              <w:t>本项目食堂废气主要来自烹饪产生的油烟。</w:t>
            </w:r>
            <w:r>
              <w:rPr>
                <w:rFonts w:hint="default"/>
                <w:color w:val="auto"/>
                <w:highlight w:val="none"/>
              </w:rPr>
              <w:t>食物烹饪、加工过程中挥发</w:t>
            </w:r>
            <w:r>
              <w:rPr>
                <w:rFonts w:hint="eastAsia"/>
                <w:color w:val="auto"/>
                <w:highlight w:val="none"/>
                <w:lang w:eastAsia="zh-CN"/>
              </w:rPr>
              <w:t>的</w:t>
            </w:r>
            <w:r>
              <w:rPr>
                <w:rFonts w:hint="default"/>
                <w:color w:val="auto"/>
                <w:highlight w:val="none"/>
              </w:rPr>
              <w:t>油脂、有机质及其热分解或裂解物产生的油烟</w:t>
            </w:r>
            <w:r>
              <w:rPr>
                <w:rFonts w:hint="default"/>
                <w:color w:val="auto"/>
                <w:highlight w:val="none"/>
                <w:lang w:eastAsia="zh-CN"/>
              </w:rPr>
              <w:t>。</w:t>
            </w:r>
            <w:r>
              <w:rPr>
                <w:rFonts w:hint="eastAsia"/>
                <w:color w:val="auto"/>
                <w:highlight w:val="none"/>
                <w:lang w:eastAsia="zh-CN"/>
              </w:rPr>
              <w:t>根据医院提供的资料，每天在</w:t>
            </w:r>
            <w:r>
              <w:rPr>
                <w:rFonts w:hint="eastAsia"/>
                <w:color w:val="auto"/>
                <w:highlight w:val="none"/>
                <w:lang w:val="en-US" w:eastAsia="zh-CN"/>
              </w:rPr>
              <w:t>厂区</w:t>
            </w:r>
            <w:r>
              <w:rPr>
                <w:rFonts w:hint="default"/>
                <w:color w:val="auto"/>
                <w:highlight w:val="none"/>
                <w:lang w:eastAsia="zh-CN"/>
              </w:rPr>
              <w:t>就餐</w:t>
            </w:r>
            <w:r>
              <w:rPr>
                <w:rFonts w:hint="eastAsia"/>
                <w:color w:val="auto"/>
                <w:highlight w:val="none"/>
                <w:lang w:eastAsia="zh-CN"/>
              </w:rPr>
              <w:t>人员</w:t>
            </w:r>
            <w:r>
              <w:rPr>
                <w:rFonts w:hint="eastAsia"/>
                <w:color w:val="auto"/>
                <w:highlight w:val="none"/>
                <w:lang w:val="en-US" w:eastAsia="zh-CN"/>
              </w:rPr>
              <w:t>最大</w:t>
            </w:r>
            <w:r>
              <w:rPr>
                <w:rFonts w:hint="default"/>
                <w:color w:val="auto"/>
                <w:highlight w:val="none"/>
              </w:rPr>
              <w:t>数</w:t>
            </w:r>
            <w:r>
              <w:rPr>
                <w:rFonts w:hint="eastAsia"/>
                <w:color w:val="auto"/>
                <w:highlight w:val="none"/>
                <w:lang w:eastAsia="zh-CN"/>
              </w:rPr>
              <w:t>量约</w:t>
            </w:r>
            <w:r>
              <w:rPr>
                <w:rFonts w:hint="default"/>
                <w:color w:val="auto"/>
                <w:highlight w:val="none"/>
              </w:rPr>
              <w:t>为</w:t>
            </w:r>
            <w:r>
              <w:rPr>
                <w:rFonts w:hint="eastAsia"/>
                <w:color w:val="auto"/>
                <w:highlight w:val="none"/>
                <w:lang w:val="en-US" w:eastAsia="zh-CN"/>
              </w:rPr>
              <w:t>12</w:t>
            </w:r>
            <w:r>
              <w:rPr>
                <w:rFonts w:hint="default"/>
                <w:color w:val="auto"/>
                <w:highlight w:val="none"/>
              </w:rPr>
              <w:t>人</w:t>
            </w:r>
            <w:r>
              <w:rPr>
                <w:rFonts w:hint="default"/>
                <w:color w:val="auto"/>
                <w:highlight w:val="none"/>
                <w:lang w:eastAsia="zh-CN"/>
              </w:rPr>
              <w:t>，</w:t>
            </w:r>
            <w:r>
              <w:rPr>
                <w:rFonts w:hint="eastAsia"/>
                <w:color w:val="auto"/>
                <w:highlight w:val="none"/>
                <w:lang w:val="en-US" w:eastAsia="zh-CN"/>
              </w:rPr>
              <w:t>医院</w:t>
            </w:r>
            <w:r>
              <w:rPr>
                <w:rFonts w:hint="default"/>
                <w:color w:val="auto"/>
                <w:highlight w:val="none"/>
                <w:lang w:eastAsia="zh-CN"/>
              </w:rPr>
              <w:t>食堂设</w:t>
            </w:r>
            <w:r>
              <w:rPr>
                <w:rFonts w:hint="eastAsia"/>
                <w:color w:val="auto"/>
                <w:highlight w:val="none"/>
                <w:lang w:val="en-US" w:eastAsia="zh-CN"/>
              </w:rPr>
              <w:t>1</w:t>
            </w:r>
            <w:r>
              <w:rPr>
                <w:rFonts w:hint="default"/>
                <w:color w:val="auto"/>
                <w:highlight w:val="none"/>
                <w:lang w:eastAsia="zh-CN"/>
              </w:rPr>
              <w:t>个灶头，规模属于</w:t>
            </w:r>
            <w:r>
              <w:rPr>
                <w:rFonts w:hint="eastAsia"/>
                <w:color w:val="auto"/>
                <w:highlight w:val="none"/>
                <w:lang w:val="en-US" w:eastAsia="zh-CN"/>
              </w:rPr>
              <w:t>小</w:t>
            </w:r>
            <w:r>
              <w:rPr>
                <w:rFonts w:hint="default"/>
                <w:color w:val="auto"/>
                <w:highlight w:val="none"/>
                <w:lang w:eastAsia="zh-CN"/>
              </w:rPr>
              <w:t>型规模，食堂在烹饪过程中会产生油烟，油烟的产生量跟食用油的用量有关。</w:t>
            </w:r>
            <w:r>
              <w:rPr>
                <w:rFonts w:hint="default"/>
                <w:color w:val="auto"/>
                <w:highlight w:val="none"/>
              </w:rPr>
              <w:t>食用油消耗系数为30g/人</w:t>
            </w:r>
            <w:r>
              <w:rPr>
                <w:rFonts w:hint="default"/>
                <w:color w:val="auto"/>
                <w:highlight w:val="none"/>
                <w:lang w:val="en-US" w:eastAsia="zh-CN"/>
              </w:rPr>
              <w:t>·</w:t>
            </w:r>
            <w:r>
              <w:rPr>
                <w:rFonts w:hint="default"/>
                <w:color w:val="auto"/>
                <w:highlight w:val="none"/>
              </w:rPr>
              <w:t>d，</w:t>
            </w:r>
            <w:r>
              <w:rPr>
                <w:rFonts w:hint="eastAsia"/>
                <w:color w:val="auto"/>
                <w:highlight w:val="none"/>
                <w:lang w:val="en-US" w:eastAsia="zh-CN"/>
              </w:rPr>
              <w:t>则</w:t>
            </w:r>
            <w:r>
              <w:rPr>
                <w:rFonts w:hint="default"/>
                <w:color w:val="auto"/>
                <w:highlight w:val="none"/>
              </w:rPr>
              <w:t>消耗量为</w:t>
            </w:r>
            <w:r>
              <w:rPr>
                <w:rFonts w:hint="eastAsia"/>
                <w:color w:val="auto"/>
                <w:highlight w:val="none"/>
                <w:lang w:val="en-US" w:eastAsia="zh-CN"/>
              </w:rPr>
              <w:t>0.36</w:t>
            </w:r>
            <w:r>
              <w:rPr>
                <w:rFonts w:hint="default"/>
                <w:color w:val="auto"/>
                <w:highlight w:val="none"/>
              </w:rPr>
              <w:t>kg/d（</w:t>
            </w:r>
            <w:r>
              <w:rPr>
                <w:rFonts w:hint="eastAsia"/>
                <w:color w:val="auto"/>
                <w:highlight w:val="none"/>
                <w:lang w:val="en-US" w:eastAsia="zh-CN"/>
              </w:rPr>
              <w:t>0.108</w:t>
            </w:r>
            <w:r>
              <w:rPr>
                <w:rFonts w:hint="default"/>
                <w:color w:val="auto"/>
                <w:highlight w:val="none"/>
              </w:rPr>
              <w:t>t/a），烹饪过程中的挥发损失约</w:t>
            </w:r>
            <w:r>
              <w:rPr>
                <w:rFonts w:hint="eastAsia"/>
                <w:color w:val="auto"/>
                <w:highlight w:val="none"/>
                <w:lang w:val="en-US" w:eastAsia="zh-CN"/>
              </w:rPr>
              <w:t>2.83</w:t>
            </w:r>
            <w:r>
              <w:rPr>
                <w:rFonts w:hint="default"/>
                <w:color w:val="auto"/>
                <w:highlight w:val="none"/>
              </w:rPr>
              <w:t>%，即油烟产生量为</w:t>
            </w:r>
            <w:r>
              <w:rPr>
                <w:rFonts w:hint="eastAsia"/>
                <w:color w:val="auto"/>
                <w:highlight w:val="none"/>
                <w:lang w:val="en-US" w:eastAsia="zh-CN"/>
              </w:rPr>
              <w:t>0.0108</w:t>
            </w:r>
            <w:r>
              <w:rPr>
                <w:rFonts w:hint="default"/>
                <w:color w:val="auto"/>
                <w:highlight w:val="none"/>
              </w:rPr>
              <w:t>kg/d（</w:t>
            </w:r>
            <w:r>
              <w:rPr>
                <w:rFonts w:hint="eastAsia"/>
                <w:color w:val="auto"/>
                <w:highlight w:val="none"/>
                <w:lang w:val="en-US" w:eastAsia="zh-CN"/>
              </w:rPr>
              <w:t>0.0032t</w:t>
            </w:r>
            <w:r>
              <w:rPr>
                <w:rFonts w:hint="default"/>
                <w:color w:val="auto"/>
                <w:highlight w:val="none"/>
              </w:rPr>
              <w:t>/a）</w:t>
            </w:r>
            <w:r>
              <w:rPr>
                <w:rFonts w:hint="default"/>
                <w:color w:val="auto"/>
                <w:highlight w:val="none"/>
                <w:lang w:eastAsia="zh-CN"/>
              </w:rPr>
              <w:t>。</w:t>
            </w:r>
            <w:r>
              <w:rPr>
                <w:rFonts w:hint="eastAsia"/>
                <w:color w:val="auto"/>
                <w:highlight w:val="none"/>
                <w:lang w:val="en-US" w:eastAsia="zh-CN"/>
              </w:rPr>
              <w:t>每天的烹饪时间按6小时计算，</w:t>
            </w:r>
            <w:r>
              <w:rPr>
                <w:rFonts w:hint="eastAsia"/>
                <w:color w:val="auto"/>
                <w:highlight w:val="none"/>
              </w:rPr>
              <w:t>则油烟</w:t>
            </w:r>
            <w:r>
              <w:rPr>
                <w:rFonts w:hint="eastAsia"/>
                <w:color w:val="auto"/>
                <w:highlight w:val="none"/>
                <w:lang w:val="en-US" w:eastAsia="zh-CN"/>
              </w:rPr>
              <w:t>的</w:t>
            </w:r>
            <w:r>
              <w:rPr>
                <w:rFonts w:hint="eastAsia"/>
                <w:color w:val="auto"/>
                <w:highlight w:val="none"/>
              </w:rPr>
              <w:t>产生速率为</w:t>
            </w:r>
            <w:r>
              <w:rPr>
                <w:rFonts w:hint="eastAsia"/>
                <w:color w:val="auto"/>
                <w:highlight w:val="none"/>
                <w:lang w:val="en-US" w:eastAsia="zh-CN"/>
              </w:rPr>
              <w:t>0.0018k</w:t>
            </w:r>
            <w:r>
              <w:rPr>
                <w:rFonts w:hint="eastAsia"/>
                <w:color w:val="auto"/>
                <w:highlight w:val="none"/>
              </w:rPr>
              <w:t>g/h，油烟</w:t>
            </w:r>
            <w:r>
              <w:rPr>
                <w:rFonts w:hint="eastAsia"/>
                <w:color w:val="auto"/>
                <w:highlight w:val="none"/>
                <w:lang w:val="en-US" w:eastAsia="zh-CN"/>
              </w:rPr>
              <w:t>的</w:t>
            </w:r>
            <w:r>
              <w:rPr>
                <w:rFonts w:hint="eastAsia"/>
                <w:color w:val="auto"/>
                <w:highlight w:val="none"/>
              </w:rPr>
              <w:t>产生浓度为</w:t>
            </w:r>
            <w:r>
              <w:rPr>
                <w:rFonts w:hint="eastAsia"/>
                <w:color w:val="auto"/>
                <w:highlight w:val="none"/>
                <w:lang w:val="en-US" w:eastAsia="zh-CN"/>
              </w:rPr>
              <w:t>2.25</w:t>
            </w:r>
            <w:r>
              <w:rPr>
                <w:rFonts w:hint="eastAsia"/>
                <w:color w:val="auto"/>
                <w:highlight w:val="none"/>
              </w:rPr>
              <w:t>mg/m</w:t>
            </w:r>
            <w:r>
              <w:rPr>
                <w:rFonts w:hint="eastAsia"/>
                <w:color w:val="auto"/>
                <w:highlight w:val="none"/>
                <w:vertAlign w:val="superscript"/>
              </w:rPr>
              <w:t>3</w:t>
            </w:r>
            <w:r>
              <w:rPr>
                <w:rFonts w:hint="eastAsia"/>
                <w:color w:val="auto"/>
                <w:highlight w:val="none"/>
              </w:rPr>
              <w:t>（按风量</w:t>
            </w:r>
            <w:r>
              <w:rPr>
                <w:rFonts w:hint="eastAsia"/>
                <w:color w:val="auto"/>
                <w:highlight w:val="none"/>
                <w:lang w:val="en-US" w:eastAsia="zh-CN"/>
              </w:rPr>
              <w:t>800</w:t>
            </w:r>
            <w:r>
              <w:rPr>
                <w:rFonts w:hint="eastAsia"/>
                <w:color w:val="auto"/>
                <w:highlight w:val="none"/>
              </w:rPr>
              <w:t>m</w:t>
            </w:r>
            <w:r>
              <w:rPr>
                <w:rFonts w:hint="eastAsia"/>
                <w:color w:val="auto"/>
                <w:highlight w:val="none"/>
                <w:vertAlign w:val="superscript"/>
              </w:rPr>
              <w:t>3</w:t>
            </w:r>
            <w:r>
              <w:rPr>
                <w:rFonts w:hint="eastAsia"/>
                <w:color w:val="auto"/>
                <w:highlight w:val="none"/>
              </w:rPr>
              <w:t>/h计）</w:t>
            </w:r>
            <w:r>
              <w:rPr>
                <w:rFonts w:hint="eastAsia"/>
                <w:color w:val="auto"/>
                <w:highlight w:val="none"/>
                <w:lang w:val="en-US" w:eastAsia="zh-CN"/>
              </w:rPr>
              <w:t>。</w:t>
            </w:r>
          </w:p>
          <w:p w14:paraId="2EBDB4EC">
            <w:pPr>
              <w:pStyle w:val="11"/>
              <w:bidi w:val="0"/>
              <w:rPr>
                <w:rFonts w:hint="eastAsia"/>
                <w:color w:val="auto"/>
                <w:highlight w:val="none"/>
              </w:rPr>
            </w:pPr>
            <w:r>
              <w:rPr>
                <w:rFonts w:hint="eastAsia"/>
                <w:color w:val="auto"/>
                <w:highlight w:val="none"/>
                <w:lang w:val="en-US" w:eastAsia="zh-CN"/>
              </w:rPr>
              <w:t>食堂设净化效率不低于60%的</w:t>
            </w:r>
            <w:r>
              <w:rPr>
                <w:rFonts w:hint="eastAsia"/>
                <w:color w:val="auto"/>
                <w:highlight w:val="none"/>
              </w:rPr>
              <w:t>油烟净化</w:t>
            </w:r>
            <w:r>
              <w:rPr>
                <w:rFonts w:hint="eastAsia"/>
                <w:color w:val="auto"/>
                <w:highlight w:val="none"/>
                <w:lang w:val="en-US" w:eastAsia="zh-CN"/>
              </w:rPr>
              <w:t>装置对食堂油烟进行净化处理。油烟净化装置</w:t>
            </w:r>
            <w:r>
              <w:rPr>
                <w:rFonts w:hint="eastAsia"/>
                <w:color w:val="auto"/>
                <w:highlight w:val="none"/>
              </w:rPr>
              <w:t>设计风机风量不低于</w:t>
            </w:r>
            <w:r>
              <w:rPr>
                <w:rFonts w:hint="eastAsia"/>
                <w:color w:val="auto"/>
                <w:highlight w:val="none"/>
                <w:lang w:val="en-US" w:eastAsia="zh-CN"/>
              </w:rPr>
              <w:t>800</w:t>
            </w:r>
            <w:r>
              <w:rPr>
                <w:rFonts w:hint="eastAsia"/>
                <w:color w:val="auto"/>
                <w:highlight w:val="none"/>
              </w:rPr>
              <w:t>m</w:t>
            </w:r>
            <w:r>
              <w:rPr>
                <w:rFonts w:hint="eastAsia"/>
                <w:color w:val="auto"/>
                <w:highlight w:val="none"/>
                <w:vertAlign w:val="superscript"/>
              </w:rPr>
              <w:t>3</w:t>
            </w:r>
            <w:r>
              <w:rPr>
                <w:rFonts w:hint="eastAsia"/>
                <w:color w:val="auto"/>
                <w:highlight w:val="none"/>
              </w:rPr>
              <w:t>/h，则油烟</w:t>
            </w:r>
            <w:r>
              <w:rPr>
                <w:rFonts w:hint="eastAsia"/>
                <w:color w:val="auto"/>
                <w:highlight w:val="none"/>
                <w:lang w:val="en-US" w:eastAsia="zh-CN"/>
              </w:rPr>
              <w:t>的排放量为0.0013t</w:t>
            </w:r>
            <w:r>
              <w:rPr>
                <w:rFonts w:hint="eastAsia"/>
                <w:color w:val="auto"/>
                <w:highlight w:val="none"/>
              </w:rPr>
              <w:t>/a</w:t>
            </w:r>
            <w:r>
              <w:rPr>
                <w:rFonts w:hint="eastAsia"/>
                <w:color w:val="auto"/>
                <w:highlight w:val="none"/>
                <w:lang w:eastAsia="zh-CN"/>
              </w:rPr>
              <w:t>，</w:t>
            </w:r>
            <w:r>
              <w:rPr>
                <w:rFonts w:hint="eastAsia"/>
                <w:color w:val="auto"/>
                <w:highlight w:val="none"/>
              </w:rPr>
              <w:t>排放浓度为</w:t>
            </w:r>
            <w:r>
              <w:rPr>
                <w:rFonts w:hint="eastAsia"/>
                <w:color w:val="auto"/>
                <w:highlight w:val="none"/>
                <w:lang w:val="en-US" w:eastAsia="zh-CN"/>
              </w:rPr>
              <w:t>0.9</w:t>
            </w:r>
            <w:r>
              <w:rPr>
                <w:rFonts w:hint="eastAsia"/>
                <w:color w:val="auto"/>
                <w:highlight w:val="none"/>
              </w:rPr>
              <w:t>mg/m</w:t>
            </w:r>
            <w:r>
              <w:rPr>
                <w:rFonts w:hint="eastAsia"/>
                <w:color w:val="auto"/>
                <w:highlight w:val="none"/>
                <w:vertAlign w:val="superscript"/>
              </w:rPr>
              <w:t>3</w:t>
            </w:r>
            <w:r>
              <w:rPr>
                <w:rFonts w:hint="eastAsia"/>
                <w:color w:val="auto"/>
                <w:highlight w:val="none"/>
                <w:lang w:eastAsia="zh-CN"/>
              </w:rPr>
              <w:t>。</w:t>
            </w:r>
            <w:r>
              <w:rPr>
                <w:rFonts w:hint="eastAsia"/>
                <w:color w:val="auto"/>
                <w:highlight w:val="none"/>
                <w:lang w:val="en-US" w:eastAsia="zh-CN"/>
              </w:rPr>
              <w:t>食堂油烟的排放浓度</w:t>
            </w:r>
            <w:r>
              <w:rPr>
                <w:rFonts w:hint="eastAsia"/>
                <w:color w:val="auto"/>
                <w:highlight w:val="none"/>
              </w:rPr>
              <w:t>满足《饮食业油烟排放标准（试行）》（GB18483-2001）</w:t>
            </w:r>
            <w:r>
              <w:rPr>
                <w:rFonts w:hint="eastAsia"/>
                <w:color w:val="auto"/>
                <w:highlight w:val="none"/>
                <w:lang w:val="en-US" w:eastAsia="zh-CN"/>
              </w:rPr>
              <w:t>中</w:t>
            </w:r>
            <w:r>
              <w:rPr>
                <w:rFonts w:hint="eastAsia"/>
                <w:color w:val="auto"/>
                <w:highlight w:val="none"/>
              </w:rPr>
              <w:t>最高允许排放浓度2.0mg/m</w:t>
            </w:r>
            <w:r>
              <w:rPr>
                <w:rFonts w:hint="eastAsia"/>
                <w:color w:val="auto"/>
                <w:highlight w:val="none"/>
                <w:vertAlign w:val="superscript"/>
              </w:rPr>
              <w:t>3</w:t>
            </w:r>
            <w:r>
              <w:rPr>
                <w:rFonts w:hint="eastAsia"/>
                <w:color w:val="auto"/>
                <w:highlight w:val="none"/>
              </w:rPr>
              <w:t>要求。</w:t>
            </w:r>
          </w:p>
          <w:p w14:paraId="7FA76DF2">
            <w:pPr>
              <w:widowControl/>
              <w:adjustRightInd w:val="0"/>
              <w:snapToGrid w:val="0"/>
              <w:spacing w:line="360" w:lineRule="auto"/>
              <w:ind w:firstLine="480"/>
              <w:rPr>
                <w:rFonts w:hint="eastAsia"/>
                <w:color w:val="auto"/>
                <w:sz w:val="24"/>
                <w:highlight w:val="none"/>
                <w:lang w:val="en-US" w:eastAsia="zh-CN"/>
              </w:rPr>
            </w:pPr>
            <w:r>
              <w:rPr>
                <w:rFonts w:hint="eastAsia"/>
                <w:color w:val="auto"/>
                <w:sz w:val="24"/>
                <w:highlight w:val="none"/>
                <w:lang w:val="en-US" w:eastAsia="zh-CN"/>
              </w:rPr>
              <w:t>②放散废气</w:t>
            </w:r>
          </w:p>
          <w:p w14:paraId="00BB7C96">
            <w:pPr>
              <w:pStyle w:val="11"/>
              <w:bidi w:val="0"/>
              <w:rPr>
                <w:rFonts w:hint="eastAsia"/>
                <w:color w:val="auto"/>
                <w:highlight w:val="none"/>
                <w:lang w:val="en-US" w:eastAsia="zh-CN"/>
              </w:rPr>
            </w:pPr>
            <w:r>
              <w:rPr>
                <w:color w:val="auto"/>
                <w:highlight w:val="none"/>
              </w:rPr>
              <w:t>储罐</w:t>
            </w:r>
            <w:r>
              <w:rPr>
                <w:rFonts w:hint="eastAsia"/>
                <w:color w:val="auto"/>
                <w:highlight w:val="none"/>
                <w:lang w:val="en-US" w:eastAsia="zh-CN"/>
              </w:rPr>
              <w:t>输送的介质为压缩天然气（CNG），为一种多组分的混合气体主要成分是烷烃，无色、无毒性。其中甲烷占绝大多数，另有少量的乙烷丙烷和丁烷，此外还含有约1%的二氧化碳、氮、惰性气体，此类排放量较小，且为间歇式排放。</w:t>
            </w:r>
          </w:p>
          <w:p w14:paraId="1794A782">
            <w:pPr>
              <w:pStyle w:val="11"/>
              <w:bidi w:val="0"/>
              <w:rPr>
                <w:color w:val="auto"/>
                <w:highlight w:val="none"/>
              </w:rPr>
            </w:pPr>
            <w:r>
              <w:rPr>
                <w:rFonts w:hint="default"/>
                <w:color w:val="auto"/>
                <w:highlight w:val="none"/>
                <w:lang w:val="en-US" w:eastAsia="zh-CN"/>
              </w:rPr>
              <w:t>项目设备检修、天然气装卸罐过程、储罐压力过高放空过程及加气枪放空过程，少量天然气通过放散管放散系统排放。设备一般每年进行一次定期检修,检修产生的少量天然气通过工艺站场外的放空系统直接排放，系统超压时将排放一定量的天然气，天然气装卸罐过程在卸压过</w:t>
            </w:r>
            <w:r>
              <w:rPr>
                <w:rFonts w:hint="eastAsia"/>
                <w:color w:val="auto"/>
                <w:highlight w:val="none"/>
                <w:lang w:val="en-US" w:eastAsia="zh-CN"/>
              </w:rPr>
              <w:t>程中</w:t>
            </w:r>
            <w:r>
              <w:rPr>
                <w:rFonts w:hint="default"/>
                <w:color w:val="auto"/>
                <w:highlight w:val="none"/>
                <w:lang w:val="en-US" w:eastAsia="zh-CN"/>
              </w:rPr>
              <w:t>为保证卸车系统的安全会放出少量的天然气来调节压力。</w:t>
            </w:r>
            <w:r>
              <w:rPr>
                <w:rFonts w:hint="eastAsia"/>
                <w:color w:val="auto"/>
                <w:highlight w:val="none"/>
                <w:lang w:val="en-US" w:eastAsia="zh-CN"/>
              </w:rPr>
              <w:t>储罐区</w:t>
            </w:r>
            <w:r>
              <w:rPr>
                <w:color w:val="auto"/>
                <w:highlight w:val="none"/>
              </w:rPr>
              <w:t>设置1根15m高放散立管，放散废气通过1根15m高放散管集中排放，排放方式为偶然瞬时排放。本环评不进行定量分析。</w:t>
            </w:r>
          </w:p>
          <w:p w14:paraId="00DAC93D">
            <w:pPr>
              <w:pStyle w:val="11"/>
              <w:bidi w:val="0"/>
              <w:rPr>
                <w:rFonts w:hint="default"/>
                <w:color w:val="auto"/>
                <w:highlight w:val="none"/>
                <w:lang w:val="en-US" w:eastAsia="zh-CN"/>
              </w:rPr>
            </w:pPr>
            <w:r>
              <w:rPr>
                <w:rFonts w:hint="eastAsia"/>
                <w:color w:val="auto"/>
                <w:highlight w:val="none"/>
                <w:lang w:val="en-US" w:eastAsia="zh-CN"/>
              </w:rPr>
              <w:t>（3）废气治理措施可行性分析</w:t>
            </w:r>
          </w:p>
          <w:p w14:paraId="186957F2">
            <w:pPr>
              <w:pStyle w:val="11"/>
              <w:numPr>
                <w:ilvl w:val="0"/>
                <w:numId w:val="10"/>
              </w:numPr>
              <w:bidi w:val="0"/>
              <w:rPr>
                <w:rFonts w:hint="eastAsia"/>
                <w:color w:val="auto"/>
                <w:highlight w:val="none"/>
                <w:lang w:val="en-US" w:eastAsia="zh-CN"/>
              </w:rPr>
            </w:pPr>
            <w:r>
              <w:rPr>
                <w:rFonts w:hint="eastAsia"/>
                <w:color w:val="auto"/>
                <w:highlight w:val="none"/>
                <w:lang w:val="en-US" w:eastAsia="zh-CN"/>
              </w:rPr>
              <w:t>有组织废气治理措施可行性分析</w:t>
            </w:r>
          </w:p>
          <w:p w14:paraId="64A9CD52">
            <w:pPr>
              <w:pStyle w:val="11"/>
              <w:bidi w:val="0"/>
              <w:rPr>
                <w:color w:val="auto"/>
                <w:highlight w:val="none"/>
              </w:rPr>
            </w:pPr>
            <w:r>
              <w:rPr>
                <w:rFonts w:hint="eastAsia"/>
                <w:color w:val="auto"/>
                <w:highlight w:val="none"/>
                <w:lang w:val="en-US" w:eastAsia="zh-CN"/>
              </w:rPr>
              <w:t>本项目粉碎粉尘和烘干废气均采用袋式除尘器处理；炭化废气经15m高排气筒处排放。</w:t>
            </w:r>
          </w:p>
          <w:p w14:paraId="576C8715">
            <w:pPr>
              <w:pStyle w:val="11"/>
              <w:bidi w:val="0"/>
              <w:rPr>
                <w:rFonts w:hint="default"/>
                <w:color w:val="auto"/>
                <w:highlight w:val="none"/>
                <w:lang w:val="en-US" w:eastAsia="zh-CN"/>
              </w:rPr>
            </w:pPr>
            <w:r>
              <w:rPr>
                <w:rFonts w:hint="eastAsia"/>
                <w:color w:val="auto"/>
                <w:highlight w:val="none"/>
                <w:lang w:val="en-US" w:eastAsia="zh-CN"/>
              </w:rPr>
              <w:t>①袋式除尘设施工作原理及可行性</w:t>
            </w:r>
          </w:p>
          <w:p w14:paraId="3C8BC91F">
            <w:pPr>
              <w:pStyle w:val="11"/>
              <w:bidi w:val="0"/>
              <w:rPr>
                <w:rFonts w:hint="default"/>
                <w:color w:val="auto"/>
                <w:highlight w:val="none"/>
                <w:lang w:val="en-US" w:eastAsia="zh-CN"/>
              </w:rPr>
            </w:pPr>
            <w:r>
              <w:rPr>
                <w:rFonts w:hint="default"/>
                <w:color w:val="auto"/>
                <w:highlight w:val="none"/>
                <w:lang w:val="en-US" w:eastAsia="zh-CN"/>
              </w:rPr>
              <w:t>袋式除尘器是一种利用滤袋捕集粉尘颗粒的过滤式除尘装置。其工作流程如下：</w:t>
            </w:r>
          </w:p>
          <w:p w14:paraId="711DA5ED">
            <w:pPr>
              <w:pStyle w:val="11"/>
              <w:bidi w:val="0"/>
              <w:rPr>
                <w:rFonts w:hint="default"/>
                <w:color w:val="auto"/>
                <w:highlight w:val="none"/>
                <w:lang w:val="en-US" w:eastAsia="zh-CN"/>
              </w:rPr>
            </w:pPr>
            <w:r>
              <w:rPr>
                <w:rFonts w:hint="default"/>
                <w:color w:val="auto"/>
                <w:highlight w:val="none"/>
                <w:lang w:val="en-US" w:eastAsia="zh-CN"/>
              </w:rPr>
              <w:t>含尘气体经进风口进入灰斗后，因体积骤增，粗颗粒粉尘受惯性或重力作用直接落入灰斗；其余细颗粒随气流上升进入袋室，经滤袋过滤后滞留于滤袋外侧，净化气体则由滤袋内部进入上箱体，最终通过阀板孔和排风口排入大气，完成除尘。</w:t>
            </w:r>
          </w:p>
          <w:p w14:paraId="3EE9B2EE">
            <w:pPr>
              <w:pStyle w:val="11"/>
              <w:bidi w:val="0"/>
              <w:rPr>
                <w:rFonts w:hint="default"/>
                <w:color w:val="auto"/>
                <w:highlight w:val="none"/>
                <w:lang w:val="en-US" w:eastAsia="zh-CN"/>
              </w:rPr>
            </w:pPr>
            <w:r>
              <w:rPr>
                <w:rFonts w:hint="default"/>
                <w:color w:val="auto"/>
                <w:highlight w:val="none"/>
                <w:lang w:val="en-US" w:eastAsia="zh-CN"/>
              </w:rPr>
              <w:t>为应对高温工况，可采用玻纤覆膜、P84或PTFE等耐高温滤袋（长期耐温200~260℃），并配备冷风阀保护系统。当烟气温度超标时，系统自动混入冷风降温，防止烧毁滤袋。</w:t>
            </w:r>
          </w:p>
          <w:p w14:paraId="1E1B4745">
            <w:pPr>
              <w:pStyle w:val="11"/>
              <w:bidi w:val="0"/>
              <w:rPr>
                <w:rFonts w:hint="default"/>
                <w:color w:val="auto"/>
                <w:highlight w:val="none"/>
                <w:lang w:val="en-US" w:eastAsia="zh-CN"/>
              </w:rPr>
            </w:pPr>
            <w:r>
              <w:rPr>
                <w:rFonts w:hint="default"/>
                <w:color w:val="auto"/>
                <w:highlight w:val="none"/>
                <w:lang w:val="en-US" w:eastAsia="zh-CN"/>
              </w:rPr>
              <w:t>随着过滤持续进行，设备阻力逐渐升高。当阻力达到设定值时，清灰控制器启动程序：首先关闭提升阀板切断气流，随后向脉冲电磁阀发送信号，触发高压逆向气流冲入滤袋。滤袋瞬间膨胀并产生强烈振动，使外侧积尘脱落，实现自动清灰。</w:t>
            </w:r>
          </w:p>
          <w:p w14:paraId="65AAAADA">
            <w:pPr>
              <w:pStyle w:val="11"/>
              <w:bidi w:val="0"/>
              <w:rPr>
                <w:rFonts w:hint="eastAsia"/>
                <w:color w:val="auto"/>
                <w:sz w:val="24"/>
                <w:highlight w:val="none"/>
                <w:lang w:val="en-US" w:eastAsia="zh-CN"/>
              </w:rPr>
            </w:pPr>
            <w:r>
              <w:rPr>
                <w:rFonts w:hint="default"/>
                <w:color w:val="auto"/>
                <w:highlight w:val="none"/>
                <w:lang w:val="en-US" w:eastAsia="zh-CN"/>
              </w:rPr>
              <w:t>根据对国内同类企业的调查统计，袋式除尘器在多行业的粉尘治理中获得广泛运行，长期的应用经验表明，袋式除尘器具有除尘效率高（</w:t>
            </w:r>
            <w:r>
              <w:rPr>
                <w:rFonts w:hint="eastAsia"/>
                <w:color w:val="auto"/>
                <w:highlight w:val="none"/>
                <w:lang w:val="en-US" w:eastAsia="zh-CN"/>
              </w:rPr>
              <w:t>92</w:t>
            </w:r>
            <w:r>
              <w:rPr>
                <w:rFonts w:hint="default"/>
                <w:color w:val="auto"/>
                <w:highlight w:val="none"/>
                <w:lang w:val="en-US" w:eastAsia="zh-CN"/>
              </w:rPr>
              <w:t>%）、性能稳定，且机体结构紧凑、过滤面积大、密闭性能好、清灰效果好、维修管理方便、操作简单，获得越来越广泛的应用</w:t>
            </w:r>
            <w:r>
              <w:rPr>
                <w:rFonts w:hint="eastAsia"/>
                <w:color w:val="auto"/>
                <w:highlight w:val="none"/>
                <w:lang w:val="en-US" w:eastAsia="zh-CN"/>
              </w:rPr>
              <w:t>。并且</w:t>
            </w:r>
            <w:r>
              <w:rPr>
                <w:color w:val="auto"/>
                <w:sz w:val="24"/>
                <w:highlight w:val="none"/>
              </w:rPr>
              <w:t>根据</w:t>
            </w:r>
            <w:r>
              <w:rPr>
                <w:rFonts w:hint="eastAsia"/>
                <w:color w:val="auto"/>
                <w:sz w:val="24"/>
                <w:highlight w:val="none"/>
                <w:lang w:eastAsia="zh-CN"/>
              </w:rPr>
              <w:t>《排污许可证申请与核发技术规范废弃资源加工工业》（HJ1034-2019）</w:t>
            </w:r>
            <w:r>
              <w:rPr>
                <w:rFonts w:hint="eastAsia"/>
                <w:color w:val="auto"/>
                <w:sz w:val="24"/>
                <w:highlight w:val="none"/>
                <w:lang w:val="en-US" w:eastAsia="zh-CN"/>
              </w:rPr>
              <w:t>针对颗粒物采用布袋除尘是可行的。</w:t>
            </w:r>
          </w:p>
          <w:p w14:paraId="7830D842">
            <w:pPr>
              <w:pStyle w:val="11"/>
              <w:bidi w:val="0"/>
              <w:rPr>
                <w:rFonts w:hint="eastAsia"/>
                <w:color w:val="auto"/>
                <w:sz w:val="24"/>
                <w:highlight w:val="none"/>
                <w:lang w:val="en-US" w:eastAsia="zh-CN"/>
              </w:rPr>
            </w:pPr>
            <w:r>
              <w:rPr>
                <w:rFonts w:hint="eastAsia"/>
                <w:color w:val="auto"/>
                <w:sz w:val="24"/>
                <w:highlight w:val="none"/>
                <w:lang w:val="en-US" w:eastAsia="zh-CN"/>
              </w:rPr>
              <w:t>②生物除臭装置</w:t>
            </w:r>
            <w:r>
              <w:rPr>
                <w:rFonts w:hint="eastAsia"/>
                <w:color w:val="auto"/>
                <w:highlight w:val="none"/>
                <w:lang w:val="en-US" w:eastAsia="zh-CN"/>
              </w:rPr>
              <w:t>工作原理及可行性</w:t>
            </w:r>
          </w:p>
          <w:p w14:paraId="7B1B7ECB">
            <w:pPr>
              <w:pStyle w:val="11"/>
              <w:bidi w:val="0"/>
            </w:pPr>
            <w:r>
              <w:rPr>
                <w:lang w:val="en-US" w:eastAsia="zh-CN"/>
              </w:rPr>
              <w:t>生物滤池式生物除臭装置：生物滤池式生物除臭装置是利用微生物细胞对恶臭物质的吸附、吸收、降解作用实现恶臭治理的工艺。车间产生的恶臭废气首先经过预处理加湿除尘，去除废气中夹带的粉尘杂质并调节废气湿度，随后均匀进入生物滤池装置内部。废气透过湿润、多孔且附着大量活性微生物的滤料层，依靠微生物细胞对恶臭物质的吸附、吸收及生物降解作用，将废气中的恶臭污染物分解转化为CO₂、H₂O、硫酸盐、硝酸盐等无害简单无机物，对NH₃、H₂S等典型恶臭污染物具有良好的去除效果。本项目结合工程实际工况，生物除臭装置综合去除效率取80%，可有效削减项目恶臭污染物排放。生物滤池填料层采用具备良好吸附性、透气性与挂膜性能的滤料，主要分为无机填料和有机填料两大类，其中无机填料包含陶粒、活性炭颗粒、陶瓷、鲍尔环等，有机填料包含碎木屑、腐熟堆肥、塑料填料、聚丙烯小球等。本项目综合考虑微生物挂膜效果、滤料持水性、透气性能及使用寿命等因素，选用适配有机肥发酵恶臭废气的复合填料，可保证系统长期稳定运行。</w:t>
            </w:r>
          </w:p>
          <w:p w14:paraId="1B0371AC">
            <w:pPr>
              <w:pStyle w:val="69"/>
              <w:rPr>
                <w:rFonts w:hint="default" w:eastAsia="宋体"/>
                <w:color w:val="auto"/>
                <w:sz w:val="24"/>
                <w:highlight w:val="none"/>
                <w:lang w:val="en-US" w:eastAsia="zh-CN"/>
              </w:rPr>
            </w:pPr>
            <w:r>
              <w:rPr>
                <w:rFonts w:hint="eastAsia" w:ascii="Times New Roman" w:hAnsi="Times New Roman" w:cs="Times New Roman"/>
                <w:color w:val="auto"/>
                <w:sz w:val="24"/>
                <w:szCs w:val="24"/>
                <w:lang w:val="en-US" w:eastAsia="zh-CN"/>
              </w:rPr>
              <w:t>根据《排污许可证申请与核发技术规范-磷肥、钾肥、复混钾肥、有机肥料及微生物肥料工业》（HJ864.2-2018）中</w:t>
            </w:r>
            <w:r>
              <w:rPr>
                <w:rFonts w:hint="eastAsia"/>
                <w:snapToGrid w:val="0"/>
                <w:color w:val="auto"/>
                <w:sz w:val="24"/>
                <w:szCs w:val="24"/>
              </w:rPr>
              <w:t>“表</w:t>
            </w:r>
            <w:r>
              <w:rPr>
                <w:rFonts w:hint="eastAsia" w:ascii="Times New Roman" w:hAnsi="Times New Roman" w:cs="Times New Roman"/>
                <w:snapToGrid w:val="0"/>
                <w:color w:val="auto"/>
                <w:sz w:val="24"/>
                <w:szCs w:val="24"/>
                <w:lang w:val="en-US" w:eastAsia="zh-CN"/>
              </w:rPr>
              <w:t>15有机肥料及微生物肥料工业排污单位生产单元或设施废气治理可行技术参照表</w:t>
            </w:r>
            <w:r>
              <w:rPr>
                <w:rFonts w:hint="eastAsia"/>
                <w:snapToGrid w:val="0"/>
                <w:color w:val="auto"/>
                <w:sz w:val="24"/>
                <w:szCs w:val="24"/>
              </w:rPr>
              <w:t>”</w:t>
            </w:r>
            <w:r>
              <w:rPr>
                <w:rFonts w:hint="eastAsia"/>
                <w:snapToGrid w:val="0"/>
                <w:color w:val="auto"/>
                <w:sz w:val="24"/>
                <w:szCs w:val="24"/>
                <w:lang w:eastAsia="zh-CN"/>
              </w:rPr>
              <w:t>，</w:t>
            </w:r>
            <w:r>
              <w:rPr>
                <w:rFonts w:hint="eastAsia"/>
                <w:snapToGrid w:val="0"/>
                <w:color w:val="auto"/>
                <w:sz w:val="24"/>
                <w:szCs w:val="24"/>
                <w:lang w:val="en-US" w:eastAsia="zh-CN"/>
              </w:rPr>
              <w:t>发酵尾气可行技术为生物除臭（地律法、过滤法）。因此，本项目采用生物滤池式除臭装置处理发胶废气可行。</w:t>
            </w:r>
          </w:p>
          <w:p w14:paraId="39D5DB7E">
            <w:pPr>
              <w:pStyle w:val="11"/>
              <w:bidi w:val="0"/>
              <w:rPr>
                <w:rFonts w:hint="default"/>
                <w:color w:val="auto"/>
                <w:highlight w:val="none"/>
                <w:lang w:val="en-US" w:eastAsia="zh-CN"/>
              </w:rPr>
            </w:pPr>
            <w:r>
              <w:rPr>
                <w:rFonts w:hint="eastAsia"/>
                <w:color w:val="auto"/>
                <w:highlight w:val="none"/>
                <w:lang w:val="en-US" w:eastAsia="zh-CN"/>
              </w:rPr>
              <w:t>2）无组织废气治理措施可行性分析</w:t>
            </w:r>
          </w:p>
          <w:p w14:paraId="3AD05973">
            <w:pPr>
              <w:pStyle w:val="11"/>
              <w:bidi w:val="0"/>
              <w:rPr>
                <w:rFonts w:hint="default"/>
                <w:color w:val="auto"/>
                <w:highlight w:val="none"/>
                <w:lang w:val="en-US" w:eastAsia="zh-CN"/>
              </w:rPr>
            </w:pPr>
            <w:r>
              <w:rPr>
                <w:rFonts w:hint="default"/>
                <w:color w:val="auto"/>
                <w:highlight w:val="none"/>
                <w:lang w:val="en-US" w:eastAsia="zh-CN"/>
              </w:rPr>
              <w:t>①本项目采用封闭式的</w:t>
            </w:r>
            <w:r>
              <w:rPr>
                <w:rFonts w:hint="eastAsia"/>
                <w:color w:val="auto"/>
                <w:highlight w:val="none"/>
                <w:lang w:val="en-US" w:eastAsia="zh-CN"/>
              </w:rPr>
              <w:t>生产厂房</w:t>
            </w:r>
            <w:r>
              <w:rPr>
                <w:rFonts w:hint="default"/>
                <w:color w:val="auto"/>
                <w:highlight w:val="none"/>
                <w:lang w:val="en-US" w:eastAsia="zh-CN"/>
              </w:rPr>
              <w:t>，</w:t>
            </w:r>
            <w:r>
              <w:rPr>
                <w:rFonts w:hint="eastAsia"/>
                <w:color w:val="auto"/>
                <w:highlight w:val="none"/>
                <w:lang w:val="en-US" w:eastAsia="zh-CN"/>
              </w:rPr>
              <w:t>配套</w:t>
            </w:r>
            <w:r>
              <w:rPr>
                <w:rFonts w:hint="default"/>
                <w:color w:val="auto"/>
                <w:highlight w:val="none"/>
                <w:lang w:val="en-US" w:eastAsia="zh-CN"/>
              </w:rPr>
              <w:t>设置喷雾抑尘装置，堆存过程基本无扬尘扩散。卸料过程中进行喷雾抑尘，粉尘扩散量较小。</w:t>
            </w:r>
          </w:p>
          <w:p w14:paraId="36F04B17">
            <w:pPr>
              <w:pStyle w:val="11"/>
              <w:bidi w:val="0"/>
              <w:rPr>
                <w:rFonts w:hint="default"/>
                <w:color w:val="auto"/>
                <w:highlight w:val="none"/>
                <w:lang w:val="en-US" w:eastAsia="zh-CN"/>
              </w:rPr>
            </w:pPr>
            <w:r>
              <w:rPr>
                <w:rFonts w:hint="default"/>
                <w:color w:val="auto"/>
                <w:highlight w:val="none"/>
                <w:lang w:val="en-US" w:eastAsia="zh-CN"/>
              </w:rPr>
              <w:t>②本项目运输车辆进出厂区车速较慢，且经洒水抑尘后，运输扬尘大大减少。</w:t>
            </w:r>
          </w:p>
          <w:p w14:paraId="2ABDAB4F">
            <w:pPr>
              <w:pStyle w:val="11"/>
              <w:bidi w:val="0"/>
              <w:rPr>
                <w:rFonts w:hint="default"/>
                <w:color w:val="auto"/>
                <w:highlight w:val="none"/>
                <w:lang w:val="en-US" w:eastAsia="zh-CN"/>
              </w:rPr>
            </w:pPr>
            <w:r>
              <w:rPr>
                <w:rFonts w:hint="eastAsia"/>
                <w:color w:val="auto"/>
                <w:highlight w:val="none"/>
                <w:lang w:val="en-US" w:eastAsia="zh-CN"/>
              </w:rPr>
              <w:t>③发酵工序位于密闭设施和密闭车间内，根据核算，发酵过程中氨和硫化氢无组织排放量较少。</w:t>
            </w:r>
          </w:p>
          <w:p w14:paraId="31CAB8A6">
            <w:pPr>
              <w:pStyle w:val="11"/>
              <w:bidi w:val="0"/>
              <w:rPr>
                <w:rFonts w:hint="default"/>
                <w:color w:val="auto"/>
                <w:highlight w:val="none"/>
                <w:lang w:val="en-US" w:eastAsia="zh-CN"/>
              </w:rPr>
            </w:pPr>
            <w:r>
              <w:rPr>
                <w:rFonts w:hint="default"/>
                <w:color w:val="auto"/>
                <w:highlight w:val="none"/>
                <w:lang w:val="en-US" w:eastAsia="zh-CN"/>
              </w:rPr>
              <w:t>综上，本项目无组织废气治理措施可行。</w:t>
            </w:r>
          </w:p>
          <w:p w14:paraId="46EC2060">
            <w:pPr>
              <w:pStyle w:val="11"/>
              <w:bidi w:val="0"/>
              <w:rPr>
                <w:rFonts w:hint="eastAsia"/>
                <w:color w:val="auto"/>
                <w:highlight w:val="none"/>
                <w:lang w:val="en-US" w:eastAsia="zh-CN"/>
              </w:rPr>
            </w:pPr>
            <w:r>
              <w:rPr>
                <w:rFonts w:hint="eastAsia"/>
                <w:color w:val="auto"/>
                <w:highlight w:val="none"/>
                <w:lang w:val="en-US" w:eastAsia="zh-CN"/>
              </w:rPr>
              <w:t>（4）非正常运行情况分析</w:t>
            </w:r>
          </w:p>
          <w:p w14:paraId="3B8C988F">
            <w:pPr>
              <w:pStyle w:val="11"/>
              <w:bidi w:val="0"/>
              <w:rPr>
                <w:rFonts w:hint="eastAsia"/>
                <w:color w:val="auto"/>
                <w:highlight w:val="none"/>
                <w:lang w:val="en-US" w:eastAsia="zh-CN"/>
              </w:rPr>
            </w:pPr>
            <w:r>
              <w:rPr>
                <w:rFonts w:hint="eastAsia"/>
                <w:color w:val="auto"/>
                <w:highlight w:val="none"/>
                <w:lang w:val="en-US" w:eastAsia="zh-CN"/>
              </w:rPr>
              <w:t>本项目运营期间，非正常工况假定为布袋除尘器或生物除臭装置故障等情况导致其无法正常运行，收集的废气未经处理直接排放，本项目废气非正常排放情况及应对措施见下表。</w:t>
            </w:r>
          </w:p>
          <w:p w14:paraId="63459049">
            <w:pPr>
              <w:pStyle w:val="32"/>
              <w:bidi w:val="0"/>
              <w:rPr>
                <w:rFonts w:hint="eastAsia"/>
                <w:color w:val="auto"/>
                <w:highlight w:val="none"/>
                <w:lang w:val="en-US" w:eastAsia="zh-CN"/>
              </w:rPr>
            </w:pPr>
            <w:r>
              <w:rPr>
                <w:rFonts w:hint="eastAsia"/>
                <w:color w:val="auto"/>
                <w:highlight w:val="none"/>
                <w:lang w:val="en-US" w:eastAsia="zh-CN"/>
              </w:rPr>
              <w:t>表4-9    非正常排放情况一览表</w:t>
            </w:r>
          </w:p>
          <w:tbl>
            <w:tblPr>
              <w:tblStyle w:val="27"/>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5"/>
              <w:gridCol w:w="1135"/>
              <w:gridCol w:w="1135"/>
              <w:gridCol w:w="1135"/>
              <w:gridCol w:w="1135"/>
              <w:gridCol w:w="1136"/>
            </w:tblGrid>
            <w:tr w14:paraId="2FF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5" w:type="dxa"/>
                  <w:vAlign w:val="center"/>
                </w:tcPr>
                <w:p w14:paraId="69B53E92">
                  <w:pPr>
                    <w:pStyle w:val="49"/>
                    <w:bidi w:val="0"/>
                    <w:jc w:val="center"/>
                    <w:rPr>
                      <w:rFonts w:hint="default"/>
                      <w:b/>
                      <w:bCs/>
                      <w:color w:val="auto"/>
                      <w:highlight w:val="none"/>
                      <w:lang w:val="en-US" w:eastAsia="zh-CN"/>
                    </w:rPr>
                  </w:pPr>
                  <w:r>
                    <w:rPr>
                      <w:rFonts w:hint="eastAsia"/>
                      <w:b/>
                      <w:bCs/>
                      <w:color w:val="auto"/>
                      <w:highlight w:val="none"/>
                      <w:lang w:val="en-US" w:eastAsia="zh-CN"/>
                    </w:rPr>
                    <w:t>非正常排放源</w:t>
                  </w:r>
                </w:p>
              </w:tc>
              <w:tc>
                <w:tcPr>
                  <w:tcW w:w="1135" w:type="dxa"/>
                  <w:vAlign w:val="center"/>
                </w:tcPr>
                <w:p w14:paraId="2D9072E2">
                  <w:pPr>
                    <w:pStyle w:val="49"/>
                    <w:bidi w:val="0"/>
                    <w:jc w:val="center"/>
                    <w:rPr>
                      <w:rFonts w:hint="default"/>
                      <w:b/>
                      <w:bCs/>
                      <w:color w:val="auto"/>
                      <w:highlight w:val="none"/>
                      <w:lang w:val="en-US" w:eastAsia="zh-CN"/>
                    </w:rPr>
                  </w:pPr>
                  <w:r>
                    <w:rPr>
                      <w:rFonts w:hint="eastAsia"/>
                      <w:b/>
                      <w:bCs/>
                      <w:color w:val="auto"/>
                      <w:highlight w:val="none"/>
                      <w:lang w:val="en-US" w:eastAsia="zh-CN"/>
                    </w:rPr>
                    <w:t>非正常排放原因</w:t>
                  </w:r>
                </w:p>
              </w:tc>
              <w:tc>
                <w:tcPr>
                  <w:tcW w:w="1135" w:type="dxa"/>
                  <w:vAlign w:val="center"/>
                </w:tcPr>
                <w:p w14:paraId="76AEB750">
                  <w:pPr>
                    <w:pStyle w:val="49"/>
                    <w:bidi w:val="0"/>
                    <w:jc w:val="center"/>
                    <w:rPr>
                      <w:rFonts w:hint="default"/>
                      <w:b/>
                      <w:bCs/>
                      <w:color w:val="auto"/>
                      <w:highlight w:val="none"/>
                      <w:lang w:val="en-US" w:eastAsia="zh-CN"/>
                    </w:rPr>
                  </w:pPr>
                  <w:r>
                    <w:rPr>
                      <w:rFonts w:hint="eastAsia"/>
                      <w:b/>
                      <w:bCs/>
                      <w:color w:val="auto"/>
                      <w:highlight w:val="none"/>
                      <w:lang w:val="en-US" w:eastAsia="zh-CN"/>
                    </w:rPr>
                    <w:t>污染物</w:t>
                  </w:r>
                </w:p>
              </w:tc>
              <w:tc>
                <w:tcPr>
                  <w:tcW w:w="1135" w:type="dxa"/>
                  <w:vAlign w:val="center"/>
                </w:tcPr>
                <w:p w14:paraId="39C12067">
                  <w:pPr>
                    <w:pStyle w:val="49"/>
                    <w:bidi w:val="0"/>
                    <w:jc w:val="center"/>
                    <w:rPr>
                      <w:rFonts w:hint="default"/>
                      <w:b/>
                      <w:bCs/>
                      <w:color w:val="auto"/>
                      <w:highlight w:val="none"/>
                      <w:lang w:val="en-US" w:eastAsia="zh-CN"/>
                    </w:rPr>
                  </w:pPr>
                  <w:r>
                    <w:rPr>
                      <w:rFonts w:hint="eastAsia"/>
                      <w:b/>
                      <w:bCs/>
                      <w:color w:val="auto"/>
                      <w:highlight w:val="none"/>
                      <w:lang w:val="en-US" w:eastAsia="zh-CN"/>
                    </w:rPr>
                    <w:t>排放速率（kg/h）</w:t>
                  </w:r>
                </w:p>
              </w:tc>
              <w:tc>
                <w:tcPr>
                  <w:tcW w:w="1135" w:type="dxa"/>
                  <w:vAlign w:val="center"/>
                </w:tcPr>
                <w:p w14:paraId="6B57A8FF">
                  <w:pPr>
                    <w:pStyle w:val="49"/>
                    <w:bidi w:val="0"/>
                    <w:jc w:val="center"/>
                    <w:rPr>
                      <w:rFonts w:hint="default"/>
                      <w:b/>
                      <w:bCs/>
                      <w:color w:val="auto"/>
                      <w:highlight w:val="none"/>
                      <w:lang w:val="en-US" w:eastAsia="zh-CN"/>
                    </w:rPr>
                  </w:pPr>
                  <w:r>
                    <w:rPr>
                      <w:rFonts w:hint="eastAsia"/>
                      <w:b/>
                      <w:bCs/>
                      <w:color w:val="auto"/>
                      <w:highlight w:val="none"/>
                      <w:lang w:val="en-US" w:eastAsia="zh-CN"/>
                    </w:rPr>
                    <w:t>持续时间（h）</w:t>
                  </w:r>
                </w:p>
              </w:tc>
              <w:tc>
                <w:tcPr>
                  <w:tcW w:w="1135" w:type="dxa"/>
                  <w:vAlign w:val="center"/>
                </w:tcPr>
                <w:p w14:paraId="3ACB3789">
                  <w:pPr>
                    <w:pStyle w:val="49"/>
                    <w:bidi w:val="0"/>
                    <w:jc w:val="center"/>
                    <w:rPr>
                      <w:rFonts w:hint="default"/>
                      <w:b/>
                      <w:bCs/>
                      <w:color w:val="auto"/>
                      <w:highlight w:val="none"/>
                      <w:lang w:val="en-US" w:eastAsia="zh-CN"/>
                    </w:rPr>
                  </w:pPr>
                  <w:r>
                    <w:rPr>
                      <w:rFonts w:hint="eastAsia"/>
                      <w:b/>
                      <w:bCs/>
                      <w:color w:val="auto"/>
                      <w:highlight w:val="none"/>
                      <w:lang w:val="en-US" w:eastAsia="zh-CN"/>
                    </w:rPr>
                    <w:t>排放量（kg）</w:t>
                  </w:r>
                </w:p>
              </w:tc>
              <w:tc>
                <w:tcPr>
                  <w:tcW w:w="1136" w:type="dxa"/>
                  <w:vAlign w:val="center"/>
                </w:tcPr>
                <w:p w14:paraId="293C6551">
                  <w:pPr>
                    <w:pStyle w:val="49"/>
                    <w:bidi w:val="0"/>
                    <w:jc w:val="center"/>
                    <w:rPr>
                      <w:rFonts w:hint="default"/>
                      <w:b/>
                      <w:bCs/>
                      <w:color w:val="auto"/>
                      <w:highlight w:val="none"/>
                      <w:lang w:val="en-US" w:eastAsia="zh-CN"/>
                    </w:rPr>
                  </w:pPr>
                  <w:r>
                    <w:rPr>
                      <w:rFonts w:hint="eastAsia"/>
                      <w:b/>
                      <w:bCs/>
                      <w:color w:val="auto"/>
                      <w:highlight w:val="none"/>
                      <w:lang w:val="en-US" w:eastAsia="zh-CN"/>
                    </w:rPr>
                    <w:t>应对措施</w:t>
                  </w:r>
                </w:p>
              </w:tc>
            </w:tr>
            <w:tr w14:paraId="6C7D7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Align w:val="center"/>
                </w:tcPr>
                <w:p w14:paraId="61E7C57F">
                  <w:pPr>
                    <w:pStyle w:val="49"/>
                    <w:bidi w:val="0"/>
                    <w:jc w:val="center"/>
                    <w:rPr>
                      <w:rFonts w:hint="default"/>
                      <w:color w:val="auto"/>
                      <w:highlight w:val="none"/>
                      <w:lang w:val="en-US" w:eastAsia="zh-CN"/>
                    </w:rPr>
                  </w:pPr>
                  <w:r>
                    <w:rPr>
                      <w:rFonts w:hint="eastAsia"/>
                      <w:color w:val="auto"/>
                      <w:highlight w:val="none"/>
                      <w:lang w:val="en-US" w:eastAsia="zh-CN"/>
                    </w:rPr>
                    <w:t>排气筒(DA001)</w:t>
                  </w:r>
                </w:p>
              </w:tc>
              <w:tc>
                <w:tcPr>
                  <w:tcW w:w="1135" w:type="dxa"/>
                  <w:vMerge w:val="restart"/>
                  <w:vAlign w:val="center"/>
                </w:tcPr>
                <w:p w14:paraId="7FC39970">
                  <w:pPr>
                    <w:pStyle w:val="49"/>
                    <w:bidi w:val="0"/>
                    <w:jc w:val="center"/>
                    <w:rPr>
                      <w:rFonts w:hint="default"/>
                      <w:color w:val="auto"/>
                      <w:highlight w:val="none"/>
                      <w:lang w:val="en-US" w:eastAsia="zh-CN"/>
                    </w:rPr>
                  </w:pPr>
                  <w:r>
                    <w:rPr>
                      <w:rFonts w:hint="default"/>
                      <w:color w:val="auto"/>
                      <w:highlight w:val="none"/>
                      <w:lang w:val="en-US" w:eastAsia="zh-CN"/>
                    </w:rPr>
                    <w:t>废气处理系统故障</w:t>
                  </w:r>
                </w:p>
              </w:tc>
              <w:tc>
                <w:tcPr>
                  <w:tcW w:w="1135" w:type="dxa"/>
                  <w:vAlign w:val="center"/>
                </w:tcPr>
                <w:p w14:paraId="50C41B1B">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1135" w:type="dxa"/>
                  <w:vAlign w:val="center"/>
                </w:tcPr>
                <w:p w14:paraId="10DB895E">
                  <w:pPr>
                    <w:pStyle w:val="49"/>
                    <w:bidi w:val="0"/>
                    <w:jc w:val="center"/>
                    <w:rPr>
                      <w:rFonts w:hint="default"/>
                      <w:color w:val="auto"/>
                      <w:highlight w:val="none"/>
                      <w:lang w:val="en-US" w:eastAsia="zh-CN"/>
                    </w:rPr>
                  </w:pPr>
                  <w:r>
                    <w:rPr>
                      <w:rFonts w:hint="eastAsia"/>
                      <w:color w:val="auto"/>
                      <w:highlight w:val="none"/>
                      <w:lang w:val="en-US" w:eastAsia="zh-CN"/>
                    </w:rPr>
                    <w:t>8.26</w:t>
                  </w:r>
                </w:p>
              </w:tc>
              <w:tc>
                <w:tcPr>
                  <w:tcW w:w="1135" w:type="dxa"/>
                  <w:vAlign w:val="center"/>
                </w:tcPr>
                <w:p w14:paraId="01196762">
                  <w:pPr>
                    <w:pStyle w:val="49"/>
                    <w:bidi w:val="0"/>
                    <w:jc w:val="center"/>
                    <w:rPr>
                      <w:rFonts w:hint="default"/>
                      <w:color w:val="auto"/>
                      <w:highlight w:val="none"/>
                      <w:lang w:val="en-US" w:eastAsia="zh-CN"/>
                    </w:rPr>
                  </w:pPr>
                  <w:r>
                    <w:rPr>
                      <w:rFonts w:hint="eastAsia"/>
                      <w:color w:val="auto"/>
                      <w:highlight w:val="none"/>
                      <w:lang w:val="en-US" w:eastAsia="zh-CN"/>
                    </w:rPr>
                    <w:t>1</w:t>
                  </w:r>
                </w:p>
              </w:tc>
              <w:tc>
                <w:tcPr>
                  <w:tcW w:w="1135" w:type="dxa"/>
                  <w:vAlign w:val="center"/>
                </w:tcPr>
                <w:p w14:paraId="76CBA630">
                  <w:pPr>
                    <w:pStyle w:val="49"/>
                    <w:bidi w:val="0"/>
                    <w:jc w:val="center"/>
                    <w:rPr>
                      <w:rFonts w:hint="default"/>
                      <w:color w:val="auto"/>
                      <w:highlight w:val="none"/>
                      <w:lang w:val="en-US" w:eastAsia="zh-CN"/>
                    </w:rPr>
                  </w:pPr>
                  <w:r>
                    <w:rPr>
                      <w:rFonts w:hint="eastAsia"/>
                      <w:color w:val="auto"/>
                      <w:highlight w:val="none"/>
                      <w:lang w:val="en-US" w:eastAsia="zh-CN"/>
                    </w:rPr>
                    <w:t>8.26</w:t>
                  </w:r>
                </w:p>
              </w:tc>
              <w:tc>
                <w:tcPr>
                  <w:tcW w:w="1136" w:type="dxa"/>
                  <w:vMerge w:val="restart"/>
                  <w:vAlign w:val="center"/>
                </w:tcPr>
                <w:p w14:paraId="1135AB2C">
                  <w:pPr>
                    <w:pStyle w:val="49"/>
                    <w:bidi w:val="0"/>
                    <w:jc w:val="center"/>
                    <w:rPr>
                      <w:rFonts w:hint="default"/>
                      <w:color w:val="auto"/>
                      <w:highlight w:val="none"/>
                      <w:lang w:val="en-US" w:eastAsia="zh-CN"/>
                    </w:rPr>
                  </w:pPr>
                  <w:r>
                    <w:rPr>
                      <w:rFonts w:hint="default"/>
                      <w:color w:val="auto"/>
                      <w:highlight w:val="none"/>
                      <w:lang w:val="en-US" w:eastAsia="zh-CN"/>
                    </w:rPr>
                    <w:t>停止生</w:t>
                  </w:r>
                </w:p>
                <w:p w14:paraId="445D4265">
                  <w:pPr>
                    <w:pStyle w:val="49"/>
                    <w:bidi w:val="0"/>
                    <w:jc w:val="center"/>
                    <w:rPr>
                      <w:rFonts w:hint="default"/>
                      <w:color w:val="auto"/>
                      <w:highlight w:val="none"/>
                      <w:lang w:val="en-US" w:eastAsia="zh-CN"/>
                    </w:rPr>
                  </w:pPr>
                  <w:r>
                    <w:rPr>
                      <w:rFonts w:hint="default"/>
                      <w:color w:val="auto"/>
                      <w:highlight w:val="none"/>
                      <w:lang w:val="en-US" w:eastAsia="zh-CN"/>
                    </w:rPr>
                    <w:t>产，及时</w:t>
                  </w:r>
                </w:p>
                <w:p w14:paraId="4F674086">
                  <w:pPr>
                    <w:pStyle w:val="49"/>
                    <w:bidi w:val="0"/>
                    <w:jc w:val="center"/>
                    <w:rPr>
                      <w:rFonts w:hint="default"/>
                      <w:color w:val="auto"/>
                      <w:highlight w:val="none"/>
                      <w:lang w:val="en-US" w:eastAsia="zh-CN"/>
                    </w:rPr>
                  </w:pPr>
                  <w:r>
                    <w:rPr>
                      <w:rFonts w:hint="default"/>
                      <w:color w:val="auto"/>
                      <w:highlight w:val="none"/>
                      <w:lang w:val="en-US" w:eastAsia="zh-CN"/>
                    </w:rPr>
                    <w:t>修理废气</w:t>
                  </w:r>
                </w:p>
                <w:p w14:paraId="07E08B3F">
                  <w:pPr>
                    <w:pStyle w:val="49"/>
                    <w:bidi w:val="0"/>
                    <w:jc w:val="center"/>
                    <w:rPr>
                      <w:rFonts w:hint="default"/>
                      <w:color w:val="auto"/>
                      <w:highlight w:val="none"/>
                      <w:lang w:val="en-US" w:eastAsia="zh-CN"/>
                    </w:rPr>
                  </w:pPr>
                  <w:r>
                    <w:rPr>
                      <w:rFonts w:hint="default"/>
                      <w:color w:val="auto"/>
                      <w:highlight w:val="none"/>
                      <w:lang w:val="en-US" w:eastAsia="zh-CN"/>
                    </w:rPr>
                    <w:t>处理系统</w:t>
                  </w:r>
                </w:p>
              </w:tc>
            </w:tr>
            <w:tr w14:paraId="3AE0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Align w:val="center"/>
                </w:tcPr>
                <w:p w14:paraId="546DC7CA">
                  <w:pPr>
                    <w:pStyle w:val="49"/>
                    <w:bidi w:val="0"/>
                    <w:jc w:val="center"/>
                    <w:rPr>
                      <w:rFonts w:hint="default"/>
                      <w:color w:val="auto"/>
                      <w:highlight w:val="none"/>
                      <w:lang w:val="en-US" w:eastAsia="zh-CN"/>
                    </w:rPr>
                  </w:pPr>
                  <w:r>
                    <w:rPr>
                      <w:rFonts w:hint="eastAsia"/>
                      <w:color w:val="auto"/>
                      <w:highlight w:val="none"/>
                      <w:lang w:val="en-US" w:eastAsia="zh-CN"/>
                    </w:rPr>
                    <w:t>排气筒(DA002)</w:t>
                  </w:r>
                </w:p>
              </w:tc>
              <w:tc>
                <w:tcPr>
                  <w:tcW w:w="1135" w:type="dxa"/>
                  <w:vMerge w:val="continue"/>
                  <w:tcBorders/>
                  <w:vAlign w:val="center"/>
                </w:tcPr>
                <w:p w14:paraId="75486606">
                  <w:pPr>
                    <w:pStyle w:val="49"/>
                    <w:bidi w:val="0"/>
                    <w:jc w:val="center"/>
                    <w:rPr>
                      <w:rFonts w:hint="default"/>
                      <w:color w:val="auto"/>
                      <w:highlight w:val="none"/>
                      <w:lang w:val="en-US" w:eastAsia="zh-CN"/>
                    </w:rPr>
                  </w:pPr>
                </w:p>
              </w:tc>
              <w:tc>
                <w:tcPr>
                  <w:tcW w:w="1135" w:type="dxa"/>
                  <w:vAlign w:val="center"/>
                </w:tcPr>
                <w:p w14:paraId="2B4E295E">
                  <w:pPr>
                    <w:pStyle w:val="49"/>
                    <w:bidi w:val="0"/>
                    <w:jc w:val="center"/>
                    <w:rPr>
                      <w:rFonts w:hint="default"/>
                      <w:color w:val="auto"/>
                      <w:highlight w:val="none"/>
                      <w:lang w:val="en-US" w:eastAsia="zh-CN"/>
                    </w:rPr>
                  </w:pPr>
                  <w:r>
                    <w:rPr>
                      <w:rFonts w:hint="eastAsia"/>
                      <w:color w:val="auto"/>
                      <w:highlight w:val="none"/>
                      <w:lang w:val="en-US" w:eastAsia="zh-CN"/>
                    </w:rPr>
                    <w:t>颗粒物</w:t>
                  </w:r>
                </w:p>
              </w:tc>
              <w:tc>
                <w:tcPr>
                  <w:tcW w:w="1135" w:type="dxa"/>
                  <w:vAlign w:val="center"/>
                </w:tcPr>
                <w:p w14:paraId="6A28744E">
                  <w:pPr>
                    <w:pStyle w:val="49"/>
                    <w:bidi w:val="0"/>
                    <w:jc w:val="center"/>
                    <w:rPr>
                      <w:rFonts w:hint="default"/>
                      <w:color w:val="auto"/>
                      <w:highlight w:val="none"/>
                      <w:lang w:val="en-US" w:eastAsia="zh-CN"/>
                    </w:rPr>
                  </w:pPr>
                  <w:r>
                    <w:rPr>
                      <w:rFonts w:hint="eastAsia"/>
                      <w:color w:val="auto"/>
                      <w:highlight w:val="none"/>
                      <w:lang w:val="en-US" w:eastAsia="zh-CN"/>
                    </w:rPr>
                    <w:t>0.77</w:t>
                  </w:r>
                </w:p>
              </w:tc>
              <w:tc>
                <w:tcPr>
                  <w:tcW w:w="1135" w:type="dxa"/>
                  <w:vAlign w:val="center"/>
                </w:tcPr>
                <w:p w14:paraId="42786D26">
                  <w:pPr>
                    <w:pStyle w:val="49"/>
                    <w:bidi w:val="0"/>
                    <w:jc w:val="center"/>
                    <w:rPr>
                      <w:rFonts w:hint="default"/>
                      <w:color w:val="auto"/>
                      <w:highlight w:val="none"/>
                      <w:lang w:val="en-US" w:eastAsia="zh-CN"/>
                    </w:rPr>
                  </w:pPr>
                  <w:r>
                    <w:rPr>
                      <w:rFonts w:hint="eastAsia"/>
                      <w:color w:val="auto"/>
                      <w:highlight w:val="none"/>
                      <w:lang w:val="en-US" w:eastAsia="zh-CN"/>
                    </w:rPr>
                    <w:t>1</w:t>
                  </w:r>
                </w:p>
              </w:tc>
              <w:tc>
                <w:tcPr>
                  <w:tcW w:w="1135" w:type="dxa"/>
                  <w:vAlign w:val="center"/>
                </w:tcPr>
                <w:p w14:paraId="28DA61D1">
                  <w:pPr>
                    <w:pStyle w:val="49"/>
                    <w:bidi w:val="0"/>
                    <w:jc w:val="center"/>
                    <w:rPr>
                      <w:rFonts w:hint="default"/>
                      <w:color w:val="auto"/>
                      <w:highlight w:val="none"/>
                      <w:lang w:val="en-US" w:eastAsia="zh-CN"/>
                    </w:rPr>
                  </w:pPr>
                  <w:r>
                    <w:rPr>
                      <w:rFonts w:hint="eastAsia"/>
                      <w:color w:val="auto"/>
                      <w:highlight w:val="none"/>
                      <w:lang w:val="en-US" w:eastAsia="zh-CN"/>
                    </w:rPr>
                    <w:t>0.77</w:t>
                  </w:r>
                </w:p>
              </w:tc>
              <w:tc>
                <w:tcPr>
                  <w:tcW w:w="1136" w:type="dxa"/>
                  <w:vMerge w:val="continue"/>
                  <w:tcBorders/>
                  <w:vAlign w:val="center"/>
                </w:tcPr>
                <w:p w14:paraId="5AF2D4F6">
                  <w:pPr>
                    <w:pStyle w:val="49"/>
                    <w:bidi w:val="0"/>
                    <w:jc w:val="center"/>
                    <w:rPr>
                      <w:rFonts w:hint="default"/>
                      <w:color w:val="auto"/>
                      <w:highlight w:val="none"/>
                      <w:lang w:val="en-US" w:eastAsia="zh-CN"/>
                    </w:rPr>
                  </w:pPr>
                </w:p>
              </w:tc>
            </w:tr>
            <w:tr w14:paraId="0B35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35" w:type="dxa"/>
                  <w:vMerge w:val="restart"/>
                  <w:vAlign w:val="center"/>
                </w:tcPr>
                <w:p w14:paraId="5E575DE7">
                  <w:pPr>
                    <w:pStyle w:val="49"/>
                    <w:bidi w:val="0"/>
                    <w:jc w:val="center"/>
                    <w:rPr>
                      <w:rFonts w:hint="default"/>
                      <w:color w:val="auto"/>
                      <w:highlight w:val="none"/>
                      <w:lang w:val="en-US" w:eastAsia="zh-CN"/>
                    </w:rPr>
                  </w:pPr>
                  <w:r>
                    <w:rPr>
                      <w:rFonts w:hint="eastAsia"/>
                      <w:color w:val="auto"/>
                      <w:highlight w:val="none"/>
                      <w:lang w:val="en-US" w:eastAsia="zh-CN"/>
                    </w:rPr>
                    <w:t>排气筒(DA003)</w:t>
                  </w:r>
                </w:p>
              </w:tc>
              <w:tc>
                <w:tcPr>
                  <w:tcW w:w="1135" w:type="dxa"/>
                  <w:vMerge w:val="continue"/>
                  <w:tcBorders/>
                  <w:vAlign w:val="center"/>
                </w:tcPr>
                <w:p w14:paraId="4F377404">
                  <w:pPr>
                    <w:pStyle w:val="49"/>
                    <w:bidi w:val="0"/>
                    <w:jc w:val="center"/>
                    <w:rPr>
                      <w:rFonts w:hint="default"/>
                      <w:color w:val="auto"/>
                      <w:highlight w:val="none"/>
                      <w:lang w:val="en-US" w:eastAsia="zh-CN"/>
                    </w:rPr>
                  </w:pPr>
                </w:p>
              </w:tc>
              <w:tc>
                <w:tcPr>
                  <w:tcW w:w="1135" w:type="dxa"/>
                  <w:vAlign w:val="center"/>
                </w:tcPr>
                <w:p w14:paraId="2447A04C">
                  <w:pPr>
                    <w:pStyle w:val="49"/>
                    <w:bidi w:val="0"/>
                    <w:jc w:val="center"/>
                    <w:rPr>
                      <w:rFonts w:hint="default"/>
                      <w:color w:val="auto"/>
                      <w:highlight w:val="none"/>
                      <w:lang w:val="en-US" w:eastAsia="zh-CN"/>
                    </w:rPr>
                  </w:pPr>
                  <w:r>
                    <w:rPr>
                      <w:rFonts w:hint="eastAsia"/>
                      <w:color w:val="auto"/>
                      <w:highlight w:val="none"/>
                      <w:lang w:val="en-US" w:eastAsia="zh-CN"/>
                    </w:rPr>
                    <w:t>氨</w:t>
                  </w:r>
                </w:p>
              </w:tc>
              <w:tc>
                <w:tcPr>
                  <w:tcW w:w="1135" w:type="dxa"/>
                  <w:vAlign w:val="center"/>
                </w:tcPr>
                <w:p w14:paraId="275D1CE2">
                  <w:pPr>
                    <w:pStyle w:val="49"/>
                    <w:bidi w:val="0"/>
                    <w:jc w:val="center"/>
                    <w:rPr>
                      <w:rFonts w:hint="default"/>
                      <w:color w:val="auto"/>
                      <w:highlight w:val="none"/>
                      <w:lang w:val="en-US" w:eastAsia="zh-CN"/>
                    </w:rPr>
                  </w:pPr>
                  <w:r>
                    <w:rPr>
                      <w:rFonts w:hint="eastAsia"/>
                      <w:color w:val="auto"/>
                      <w:highlight w:val="none"/>
                      <w:lang w:val="en-US" w:eastAsia="zh-CN"/>
                    </w:rPr>
                    <w:t>0.0208</w:t>
                  </w:r>
                </w:p>
              </w:tc>
              <w:tc>
                <w:tcPr>
                  <w:tcW w:w="1135" w:type="dxa"/>
                  <w:vAlign w:val="center"/>
                </w:tcPr>
                <w:p w14:paraId="047A0A6C">
                  <w:pPr>
                    <w:pStyle w:val="49"/>
                    <w:bidi w:val="0"/>
                    <w:jc w:val="center"/>
                    <w:rPr>
                      <w:rFonts w:hint="default"/>
                      <w:color w:val="auto"/>
                      <w:highlight w:val="none"/>
                      <w:lang w:val="en-US" w:eastAsia="zh-CN"/>
                    </w:rPr>
                  </w:pPr>
                  <w:r>
                    <w:rPr>
                      <w:rFonts w:hint="eastAsia"/>
                      <w:color w:val="auto"/>
                      <w:highlight w:val="none"/>
                      <w:lang w:val="en-US" w:eastAsia="zh-CN"/>
                    </w:rPr>
                    <w:t>1</w:t>
                  </w:r>
                </w:p>
              </w:tc>
              <w:tc>
                <w:tcPr>
                  <w:tcW w:w="1135" w:type="dxa"/>
                  <w:shd w:val="clear"/>
                  <w:vAlign w:val="center"/>
                </w:tcPr>
                <w:p w14:paraId="765F1A39">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0.0208</w:t>
                  </w:r>
                </w:p>
              </w:tc>
              <w:tc>
                <w:tcPr>
                  <w:tcW w:w="1136" w:type="dxa"/>
                  <w:vMerge w:val="continue"/>
                  <w:tcBorders/>
                  <w:vAlign w:val="center"/>
                </w:tcPr>
                <w:p w14:paraId="6BEDC0BC">
                  <w:pPr>
                    <w:pStyle w:val="49"/>
                    <w:bidi w:val="0"/>
                    <w:jc w:val="center"/>
                    <w:rPr>
                      <w:rFonts w:hint="default"/>
                      <w:color w:val="auto"/>
                      <w:highlight w:val="none"/>
                      <w:lang w:val="en-US" w:eastAsia="zh-CN"/>
                    </w:rPr>
                  </w:pPr>
                </w:p>
              </w:tc>
            </w:tr>
            <w:tr w14:paraId="2234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trPr>
              <w:tc>
                <w:tcPr>
                  <w:tcW w:w="1135" w:type="dxa"/>
                  <w:vMerge w:val="continue"/>
                  <w:vAlign w:val="center"/>
                </w:tcPr>
                <w:p w14:paraId="169F57FB">
                  <w:pPr>
                    <w:pStyle w:val="49"/>
                    <w:bidi w:val="0"/>
                    <w:jc w:val="center"/>
                  </w:pPr>
                </w:p>
              </w:tc>
              <w:tc>
                <w:tcPr>
                  <w:tcW w:w="1135" w:type="dxa"/>
                  <w:vMerge w:val="continue"/>
                  <w:tcBorders/>
                  <w:vAlign w:val="center"/>
                </w:tcPr>
                <w:p w14:paraId="13BD1033">
                  <w:pPr>
                    <w:pStyle w:val="49"/>
                    <w:bidi w:val="0"/>
                    <w:jc w:val="center"/>
                  </w:pPr>
                </w:p>
              </w:tc>
              <w:tc>
                <w:tcPr>
                  <w:tcW w:w="1135" w:type="dxa"/>
                  <w:vAlign w:val="center"/>
                </w:tcPr>
                <w:p w14:paraId="710CDC87">
                  <w:pPr>
                    <w:pStyle w:val="49"/>
                    <w:bidi w:val="0"/>
                    <w:jc w:val="center"/>
                    <w:rPr>
                      <w:rFonts w:hint="default"/>
                      <w:color w:val="auto"/>
                      <w:highlight w:val="none"/>
                      <w:lang w:val="en-US" w:eastAsia="zh-CN"/>
                    </w:rPr>
                  </w:pPr>
                  <w:r>
                    <w:rPr>
                      <w:rFonts w:hint="eastAsia"/>
                      <w:color w:val="auto"/>
                      <w:highlight w:val="none"/>
                      <w:lang w:val="en-US" w:eastAsia="zh-CN"/>
                    </w:rPr>
                    <w:t>硫化氢</w:t>
                  </w:r>
                </w:p>
              </w:tc>
              <w:tc>
                <w:tcPr>
                  <w:tcW w:w="1135" w:type="dxa"/>
                  <w:vAlign w:val="center"/>
                </w:tcPr>
                <w:p w14:paraId="0AB531D3">
                  <w:pPr>
                    <w:pStyle w:val="49"/>
                    <w:bidi w:val="0"/>
                    <w:jc w:val="center"/>
                    <w:rPr>
                      <w:rFonts w:hint="default"/>
                      <w:color w:val="auto"/>
                      <w:highlight w:val="none"/>
                      <w:lang w:val="en-US" w:eastAsia="zh-CN"/>
                    </w:rPr>
                  </w:pPr>
                  <w:r>
                    <w:rPr>
                      <w:rFonts w:hint="eastAsia"/>
                      <w:color w:val="auto"/>
                      <w:highlight w:val="none"/>
                      <w:lang w:val="en-US" w:eastAsia="zh-CN"/>
                    </w:rPr>
                    <w:t>0.00208</w:t>
                  </w:r>
                </w:p>
              </w:tc>
              <w:tc>
                <w:tcPr>
                  <w:tcW w:w="1135" w:type="dxa"/>
                  <w:vAlign w:val="center"/>
                </w:tcPr>
                <w:p w14:paraId="6CE9B7E5">
                  <w:pPr>
                    <w:pStyle w:val="49"/>
                    <w:bidi w:val="0"/>
                    <w:jc w:val="center"/>
                    <w:rPr>
                      <w:rFonts w:hint="default"/>
                      <w:color w:val="auto"/>
                      <w:highlight w:val="none"/>
                      <w:lang w:val="en-US" w:eastAsia="zh-CN"/>
                    </w:rPr>
                  </w:pPr>
                  <w:r>
                    <w:rPr>
                      <w:rFonts w:hint="eastAsia"/>
                      <w:color w:val="auto"/>
                      <w:highlight w:val="none"/>
                      <w:lang w:val="en-US" w:eastAsia="zh-CN"/>
                    </w:rPr>
                    <w:t>1</w:t>
                  </w:r>
                </w:p>
              </w:tc>
              <w:tc>
                <w:tcPr>
                  <w:tcW w:w="1135" w:type="dxa"/>
                  <w:shd w:val="clear"/>
                  <w:vAlign w:val="center"/>
                </w:tcPr>
                <w:p w14:paraId="4DF2BEFA">
                  <w:pPr>
                    <w:pStyle w:val="49"/>
                    <w:bidi w:val="0"/>
                    <w:ind w:left="0" w:leftChars="0" w:firstLine="0" w:firstLineChars="0"/>
                    <w:jc w:val="center"/>
                    <w:rPr>
                      <w:rFonts w:hint="eastAsia"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0.00208</w:t>
                  </w:r>
                </w:p>
              </w:tc>
              <w:tc>
                <w:tcPr>
                  <w:tcW w:w="1136" w:type="dxa"/>
                  <w:vMerge w:val="continue"/>
                  <w:tcBorders/>
                  <w:vAlign w:val="center"/>
                </w:tcPr>
                <w:p w14:paraId="18582FD7">
                  <w:pPr>
                    <w:pStyle w:val="49"/>
                    <w:bidi w:val="0"/>
                    <w:jc w:val="center"/>
                    <w:rPr>
                      <w:rFonts w:hint="eastAsia"/>
                      <w:color w:val="auto"/>
                      <w:highlight w:val="none"/>
                      <w:lang w:val="en-US" w:eastAsia="zh-CN"/>
                    </w:rPr>
                  </w:pPr>
                </w:p>
              </w:tc>
            </w:tr>
          </w:tbl>
          <w:p w14:paraId="63DDF0ED">
            <w:pPr>
              <w:pStyle w:val="11"/>
              <w:bidi w:val="0"/>
              <w:rPr>
                <w:rFonts w:hint="eastAsia"/>
                <w:color w:val="auto"/>
                <w:highlight w:val="none"/>
                <w:lang w:val="en-US" w:eastAsia="zh-CN"/>
              </w:rPr>
            </w:pPr>
            <w:r>
              <w:rPr>
                <w:rFonts w:hint="eastAsia"/>
                <w:color w:val="auto"/>
                <w:highlight w:val="none"/>
                <w:lang w:val="en-US" w:eastAsia="zh-CN"/>
              </w:rPr>
              <w:t>为防止生产废气非正常工况排放，企业必须加强布袋除尘器和生物除臭装置的管理，定期检修，为杜绝废气非正常排放，应采取以下措施确保废气达标排放：</w:t>
            </w:r>
          </w:p>
          <w:p w14:paraId="525FE747">
            <w:pPr>
              <w:pStyle w:val="11"/>
              <w:bidi w:val="0"/>
              <w:rPr>
                <w:rFonts w:hint="eastAsia"/>
                <w:color w:val="auto"/>
                <w:highlight w:val="none"/>
                <w:lang w:val="en-US" w:eastAsia="zh-CN"/>
              </w:rPr>
            </w:pPr>
            <w:r>
              <w:rPr>
                <w:rFonts w:hint="eastAsia"/>
                <w:color w:val="auto"/>
                <w:highlight w:val="none"/>
                <w:lang w:val="en-US" w:eastAsia="zh-CN"/>
              </w:rPr>
              <w:t>①安排专人负责环保设备的日常维护和管理，每隔固定时间检查、汇报情况，及时发现废气处理设备的隐患，确保废气处理系统正常运行；</w:t>
            </w:r>
          </w:p>
          <w:p w14:paraId="4E5EA236">
            <w:pPr>
              <w:pStyle w:val="11"/>
              <w:bidi w:val="0"/>
              <w:rPr>
                <w:rFonts w:hint="eastAsia"/>
                <w:color w:val="auto"/>
                <w:highlight w:val="none"/>
                <w:lang w:val="en-US" w:eastAsia="zh-CN"/>
              </w:rPr>
            </w:pPr>
            <w:r>
              <w:rPr>
                <w:rFonts w:hint="eastAsia"/>
                <w:color w:val="auto"/>
                <w:highlight w:val="none"/>
                <w:lang w:val="en-US" w:eastAsia="zh-CN"/>
              </w:rPr>
              <w:t>②建立健全的环保管理机构，对环保管理人员和技术人员进行岗位培训，委托具有专业资质的环境检测单位对项目排放的各类污染物进行定期检测。</w:t>
            </w:r>
          </w:p>
          <w:p w14:paraId="5954D829">
            <w:pPr>
              <w:pStyle w:val="11"/>
              <w:numPr>
                <w:ilvl w:val="0"/>
                <w:numId w:val="0"/>
              </w:numPr>
              <w:bidi w:val="0"/>
              <w:ind w:left="0" w:leftChars="0" w:right="0" w:rightChars="0" w:firstLine="480" w:firstLineChars="200"/>
              <w:rPr>
                <w:rFonts w:hint="eastAsia"/>
                <w:color w:val="auto"/>
                <w:highlight w:val="none"/>
                <w:lang w:val="en-US" w:eastAsia="zh-CN"/>
              </w:rPr>
            </w:pPr>
            <w:r>
              <w:rPr>
                <w:rFonts w:hint="eastAsia" w:ascii="Times New Roman" w:hAnsi="Times New Roman" w:eastAsia="宋体" w:cs="Times New Roman"/>
                <w:color w:val="auto"/>
                <w:kern w:val="0"/>
                <w:sz w:val="24"/>
                <w:szCs w:val="20"/>
                <w:highlight w:val="none"/>
                <w:lang w:val="en-US" w:eastAsia="zh-CN" w:bidi="ar-SA"/>
              </w:rPr>
              <w:t>（</w:t>
            </w:r>
            <w:r>
              <w:rPr>
                <w:rFonts w:hint="eastAsia" w:cs="Times New Roman"/>
                <w:color w:val="auto"/>
                <w:kern w:val="0"/>
                <w:sz w:val="24"/>
                <w:szCs w:val="20"/>
                <w:highlight w:val="none"/>
                <w:lang w:val="en-US" w:eastAsia="zh-CN" w:bidi="ar-SA"/>
              </w:rPr>
              <w:t>5</w:t>
            </w:r>
            <w:r>
              <w:rPr>
                <w:rFonts w:hint="eastAsia" w:ascii="Times New Roman" w:hAnsi="Times New Roman" w:eastAsia="宋体" w:cs="Times New Roman"/>
                <w:color w:val="auto"/>
                <w:kern w:val="0"/>
                <w:sz w:val="24"/>
                <w:szCs w:val="20"/>
                <w:highlight w:val="none"/>
                <w:lang w:val="en-US" w:eastAsia="zh-CN" w:bidi="ar-SA"/>
              </w:rPr>
              <w:t>）</w:t>
            </w:r>
            <w:r>
              <w:rPr>
                <w:rFonts w:hint="eastAsia"/>
                <w:color w:val="auto"/>
                <w:highlight w:val="none"/>
                <w:lang w:val="en-US" w:eastAsia="zh-CN"/>
              </w:rPr>
              <w:t>对陕西汉中朱鹮国家级自然保护区的环境保护措施</w:t>
            </w:r>
          </w:p>
          <w:p w14:paraId="332DBDF1">
            <w:pPr>
              <w:pStyle w:val="11"/>
              <w:bidi w:val="0"/>
              <w:rPr>
                <w:rFonts w:hint="default"/>
                <w:color w:val="auto"/>
                <w:highlight w:val="none"/>
                <w:lang w:val="en-US" w:eastAsia="zh-CN"/>
              </w:rPr>
            </w:pPr>
            <w:r>
              <w:rPr>
                <w:rFonts w:hint="eastAsia"/>
                <w:color w:val="auto"/>
                <w:highlight w:val="none"/>
                <w:lang w:val="en-US" w:eastAsia="zh-CN"/>
              </w:rPr>
              <w:t>本项目临近陕西汉中朱鹮国家级自然保护区，环评要求建设单位运行期间还应落实以下要求：</w:t>
            </w:r>
          </w:p>
          <w:p w14:paraId="2E7CBFCC">
            <w:pPr>
              <w:pStyle w:val="11"/>
              <w:bidi w:val="0"/>
              <w:rPr>
                <w:rFonts w:hint="eastAsia"/>
                <w:color w:val="auto"/>
                <w:highlight w:val="none"/>
                <w:lang w:val="en-US" w:eastAsia="zh-CN"/>
              </w:rPr>
            </w:pPr>
            <w:r>
              <w:rPr>
                <w:rFonts w:hint="eastAsia"/>
                <w:color w:val="auto"/>
                <w:highlight w:val="none"/>
                <w:lang w:val="en-US" w:eastAsia="zh-CN"/>
              </w:rPr>
              <w:t>①加强环保设备维护与管理，确保废气处理系统正常运行，保证废气长期稳定达标排放；</w:t>
            </w:r>
          </w:p>
          <w:p w14:paraId="3430A8DD">
            <w:pPr>
              <w:pStyle w:val="11"/>
              <w:bidi w:val="0"/>
              <w:rPr>
                <w:rFonts w:hint="eastAsia" w:ascii="宋体" w:hAnsi="宋体" w:eastAsia="宋体" w:cs="宋体"/>
                <w:color w:val="auto"/>
                <w:sz w:val="24"/>
                <w:szCs w:val="24"/>
                <w:highlight w:val="none"/>
                <w:lang w:eastAsia="zh-CN"/>
              </w:rPr>
            </w:pPr>
            <w:r>
              <w:rPr>
                <w:rFonts w:hint="eastAsia"/>
                <w:color w:val="auto"/>
                <w:highlight w:val="none"/>
                <w:lang w:val="en-US" w:eastAsia="zh-CN"/>
              </w:rPr>
              <w:t>②强化厂区靠近保护区边界一侧绿化，形成生态缓冲带，阻断无组织粉尘及废气侧向输送</w:t>
            </w:r>
            <w:r>
              <w:rPr>
                <w:rFonts w:hint="eastAsia" w:ascii="宋体" w:hAnsi="宋体" w:eastAsia="宋体" w:cs="宋体"/>
                <w:color w:val="auto"/>
                <w:sz w:val="24"/>
                <w:szCs w:val="24"/>
                <w:highlight w:val="none"/>
                <w:lang w:eastAsia="zh-CN"/>
              </w:rPr>
              <w:t>；</w:t>
            </w:r>
          </w:p>
          <w:p w14:paraId="71D0AE3D">
            <w:pPr>
              <w:pStyle w:val="11"/>
              <w:bidi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③物料堆场全封闭密闭存放，厂区道路定时洒水清扫，降低污染物沉降，避免对保护区植被、朱鹮觅食水田造成影响。</w:t>
            </w:r>
          </w:p>
          <w:p w14:paraId="12AD495F">
            <w:pPr>
              <w:pStyle w:val="11"/>
              <w:bidi w:val="0"/>
              <w:rPr>
                <w:rFonts w:hint="eastAsia"/>
                <w:color w:val="auto"/>
                <w:highlight w:val="none"/>
                <w:lang w:val="en-US" w:eastAsia="zh-CN"/>
              </w:rPr>
            </w:pPr>
            <w:r>
              <w:rPr>
                <w:rFonts w:hint="eastAsia"/>
                <w:color w:val="auto"/>
                <w:highlight w:val="none"/>
                <w:lang w:val="en-US" w:eastAsia="zh-CN"/>
              </w:rPr>
              <w:t>（6）废气监测要求</w:t>
            </w:r>
          </w:p>
          <w:p w14:paraId="6AAB3C55">
            <w:pPr>
              <w:adjustRightInd w:val="0"/>
              <w:snapToGrid w:val="0"/>
              <w:spacing w:line="360" w:lineRule="auto"/>
              <w:ind w:firstLine="480" w:firstLineChars="200"/>
              <w:rPr>
                <w:rFonts w:hint="eastAsia"/>
                <w:color w:val="auto"/>
                <w:highlight w:val="none"/>
              </w:rPr>
            </w:pPr>
            <w:r>
              <w:rPr>
                <w:color w:val="auto"/>
                <w:sz w:val="24"/>
                <w:highlight w:val="none"/>
              </w:rPr>
              <w:t>根据《排污单位自行监测技术指南总则》（</w:t>
            </w:r>
            <w:r>
              <w:rPr>
                <w:rFonts w:eastAsia="Times New Roman"/>
                <w:color w:val="auto"/>
                <w:sz w:val="24"/>
                <w:highlight w:val="none"/>
              </w:rPr>
              <w:t>HJ819-2017</w:t>
            </w:r>
            <w:r>
              <w:rPr>
                <w:color w:val="auto"/>
                <w:sz w:val="24"/>
                <w:highlight w:val="none"/>
              </w:rPr>
              <w:t>）</w:t>
            </w:r>
            <w:r>
              <w:rPr>
                <w:rFonts w:hint="eastAsia"/>
                <w:color w:val="auto"/>
                <w:sz w:val="24"/>
                <w:highlight w:val="none"/>
                <w:lang w:eastAsia="zh-CN"/>
              </w:rPr>
              <w:t>、</w:t>
            </w:r>
            <w:r>
              <w:rPr>
                <w:rFonts w:hint="eastAsia"/>
                <w:color w:val="auto"/>
                <w:sz w:val="24"/>
                <w:highlight w:val="none"/>
              </w:rPr>
              <w:t>《排污许可证申请与核发技术规范废弃资源加工工业》（HJ1034-2019）</w:t>
            </w:r>
            <w:r>
              <w:rPr>
                <w:rFonts w:hint="eastAsia"/>
                <w:color w:val="auto"/>
                <w:sz w:val="24"/>
                <w:highlight w:val="none"/>
                <w:lang w:val="en-US" w:eastAsia="zh-CN"/>
              </w:rPr>
              <w:t>和</w:t>
            </w:r>
            <w:r>
              <w:rPr>
                <w:rFonts w:hint="eastAsia"/>
                <w:color w:val="auto"/>
                <w:sz w:val="24"/>
                <w:highlight w:val="none"/>
              </w:rPr>
              <w:t>《排污单位自行监测技术指南 磷肥、钾肥、复混肥料、有机肥料和微生物肥料》（HJ1088-2020）</w:t>
            </w:r>
            <w:r>
              <w:rPr>
                <w:rFonts w:hint="eastAsia"/>
                <w:color w:val="auto"/>
                <w:sz w:val="24"/>
                <w:highlight w:val="none"/>
                <w:lang w:val="en-US" w:eastAsia="zh-CN"/>
              </w:rPr>
              <w:t>的要</w:t>
            </w:r>
            <w:r>
              <w:rPr>
                <w:color w:val="auto"/>
                <w:sz w:val="24"/>
                <w:highlight w:val="none"/>
              </w:rPr>
              <w:t>求，运营期监测计划见表</w:t>
            </w:r>
            <w:r>
              <w:rPr>
                <w:rFonts w:hint="eastAsia"/>
                <w:color w:val="auto"/>
                <w:sz w:val="24"/>
                <w:highlight w:val="none"/>
              </w:rPr>
              <w:t>4</w:t>
            </w:r>
            <w:r>
              <w:rPr>
                <w:color w:val="auto"/>
                <w:sz w:val="24"/>
                <w:highlight w:val="none"/>
              </w:rPr>
              <w:t>-</w:t>
            </w:r>
            <w:r>
              <w:rPr>
                <w:rFonts w:hint="eastAsia"/>
                <w:color w:val="auto"/>
                <w:sz w:val="24"/>
                <w:highlight w:val="none"/>
                <w:lang w:val="en-US" w:eastAsia="zh-CN"/>
              </w:rPr>
              <w:t>10</w:t>
            </w:r>
            <w:r>
              <w:rPr>
                <w:color w:val="auto"/>
                <w:sz w:val="24"/>
                <w:highlight w:val="none"/>
              </w:rPr>
              <w:t>。</w:t>
            </w:r>
          </w:p>
          <w:p w14:paraId="179914D2">
            <w:pPr>
              <w:pStyle w:val="32"/>
              <w:bidi w:val="0"/>
              <w:rPr>
                <w:color w:val="auto"/>
                <w:highlight w:val="none"/>
              </w:rPr>
            </w:pPr>
            <w:r>
              <w:rPr>
                <w:rFonts w:hint="eastAsia"/>
                <w:color w:val="auto"/>
                <w:highlight w:val="none"/>
              </w:rPr>
              <w:t>表4-</w:t>
            </w:r>
            <w:r>
              <w:rPr>
                <w:rFonts w:hint="eastAsia"/>
                <w:color w:val="auto"/>
                <w:highlight w:val="none"/>
                <w:lang w:val="en-US" w:eastAsia="zh-CN"/>
              </w:rPr>
              <w:t xml:space="preserve">10   </w:t>
            </w:r>
            <w:r>
              <w:rPr>
                <w:color w:val="auto"/>
                <w:highlight w:val="none"/>
              </w:rPr>
              <w:t>环境监测计划表</w:t>
            </w:r>
          </w:p>
          <w:tbl>
            <w:tblPr>
              <w:tblStyle w:val="26"/>
              <w:tblW w:w="7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1330"/>
              <w:gridCol w:w="2133"/>
              <w:gridCol w:w="1155"/>
              <w:gridCol w:w="2351"/>
            </w:tblGrid>
            <w:tr w14:paraId="31A5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8" w:type="dxa"/>
                  <w:noWrap w:val="0"/>
                  <w:vAlign w:val="center"/>
                </w:tcPr>
                <w:p w14:paraId="5FF98979">
                  <w:pPr>
                    <w:adjustRightInd w:val="0"/>
                    <w:snapToGrid w:val="0"/>
                    <w:jc w:val="center"/>
                    <w:rPr>
                      <w:b/>
                      <w:bCs w:val="0"/>
                      <w:color w:val="auto"/>
                      <w:szCs w:val="21"/>
                      <w:highlight w:val="none"/>
                    </w:rPr>
                  </w:pPr>
                  <w:r>
                    <w:rPr>
                      <w:b/>
                      <w:bCs w:val="0"/>
                      <w:color w:val="auto"/>
                      <w:szCs w:val="21"/>
                      <w:highlight w:val="none"/>
                    </w:rPr>
                    <w:t>类别</w:t>
                  </w:r>
                </w:p>
              </w:tc>
              <w:tc>
                <w:tcPr>
                  <w:tcW w:w="1330" w:type="dxa"/>
                  <w:noWrap w:val="0"/>
                  <w:vAlign w:val="center"/>
                </w:tcPr>
                <w:p w14:paraId="1BFD0981">
                  <w:pPr>
                    <w:adjustRightInd w:val="0"/>
                    <w:snapToGrid w:val="0"/>
                    <w:jc w:val="center"/>
                    <w:rPr>
                      <w:b/>
                      <w:bCs w:val="0"/>
                      <w:color w:val="auto"/>
                      <w:szCs w:val="21"/>
                      <w:highlight w:val="none"/>
                    </w:rPr>
                  </w:pPr>
                  <w:r>
                    <w:rPr>
                      <w:b/>
                      <w:bCs w:val="0"/>
                      <w:color w:val="auto"/>
                      <w:szCs w:val="21"/>
                      <w:highlight w:val="none"/>
                    </w:rPr>
                    <w:t>监测项目</w:t>
                  </w:r>
                </w:p>
              </w:tc>
              <w:tc>
                <w:tcPr>
                  <w:tcW w:w="2133" w:type="dxa"/>
                  <w:noWrap w:val="0"/>
                  <w:vAlign w:val="center"/>
                </w:tcPr>
                <w:p w14:paraId="2375FC8A">
                  <w:pPr>
                    <w:adjustRightInd w:val="0"/>
                    <w:snapToGrid w:val="0"/>
                    <w:jc w:val="center"/>
                    <w:rPr>
                      <w:b/>
                      <w:bCs w:val="0"/>
                      <w:color w:val="auto"/>
                      <w:szCs w:val="21"/>
                      <w:highlight w:val="none"/>
                    </w:rPr>
                  </w:pPr>
                  <w:r>
                    <w:rPr>
                      <w:b/>
                      <w:bCs w:val="0"/>
                      <w:color w:val="auto"/>
                      <w:szCs w:val="21"/>
                      <w:highlight w:val="none"/>
                    </w:rPr>
                    <w:t>监测点位置</w:t>
                  </w:r>
                </w:p>
              </w:tc>
              <w:tc>
                <w:tcPr>
                  <w:tcW w:w="1155" w:type="dxa"/>
                  <w:noWrap w:val="0"/>
                  <w:vAlign w:val="center"/>
                </w:tcPr>
                <w:p w14:paraId="624D62E7">
                  <w:pPr>
                    <w:adjustRightInd w:val="0"/>
                    <w:snapToGrid w:val="0"/>
                    <w:jc w:val="center"/>
                    <w:rPr>
                      <w:b/>
                      <w:bCs w:val="0"/>
                      <w:color w:val="auto"/>
                      <w:szCs w:val="21"/>
                      <w:highlight w:val="none"/>
                    </w:rPr>
                  </w:pPr>
                  <w:r>
                    <w:rPr>
                      <w:b/>
                      <w:bCs w:val="0"/>
                      <w:color w:val="auto"/>
                      <w:szCs w:val="21"/>
                      <w:highlight w:val="none"/>
                    </w:rPr>
                    <w:t>监测点数</w:t>
                  </w:r>
                </w:p>
              </w:tc>
              <w:tc>
                <w:tcPr>
                  <w:tcW w:w="2351" w:type="dxa"/>
                  <w:noWrap w:val="0"/>
                  <w:vAlign w:val="center"/>
                </w:tcPr>
                <w:p w14:paraId="12BB736E">
                  <w:pPr>
                    <w:adjustRightInd w:val="0"/>
                    <w:snapToGrid w:val="0"/>
                    <w:jc w:val="center"/>
                    <w:rPr>
                      <w:b/>
                      <w:bCs w:val="0"/>
                      <w:color w:val="auto"/>
                      <w:szCs w:val="21"/>
                      <w:highlight w:val="none"/>
                    </w:rPr>
                  </w:pPr>
                  <w:r>
                    <w:rPr>
                      <w:b/>
                      <w:bCs w:val="0"/>
                      <w:color w:val="auto"/>
                      <w:szCs w:val="21"/>
                      <w:highlight w:val="none"/>
                    </w:rPr>
                    <w:t>监测频率</w:t>
                  </w:r>
                </w:p>
              </w:tc>
            </w:tr>
            <w:tr w14:paraId="1877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8" w:type="dxa"/>
                  <w:vMerge w:val="restart"/>
                  <w:noWrap w:val="0"/>
                  <w:vAlign w:val="center"/>
                </w:tcPr>
                <w:p w14:paraId="46526BB4">
                  <w:pPr>
                    <w:adjustRightInd w:val="0"/>
                    <w:snapToGrid w:val="0"/>
                    <w:jc w:val="center"/>
                    <w:rPr>
                      <w:bCs/>
                      <w:color w:val="auto"/>
                      <w:szCs w:val="21"/>
                      <w:highlight w:val="none"/>
                    </w:rPr>
                  </w:pPr>
                  <w:r>
                    <w:rPr>
                      <w:bCs/>
                      <w:color w:val="auto"/>
                      <w:szCs w:val="21"/>
                      <w:highlight w:val="none"/>
                    </w:rPr>
                    <w:t>有组织废气</w:t>
                  </w:r>
                </w:p>
              </w:tc>
              <w:tc>
                <w:tcPr>
                  <w:tcW w:w="1330" w:type="dxa"/>
                  <w:noWrap w:val="0"/>
                  <w:vAlign w:val="center"/>
                </w:tcPr>
                <w:p w14:paraId="2A2A5AC1">
                  <w:pPr>
                    <w:adjustRightInd w:val="0"/>
                    <w:snapToGrid w:val="0"/>
                    <w:jc w:val="center"/>
                    <w:rPr>
                      <w:rFonts w:hint="eastAsia" w:eastAsia="宋体"/>
                      <w:bCs/>
                      <w:color w:val="auto"/>
                      <w:szCs w:val="21"/>
                      <w:highlight w:val="none"/>
                      <w:lang w:eastAsia="zh-CN"/>
                    </w:rPr>
                  </w:pPr>
                  <w:r>
                    <w:rPr>
                      <w:rFonts w:hint="eastAsia"/>
                      <w:bCs/>
                      <w:color w:val="auto"/>
                      <w:szCs w:val="21"/>
                      <w:highlight w:val="none"/>
                      <w:lang w:val="en-US" w:eastAsia="zh-CN"/>
                    </w:rPr>
                    <w:t>颗粒物</w:t>
                  </w:r>
                </w:p>
              </w:tc>
              <w:tc>
                <w:tcPr>
                  <w:tcW w:w="2133" w:type="dxa"/>
                  <w:noWrap w:val="0"/>
                  <w:vAlign w:val="center"/>
                </w:tcPr>
                <w:p w14:paraId="64D311A5">
                  <w:pPr>
                    <w:adjustRightInd w:val="0"/>
                    <w:snapToGrid w:val="0"/>
                    <w:jc w:val="center"/>
                    <w:rPr>
                      <w:bCs/>
                      <w:color w:val="auto"/>
                      <w:szCs w:val="21"/>
                      <w:highlight w:val="none"/>
                    </w:rPr>
                  </w:pPr>
                  <w:r>
                    <w:rPr>
                      <w:rFonts w:hint="eastAsia"/>
                      <w:bCs/>
                      <w:color w:val="auto"/>
                      <w:kern w:val="0"/>
                      <w:szCs w:val="21"/>
                      <w:highlight w:val="none"/>
                      <w:lang w:val="en-US" w:eastAsia="zh-CN"/>
                    </w:rPr>
                    <w:t>DA001</w:t>
                  </w:r>
                  <w:r>
                    <w:rPr>
                      <w:bCs/>
                      <w:color w:val="auto"/>
                      <w:kern w:val="0"/>
                      <w:szCs w:val="21"/>
                      <w:highlight w:val="none"/>
                    </w:rPr>
                    <w:t>排气筒</w:t>
                  </w:r>
                </w:p>
              </w:tc>
              <w:tc>
                <w:tcPr>
                  <w:tcW w:w="1155" w:type="dxa"/>
                  <w:noWrap w:val="0"/>
                  <w:vAlign w:val="center"/>
                </w:tcPr>
                <w:p w14:paraId="20F9C900">
                  <w:pPr>
                    <w:adjustRightInd w:val="0"/>
                    <w:snapToGrid w:val="0"/>
                    <w:jc w:val="center"/>
                    <w:rPr>
                      <w:bCs/>
                      <w:color w:val="auto"/>
                      <w:szCs w:val="21"/>
                      <w:highlight w:val="none"/>
                    </w:rPr>
                  </w:pPr>
                  <w:r>
                    <w:rPr>
                      <w:bCs/>
                      <w:color w:val="auto"/>
                      <w:szCs w:val="21"/>
                      <w:highlight w:val="none"/>
                    </w:rPr>
                    <w:t>1个</w:t>
                  </w:r>
                </w:p>
              </w:tc>
              <w:tc>
                <w:tcPr>
                  <w:tcW w:w="2351" w:type="dxa"/>
                  <w:noWrap w:val="0"/>
                  <w:vAlign w:val="center"/>
                </w:tcPr>
                <w:p w14:paraId="17BBD7FF">
                  <w:pPr>
                    <w:adjustRightInd w:val="0"/>
                    <w:snapToGrid w:val="0"/>
                    <w:jc w:val="center"/>
                    <w:rPr>
                      <w:bCs/>
                      <w:color w:val="auto"/>
                      <w:szCs w:val="21"/>
                      <w:highlight w:val="none"/>
                    </w:rPr>
                  </w:pPr>
                  <w:r>
                    <w:rPr>
                      <w:bCs/>
                      <w:color w:val="auto"/>
                      <w:szCs w:val="21"/>
                      <w:highlight w:val="none"/>
                    </w:rPr>
                    <w:t>每半年1次</w:t>
                  </w:r>
                  <w:r>
                    <w:rPr>
                      <w:rFonts w:hint="eastAsia"/>
                      <w:bCs/>
                      <w:color w:val="auto"/>
                      <w:szCs w:val="21"/>
                      <w:highlight w:val="none"/>
                    </w:rPr>
                    <w:t>，连续2天</w:t>
                  </w:r>
                </w:p>
              </w:tc>
            </w:tr>
            <w:tr w14:paraId="147A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8" w:type="dxa"/>
                  <w:vMerge w:val="continue"/>
                  <w:tcBorders/>
                  <w:noWrap w:val="0"/>
                  <w:vAlign w:val="center"/>
                </w:tcPr>
                <w:p w14:paraId="6303FEBA">
                  <w:pPr>
                    <w:adjustRightInd w:val="0"/>
                    <w:snapToGrid w:val="0"/>
                    <w:jc w:val="center"/>
                    <w:rPr>
                      <w:bCs/>
                      <w:color w:val="auto"/>
                      <w:szCs w:val="21"/>
                      <w:highlight w:val="none"/>
                    </w:rPr>
                  </w:pPr>
                </w:p>
              </w:tc>
              <w:tc>
                <w:tcPr>
                  <w:tcW w:w="1330" w:type="dxa"/>
                  <w:tcBorders/>
                  <w:noWrap w:val="0"/>
                  <w:vAlign w:val="center"/>
                </w:tcPr>
                <w:p w14:paraId="6704A0FA">
                  <w:pPr>
                    <w:adjustRightInd w:val="0"/>
                    <w:snapToGrid w:val="0"/>
                    <w:jc w:val="center"/>
                    <w:rPr>
                      <w:rFonts w:hint="eastAsia"/>
                      <w:bCs/>
                      <w:color w:val="auto"/>
                      <w:szCs w:val="21"/>
                      <w:highlight w:val="none"/>
                      <w:lang w:val="en-US" w:eastAsia="zh-CN"/>
                    </w:rPr>
                  </w:pPr>
                  <w:r>
                    <w:rPr>
                      <w:rFonts w:hint="eastAsia"/>
                      <w:bCs/>
                      <w:color w:val="auto"/>
                      <w:szCs w:val="21"/>
                      <w:highlight w:val="none"/>
                      <w:lang w:val="en-US" w:eastAsia="zh-CN"/>
                    </w:rPr>
                    <w:t>颗粒物</w:t>
                  </w:r>
                </w:p>
              </w:tc>
              <w:tc>
                <w:tcPr>
                  <w:tcW w:w="2133" w:type="dxa"/>
                  <w:noWrap w:val="0"/>
                  <w:vAlign w:val="center"/>
                </w:tcPr>
                <w:p w14:paraId="5D62FA7B">
                  <w:pPr>
                    <w:adjustRightInd w:val="0"/>
                    <w:snapToGrid w:val="0"/>
                    <w:jc w:val="center"/>
                    <w:rPr>
                      <w:rFonts w:hint="eastAsia"/>
                      <w:bCs/>
                      <w:color w:val="auto"/>
                      <w:kern w:val="0"/>
                      <w:szCs w:val="21"/>
                      <w:highlight w:val="none"/>
                      <w:lang w:val="en-US" w:eastAsia="zh-CN"/>
                    </w:rPr>
                  </w:pPr>
                  <w:r>
                    <w:rPr>
                      <w:rFonts w:hint="eastAsia"/>
                      <w:bCs/>
                      <w:color w:val="auto"/>
                      <w:kern w:val="0"/>
                      <w:szCs w:val="21"/>
                      <w:highlight w:val="none"/>
                      <w:lang w:val="en-US" w:eastAsia="zh-CN"/>
                    </w:rPr>
                    <w:t>DA002</w:t>
                  </w:r>
                  <w:r>
                    <w:rPr>
                      <w:bCs/>
                      <w:color w:val="auto"/>
                      <w:kern w:val="0"/>
                      <w:szCs w:val="21"/>
                      <w:highlight w:val="none"/>
                    </w:rPr>
                    <w:t>排气筒</w:t>
                  </w:r>
                </w:p>
              </w:tc>
              <w:tc>
                <w:tcPr>
                  <w:tcW w:w="1155" w:type="dxa"/>
                  <w:shd w:val="clear"/>
                  <w:noWrap w:val="0"/>
                  <w:vAlign w:val="center"/>
                </w:tcPr>
                <w:p w14:paraId="50C740E4">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bCs/>
                      <w:color w:val="auto"/>
                      <w:szCs w:val="21"/>
                      <w:highlight w:val="none"/>
                    </w:rPr>
                    <w:t>1个</w:t>
                  </w:r>
                </w:p>
              </w:tc>
              <w:tc>
                <w:tcPr>
                  <w:tcW w:w="2351" w:type="dxa"/>
                  <w:shd w:val="clear"/>
                  <w:noWrap w:val="0"/>
                  <w:vAlign w:val="center"/>
                </w:tcPr>
                <w:p w14:paraId="6EC7A9CC">
                  <w:pPr>
                    <w:adjustRightInd w:val="0"/>
                    <w:snapToGrid w:val="0"/>
                    <w:jc w:val="center"/>
                    <w:rPr>
                      <w:rFonts w:ascii="Times New Roman" w:hAnsi="Times New Roman" w:eastAsia="宋体" w:cs="Times New Roman"/>
                      <w:bCs/>
                      <w:color w:val="auto"/>
                      <w:kern w:val="2"/>
                      <w:sz w:val="21"/>
                      <w:szCs w:val="21"/>
                      <w:highlight w:val="none"/>
                      <w:lang w:val="en-US" w:eastAsia="zh-CN" w:bidi="ar-SA"/>
                    </w:rPr>
                  </w:pPr>
                  <w:r>
                    <w:rPr>
                      <w:bCs/>
                      <w:color w:val="auto"/>
                      <w:szCs w:val="21"/>
                      <w:highlight w:val="none"/>
                    </w:rPr>
                    <w:t>每半年1次</w:t>
                  </w:r>
                  <w:r>
                    <w:rPr>
                      <w:rFonts w:hint="eastAsia"/>
                      <w:bCs/>
                      <w:color w:val="auto"/>
                      <w:szCs w:val="21"/>
                      <w:highlight w:val="none"/>
                    </w:rPr>
                    <w:t>，连续2天</w:t>
                  </w:r>
                </w:p>
              </w:tc>
            </w:tr>
            <w:tr w14:paraId="62083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8" w:type="dxa"/>
                  <w:vMerge w:val="continue"/>
                  <w:tcBorders/>
                  <w:noWrap w:val="0"/>
                  <w:vAlign w:val="center"/>
                </w:tcPr>
                <w:p w14:paraId="70D15DC3">
                  <w:pPr>
                    <w:adjustRightInd w:val="0"/>
                    <w:snapToGrid w:val="0"/>
                    <w:jc w:val="center"/>
                    <w:rPr>
                      <w:bCs/>
                      <w:color w:val="auto"/>
                      <w:szCs w:val="21"/>
                      <w:highlight w:val="none"/>
                    </w:rPr>
                  </w:pPr>
                </w:p>
              </w:tc>
              <w:tc>
                <w:tcPr>
                  <w:tcW w:w="1330" w:type="dxa"/>
                  <w:tcBorders/>
                  <w:noWrap w:val="0"/>
                  <w:vAlign w:val="center"/>
                </w:tcPr>
                <w:p w14:paraId="5D1C61C6">
                  <w:pPr>
                    <w:adjustRightInd w:val="0"/>
                    <w:snapToGrid w:val="0"/>
                    <w:jc w:val="center"/>
                    <w:rPr>
                      <w:rFonts w:hint="default"/>
                      <w:bCs/>
                      <w:color w:val="auto"/>
                      <w:szCs w:val="21"/>
                      <w:highlight w:val="none"/>
                      <w:lang w:val="en-US" w:eastAsia="zh-CN"/>
                    </w:rPr>
                  </w:pPr>
                  <w:r>
                    <w:rPr>
                      <w:rFonts w:hint="eastAsia"/>
                      <w:bCs/>
                      <w:color w:val="auto"/>
                      <w:szCs w:val="21"/>
                      <w:highlight w:val="none"/>
                      <w:lang w:val="en-US" w:eastAsia="zh-CN"/>
                    </w:rPr>
                    <w:t>氨、硫化氢、</w:t>
                  </w:r>
                  <w:r>
                    <w:rPr>
                      <w:rFonts w:hint="eastAsia"/>
                      <w:bCs/>
                      <w:color w:val="auto"/>
                      <w:highlight w:val="none"/>
                      <w:lang w:val="en-US" w:eastAsia="zh-CN"/>
                    </w:rPr>
                    <w:t>臭气浓度</w:t>
                  </w:r>
                </w:p>
              </w:tc>
              <w:tc>
                <w:tcPr>
                  <w:tcW w:w="2133" w:type="dxa"/>
                  <w:noWrap w:val="0"/>
                  <w:vAlign w:val="center"/>
                </w:tcPr>
                <w:p w14:paraId="0BB8193E">
                  <w:pPr>
                    <w:adjustRightInd w:val="0"/>
                    <w:snapToGrid w:val="0"/>
                    <w:jc w:val="center"/>
                    <w:rPr>
                      <w:rFonts w:hint="eastAsia"/>
                      <w:bCs/>
                      <w:color w:val="auto"/>
                      <w:kern w:val="0"/>
                      <w:szCs w:val="21"/>
                      <w:highlight w:val="none"/>
                      <w:lang w:val="en-US" w:eastAsia="zh-CN"/>
                    </w:rPr>
                  </w:pPr>
                  <w:r>
                    <w:rPr>
                      <w:rFonts w:hint="eastAsia"/>
                      <w:bCs/>
                      <w:color w:val="auto"/>
                      <w:kern w:val="0"/>
                      <w:szCs w:val="21"/>
                      <w:highlight w:val="none"/>
                      <w:lang w:val="en-US" w:eastAsia="zh-CN"/>
                    </w:rPr>
                    <w:t>DA003</w:t>
                  </w:r>
                  <w:r>
                    <w:rPr>
                      <w:bCs/>
                      <w:color w:val="auto"/>
                      <w:kern w:val="0"/>
                      <w:szCs w:val="21"/>
                      <w:highlight w:val="none"/>
                    </w:rPr>
                    <w:t>排气筒</w:t>
                  </w:r>
                </w:p>
              </w:tc>
              <w:tc>
                <w:tcPr>
                  <w:tcW w:w="1155" w:type="dxa"/>
                  <w:shd w:val="clear"/>
                  <w:noWrap w:val="0"/>
                  <w:vAlign w:val="center"/>
                </w:tcPr>
                <w:p w14:paraId="1ED575CD">
                  <w:pPr>
                    <w:adjustRightInd w:val="0"/>
                    <w:snapToGrid w:val="0"/>
                    <w:jc w:val="center"/>
                    <w:rPr>
                      <w:rFonts w:hint="default" w:eastAsia="宋体"/>
                      <w:bCs/>
                      <w:color w:val="auto"/>
                      <w:szCs w:val="21"/>
                      <w:highlight w:val="none"/>
                      <w:lang w:val="en-US" w:eastAsia="zh-CN"/>
                    </w:rPr>
                  </w:pPr>
                  <w:r>
                    <w:rPr>
                      <w:rFonts w:hint="eastAsia"/>
                      <w:bCs/>
                      <w:color w:val="auto"/>
                      <w:szCs w:val="21"/>
                      <w:highlight w:val="none"/>
                      <w:lang w:val="en-US" w:eastAsia="zh-CN"/>
                    </w:rPr>
                    <w:t>1个</w:t>
                  </w:r>
                </w:p>
              </w:tc>
              <w:tc>
                <w:tcPr>
                  <w:tcW w:w="2351" w:type="dxa"/>
                  <w:shd w:val="clear"/>
                  <w:noWrap w:val="0"/>
                  <w:vAlign w:val="center"/>
                </w:tcPr>
                <w:p w14:paraId="4EB2F70B">
                  <w:pPr>
                    <w:adjustRightInd w:val="0"/>
                    <w:snapToGrid w:val="0"/>
                    <w:jc w:val="center"/>
                    <w:rPr>
                      <w:bCs/>
                      <w:color w:val="auto"/>
                      <w:szCs w:val="21"/>
                      <w:highlight w:val="none"/>
                    </w:rPr>
                  </w:pPr>
                  <w:r>
                    <w:rPr>
                      <w:bCs/>
                      <w:color w:val="auto"/>
                      <w:szCs w:val="21"/>
                      <w:highlight w:val="none"/>
                    </w:rPr>
                    <w:t>每半年1次</w:t>
                  </w:r>
                  <w:r>
                    <w:rPr>
                      <w:rFonts w:hint="eastAsia"/>
                      <w:bCs/>
                      <w:color w:val="auto"/>
                      <w:szCs w:val="21"/>
                      <w:highlight w:val="none"/>
                    </w:rPr>
                    <w:t>，连续2天</w:t>
                  </w:r>
                </w:p>
              </w:tc>
            </w:tr>
            <w:tr w14:paraId="5057A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68" w:type="dxa"/>
                  <w:noWrap w:val="0"/>
                  <w:vAlign w:val="center"/>
                </w:tcPr>
                <w:p w14:paraId="684F0251">
                  <w:pPr>
                    <w:adjustRightInd w:val="0"/>
                    <w:snapToGrid w:val="0"/>
                    <w:jc w:val="center"/>
                    <w:rPr>
                      <w:bCs/>
                      <w:color w:val="auto"/>
                      <w:szCs w:val="21"/>
                      <w:highlight w:val="none"/>
                    </w:rPr>
                  </w:pPr>
                  <w:r>
                    <w:rPr>
                      <w:bCs/>
                      <w:color w:val="auto"/>
                      <w:szCs w:val="21"/>
                      <w:highlight w:val="none"/>
                    </w:rPr>
                    <w:t>无组织废气</w:t>
                  </w:r>
                </w:p>
              </w:tc>
              <w:tc>
                <w:tcPr>
                  <w:tcW w:w="1330" w:type="dxa"/>
                  <w:noWrap w:val="0"/>
                  <w:vAlign w:val="center"/>
                </w:tcPr>
                <w:p w14:paraId="2118FE3B">
                  <w:pPr>
                    <w:adjustRightInd w:val="0"/>
                    <w:snapToGrid w:val="0"/>
                    <w:jc w:val="center"/>
                    <w:rPr>
                      <w:rFonts w:hint="default" w:eastAsia="宋体"/>
                      <w:bCs/>
                      <w:color w:val="auto"/>
                      <w:szCs w:val="21"/>
                      <w:highlight w:val="none"/>
                      <w:lang w:val="en-US" w:eastAsia="zh-CN"/>
                    </w:rPr>
                  </w:pPr>
                  <w:r>
                    <w:rPr>
                      <w:bCs/>
                      <w:color w:val="auto"/>
                      <w:highlight w:val="none"/>
                    </w:rPr>
                    <w:t>颗粒物</w:t>
                  </w:r>
                  <w:r>
                    <w:rPr>
                      <w:rFonts w:hint="eastAsia"/>
                      <w:bCs/>
                      <w:color w:val="auto"/>
                      <w:highlight w:val="none"/>
                      <w:lang w:eastAsia="zh-CN"/>
                    </w:rPr>
                    <w:t>、</w:t>
                  </w:r>
                  <w:r>
                    <w:rPr>
                      <w:rFonts w:hint="eastAsia"/>
                      <w:bCs/>
                      <w:color w:val="auto"/>
                      <w:highlight w:val="none"/>
                      <w:lang w:val="en-US" w:eastAsia="zh-CN"/>
                    </w:rPr>
                    <w:t>氨、硫化氢、臭气浓度、非甲烷总烃</w:t>
                  </w:r>
                </w:p>
              </w:tc>
              <w:tc>
                <w:tcPr>
                  <w:tcW w:w="2133" w:type="dxa"/>
                  <w:noWrap w:val="0"/>
                  <w:vAlign w:val="center"/>
                </w:tcPr>
                <w:p w14:paraId="5703E964">
                  <w:pPr>
                    <w:adjustRightInd w:val="0"/>
                    <w:snapToGrid w:val="0"/>
                    <w:jc w:val="center"/>
                    <w:rPr>
                      <w:bCs/>
                      <w:color w:val="auto"/>
                      <w:szCs w:val="21"/>
                      <w:highlight w:val="none"/>
                    </w:rPr>
                  </w:pPr>
                  <w:r>
                    <w:rPr>
                      <w:bCs/>
                      <w:color w:val="auto"/>
                      <w:szCs w:val="21"/>
                      <w:highlight w:val="none"/>
                    </w:rPr>
                    <w:t>厂界外10m范围内，上风向1个，下风向3个</w:t>
                  </w:r>
                </w:p>
              </w:tc>
              <w:tc>
                <w:tcPr>
                  <w:tcW w:w="1155" w:type="dxa"/>
                  <w:noWrap w:val="0"/>
                  <w:vAlign w:val="center"/>
                </w:tcPr>
                <w:p w14:paraId="3796EF55">
                  <w:pPr>
                    <w:adjustRightInd w:val="0"/>
                    <w:snapToGrid w:val="0"/>
                    <w:jc w:val="center"/>
                    <w:rPr>
                      <w:bCs/>
                      <w:color w:val="auto"/>
                      <w:szCs w:val="21"/>
                      <w:highlight w:val="none"/>
                    </w:rPr>
                  </w:pPr>
                  <w:r>
                    <w:rPr>
                      <w:bCs/>
                      <w:color w:val="auto"/>
                      <w:szCs w:val="21"/>
                      <w:highlight w:val="none"/>
                    </w:rPr>
                    <w:t>4个</w:t>
                  </w:r>
                </w:p>
              </w:tc>
              <w:tc>
                <w:tcPr>
                  <w:tcW w:w="2351" w:type="dxa"/>
                  <w:noWrap w:val="0"/>
                  <w:vAlign w:val="center"/>
                </w:tcPr>
                <w:p w14:paraId="33F1D384">
                  <w:pPr>
                    <w:adjustRightInd w:val="0"/>
                    <w:snapToGrid w:val="0"/>
                    <w:jc w:val="center"/>
                    <w:rPr>
                      <w:bCs/>
                      <w:color w:val="auto"/>
                      <w:szCs w:val="21"/>
                      <w:highlight w:val="none"/>
                    </w:rPr>
                  </w:pPr>
                  <w:r>
                    <w:rPr>
                      <w:bCs/>
                      <w:color w:val="auto"/>
                      <w:szCs w:val="21"/>
                      <w:highlight w:val="none"/>
                    </w:rPr>
                    <w:t>每半年1次</w:t>
                  </w:r>
                  <w:r>
                    <w:rPr>
                      <w:rFonts w:hint="eastAsia"/>
                      <w:bCs/>
                      <w:color w:val="auto"/>
                      <w:szCs w:val="21"/>
                      <w:highlight w:val="none"/>
                    </w:rPr>
                    <w:t>，连续2天</w:t>
                  </w:r>
                </w:p>
              </w:tc>
            </w:tr>
          </w:tbl>
          <w:p w14:paraId="4F33B453">
            <w:pPr>
              <w:pStyle w:val="11"/>
              <w:numPr>
                <w:ilvl w:val="0"/>
                <w:numId w:val="11"/>
              </w:numPr>
              <w:bidi w:val="0"/>
              <w:rPr>
                <w:rFonts w:hint="eastAsia"/>
                <w:b/>
                <w:bCs/>
                <w:color w:val="auto"/>
                <w:highlight w:val="none"/>
                <w:lang w:val="en-US" w:eastAsia="zh-CN"/>
              </w:rPr>
            </w:pPr>
            <w:r>
              <w:rPr>
                <w:rFonts w:hint="eastAsia"/>
                <w:b/>
                <w:bCs/>
                <w:color w:val="auto"/>
                <w:highlight w:val="none"/>
                <w:lang w:val="en-US" w:eastAsia="zh-CN"/>
              </w:rPr>
              <w:t>运营期水环境影响和保护措施</w:t>
            </w:r>
          </w:p>
          <w:p w14:paraId="4D457ED7">
            <w:pPr>
              <w:pStyle w:val="11"/>
              <w:bidi w:val="0"/>
              <w:rPr>
                <w:color w:val="auto"/>
                <w:highlight w:val="none"/>
              </w:rPr>
            </w:pPr>
            <w:r>
              <w:rPr>
                <w:color w:val="auto"/>
                <w:highlight w:val="none"/>
              </w:rPr>
              <w:t>本项目</w:t>
            </w:r>
            <w:r>
              <w:rPr>
                <w:rFonts w:hint="eastAsia"/>
                <w:color w:val="auto"/>
                <w:highlight w:val="none"/>
                <w:lang w:val="en-US" w:eastAsia="zh-CN"/>
              </w:rPr>
              <w:t>冷凝</w:t>
            </w:r>
            <w:r>
              <w:rPr>
                <w:color w:val="auto"/>
                <w:highlight w:val="none"/>
              </w:rPr>
              <w:t>循环水循环使用，定期补充，不外排；</w:t>
            </w:r>
            <w:r>
              <w:rPr>
                <w:rFonts w:hint="eastAsia"/>
                <w:color w:val="auto"/>
                <w:highlight w:val="none"/>
                <w:lang w:val="en-US" w:eastAsia="zh-CN"/>
              </w:rPr>
              <w:t>绿化洒水用水，全部蒸发损耗，不外排；</w:t>
            </w:r>
            <w:r>
              <w:rPr>
                <w:rFonts w:hint="eastAsia"/>
                <w:color w:val="auto"/>
                <w:kern w:val="24"/>
                <w:highlight w:val="none"/>
                <w:lang w:val="en-US" w:eastAsia="zh-CN"/>
              </w:rPr>
              <w:t>肥料产线生产用水随产品带走，不外排</w:t>
            </w:r>
            <w:r>
              <w:rPr>
                <w:color w:val="auto"/>
                <w:highlight w:val="none"/>
              </w:rPr>
              <w:t>，无生产废水产生</w:t>
            </w:r>
            <w:r>
              <w:rPr>
                <w:rFonts w:hint="eastAsia"/>
                <w:color w:val="auto"/>
                <w:kern w:val="24"/>
                <w:highlight w:val="none"/>
                <w:lang w:val="en-US" w:eastAsia="zh-CN"/>
              </w:rPr>
              <w:t>。</w:t>
            </w:r>
            <w:r>
              <w:rPr>
                <w:color w:val="auto"/>
                <w:highlight w:val="none"/>
              </w:rPr>
              <w:t>运营期产生的废水主要为生活污水。</w:t>
            </w:r>
          </w:p>
          <w:p w14:paraId="4D45E6C0">
            <w:pPr>
              <w:pStyle w:val="11"/>
              <w:bidi w:val="0"/>
              <w:rPr>
                <w:rFonts w:hint="eastAsia"/>
                <w:b w:val="0"/>
                <w:bCs w:val="0"/>
                <w:color w:val="auto"/>
                <w:sz w:val="24"/>
                <w:highlight w:val="none"/>
                <w:lang w:eastAsia="zh-CN"/>
              </w:rPr>
            </w:pPr>
            <w:r>
              <w:rPr>
                <w:rFonts w:hint="eastAsia"/>
                <w:color w:val="auto"/>
                <w:highlight w:val="none"/>
              </w:rPr>
              <w:t>本项目劳动定员共12人，厂区内设有食堂，参照《行业用水定额》（DB61/T943-2020），用水定额取80L/d·人，则员工生活用水量共为0.96m</w:t>
            </w:r>
            <w:r>
              <w:rPr>
                <w:rFonts w:hint="eastAsia"/>
                <w:color w:val="auto"/>
                <w:highlight w:val="none"/>
                <w:vertAlign w:val="superscript"/>
              </w:rPr>
              <w:t>3</w:t>
            </w:r>
            <w:r>
              <w:rPr>
                <w:rFonts w:hint="eastAsia"/>
                <w:color w:val="auto"/>
                <w:highlight w:val="none"/>
              </w:rPr>
              <w:t>/d，350.4m</w:t>
            </w:r>
            <w:r>
              <w:rPr>
                <w:rFonts w:hint="eastAsia"/>
                <w:color w:val="auto"/>
                <w:highlight w:val="none"/>
                <w:vertAlign w:val="superscript"/>
              </w:rPr>
              <w:t>3</w:t>
            </w:r>
            <w:r>
              <w:rPr>
                <w:rFonts w:hint="eastAsia"/>
                <w:color w:val="auto"/>
                <w:highlight w:val="none"/>
              </w:rPr>
              <w:t>/a，产污系数以0.8计，生活污水产生量0.77m</w:t>
            </w:r>
            <w:r>
              <w:rPr>
                <w:rFonts w:hint="eastAsia"/>
                <w:color w:val="auto"/>
                <w:highlight w:val="none"/>
                <w:vertAlign w:val="superscript"/>
              </w:rPr>
              <w:t>3</w:t>
            </w:r>
            <w:r>
              <w:rPr>
                <w:rFonts w:hint="eastAsia"/>
                <w:color w:val="auto"/>
                <w:highlight w:val="none"/>
              </w:rPr>
              <w:t>/d，280.32m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b w:val="0"/>
                <w:bCs w:val="0"/>
                <w:color w:val="auto"/>
                <w:sz w:val="24"/>
                <w:highlight w:val="none"/>
                <w:lang w:eastAsia="zh-CN"/>
              </w:rPr>
              <w:t>主要污染物为COD、BOD</w:t>
            </w:r>
            <w:r>
              <w:rPr>
                <w:rFonts w:hint="eastAsia"/>
                <w:b w:val="0"/>
                <w:bCs w:val="0"/>
                <w:color w:val="auto"/>
                <w:sz w:val="24"/>
                <w:highlight w:val="none"/>
                <w:vertAlign w:val="subscript"/>
                <w:lang w:eastAsia="zh-CN"/>
              </w:rPr>
              <w:t>5</w:t>
            </w:r>
            <w:r>
              <w:rPr>
                <w:rFonts w:hint="eastAsia"/>
                <w:b w:val="0"/>
                <w:bCs w:val="0"/>
                <w:color w:val="auto"/>
                <w:sz w:val="24"/>
                <w:highlight w:val="none"/>
                <w:lang w:eastAsia="zh-CN"/>
              </w:rPr>
              <w:t>、SS、NH</w:t>
            </w:r>
            <w:r>
              <w:rPr>
                <w:rFonts w:hint="eastAsia"/>
                <w:b w:val="0"/>
                <w:bCs w:val="0"/>
                <w:color w:val="auto"/>
                <w:sz w:val="24"/>
                <w:highlight w:val="none"/>
                <w:vertAlign w:val="subscript"/>
                <w:lang w:eastAsia="zh-CN"/>
              </w:rPr>
              <w:t>3</w:t>
            </w:r>
            <w:r>
              <w:rPr>
                <w:rFonts w:hint="eastAsia"/>
                <w:b w:val="0"/>
                <w:bCs w:val="0"/>
                <w:color w:val="auto"/>
                <w:sz w:val="24"/>
                <w:highlight w:val="none"/>
                <w:lang w:eastAsia="zh-CN"/>
              </w:rPr>
              <w:t>-N。</w:t>
            </w:r>
          </w:p>
          <w:p w14:paraId="0549D852">
            <w:pPr>
              <w:pStyle w:val="11"/>
              <w:bidi w:val="0"/>
              <w:rPr>
                <w:rFonts w:hint="eastAsia"/>
                <w:color w:val="auto"/>
                <w:highlight w:val="none"/>
                <w:lang w:val="en-US" w:eastAsia="zh-CN"/>
              </w:rPr>
            </w:pPr>
            <w:r>
              <w:rPr>
                <w:rFonts w:hint="eastAsia"/>
                <w:color w:val="auto"/>
                <w:sz w:val="24"/>
                <w:highlight w:val="none"/>
              </w:rPr>
              <w:t>生活污水经</w:t>
            </w:r>
            <w:r>
              <w:rPr>
                <w:rFonts w:hint="eastAsia"/>
                <w:color w:val="auto"/>
                <w:sz w:val="24"/>
                <w:highlight w:val="none"/>
                <w:lang w:val="en-US" w:eastAsia="zh-CN"/>
              </w:rPr>
              <w:t>化粪池</w:t>
            </w:r>
            <w:r>
              <w:rPr>
                <w:rFonts w:hint="eastAsia"/>
                <w:color w:val="auto"/>
                <w:sz w:val="24"/>
                <w:highlight w:val="none"/>
              </w:rPr>
              <w:t>（化粪池容积为</w:t>
            </w:r>
            <w:r>
              <w:rPr>
                <w:rFonts w:hint="eastAsia"/>
                <w:color w:val="auto"/>
                <w:sz w:val="24"/>
                <w:highlight w:val="none"/>
                <w:lang w:val="en-US" w:eastAsia="zh-CN"/>
              </w:rPr>
              <w:t>8</w:t>
            </w:r>
            <w:r>
              <w:rPr>
                <w:rFonts w:hint="eastAsia"/>
                <w:color w:val="auto"/>
                <w:sz w:val="24"/>
                <w:highlight w:val="none"/>
              </w:rPr>
              <w:t>m</w:t>
            </w:r>
            <w:r>
              <w:rPr>
                <w:rFonts w:hint="eastAsia"/>
                <w:color w:val="auto"/>
                <w:sz w:val="24"/>
                <w:highlight w:val="none"/>
                <w:vertAlign w:val="superscript"/>
                <w:lang w:val="en-US" w:eastAsia="zh-CN"/>
              </w:rPr>
              <w:t>3</w:t>
            </w:r>
            <w:r>
              <w:rPr>
                <w:rFonts w:hint="eastAsia"/>
                <w:color w:val="auto"/>
                <w:sz w:val="24"/>
                <w:highlight w:val="none"/>
                <w:lang w:eastAsia="zh-CN"/>
              </w:rPr>
              <w:t>）</w:t>
            </w:r>
            <w:r>
              <w:rPr>
                <w:rFonts w:hint="eastAsia"/>
                <w:color w:val="auto"/>
                <w:sz w:val="24"/>
                <w:highlight w:val="none"/>
                <w:lang w:val="en-US" w:eastAsia="zh-CN"/>
              </w:rPr>
              <w:t>处理，定期清掏</w:t>
            </w:r>
            <w:r>
              <w:rPr>
                <w:rFonts w:hint="eastAsia"/>
                <w:color w:val="auto"/>
                <w:highlight w:val="none"/>
                <w:lang w:val="en-US" w:eastAsia="zh-CN"/>
              </w:rPr>
              <w:t>用作</w:t>
            </w:r>
            <w:r>
              <w:rPr>
                <w:color w:val="auto"/>
                <w:highlight w:val="none"/>
              </w:rPr>
              <w:t>周边农田施肥</w:t>
            </w:r>
            <w:r>
              <w:rPr>
                <w:rFonts w:hint="eastAsia"/>
                <w:color w:val="auto"/>
                <w:highlight w:val="none"/>
                <w:lang w:eastAsia="zh-CN"/>
              </w:rPr>
              <w:t>，</w:t>
            </w:r>
            <w:r>
              <w:rPr>
                <w:rFonts w:hint="eastAsia"/>
                <w:color w:val="auto"/>
                <w:highlight w:val="none"/>
                <w:lang w:val="en-US" w:eastAsia="zh-CN"/>
              </w:rPr>
              <w:t>不外排。</w:t>
            </w:r>
          </w:p>
          <w:p w14:paraId="49D3FBA1">
            <w:pPr>
              <w:pStyle w:val="11"/>
              <w:bidi w:val="0"/>
              <w:rPr>
                <w:rFonts w:hint="default"/>
                <w:color w:val="auto"/>
                <w:highlight w:val="none"/>
                <w:lang w:val="en-US" w:eastAsia="zh-CN"/>
              </w:rPr>
            </w:pPr>
            <w:r>
              <w:rPr>
                <w:rFonts w:hint="default"/>
                <w:color w:val="auto"/>
                <w:highlight w:val="none"/>
                <w:lang w:val="en-US" w:eastAsia="zh-CN"/>
              </w:rPr>
              <w:t>本项目运营期废水污染物产排情况见表</w:t>
            </w:r>
            <w:r>
              <w:rPr>
                <w:rFonts w:hint="eastAsia"/>
                <w:color w:val="auto"/>
                <w:highlight w:val="none"/>
                <w:lang w:val="en-US" w:eastAsia="zh-CN"/>
              </w:rPr>
              <w:t>4-11</w:t>
            </w:r>
            <w:r>
              <w:rPr>
                <w:rFonts w:hint="default"/>
                <w:color w:val="auto"/>
                <w:highlight w:val="none"/>
                <w:lang w:val="en-US" w:eastAsia="zh-CN"/>
              </w:rPr>
              <w:t>。</w:t>
            </w:r>
          </w:p>
          <w:p w14:paraId="1BE2C47B">
            <w:pPr>
              <w:pStyle w:val="32"/>
              <w:bidi w:val="0"/>
              <w:rPr>
                <w:rFonts w:hint="eastAsia"/>
                <w:color w:val="auto"/>
                <w:highlight w:val="none"/>
                <w:lang w:val="en-US" w:eastAsia="zh-CN"/>
              </w:rPr>
            </w:pPr>
            <w:r>
              <w:rPr>
                <w:rFonts w:hint="eastAsia"/>
                <w:color w:val="auto"/>
                <w:highlight w:val="none"/>
                <w:lang w:val="en-US" w:eastAsia="zh-CN"/>
              </w:rPr>
              <w:t>表4-11     运营期废水污染物产排情况一览表</w:t>
            </w:r>
          </w:p>
          <w:tbl>
            <w:tblPr>
              <w:tblStyle w:val="2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64"/>
              <w:gridCol w:w="573"/>
              <w:gridCol w:w="600"/>
              <w:gridCol w:w="759"/>
              <w:gridCol w:w="759"/>
              <w:gridCol w:w="732"/>
              <w:gridCol w:w="697"/>
              <w:gridCol w:w="847"/>
              <w:gridCol w:w="759"/>
              <w:gridCol w:w="724"/>
              <w:gridCol w:w="825"/>
            </w:tblGrid>
            <w:tr w14:paraId="0D051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2" w:hRule="atLeast"/>
              </w:trPr>
              <w:tc>
                <w:tcPr>
                  <w:tcW w:w="664" w:type="dxa"/>
                  <w:vMerge w:val="restart"/>
                  <w:vAlign w:val="center"/>
                </w:tcPr>
                <w:p w14:paraId="2AD85145">
                  <w:pPr>
                    <w:pStyle w:val="49"/>
                    <w:bidi w:val="0"/>
                    <w:jc w:val="center"/>
                    <w:rPr>
                      <w:b/>
                      <w:bCs/>
                      <w:color w:val="auto"/>
                      <w:highlight w:val="none"/>
                    </w:rPr>
                  </w:pPr>
                  <w:r>
                    <w:rPr>
                      <w:b/>
                      <w:bCs/>
                      <w:color w:val="auto"/>
                      <w:highlight w:val="none"/>
                    </w:rPr>
                    <w:t>污染源</w:t>
                  </w:r>
                </w:p>
              </w:tc>
              <w:tc>
                <w:tcPr>
                  <w:tcW w:w="1173" w:type="dxa"/>
                  <w:gridSpan w:val="2"/>
                  <w:tcBorders>
                    <w:bottom w:val="single" w:color="000000" w:sz="4" w:space="0"/>
                  </w:tcBorders>
                  <w:vAlign w:val="center"/>
                </w:tcPr>
                <w:p w14:paraId="7468F7DE">
                  <w:pPr>
                    <w:pStyle w:val="49"/>
                    <w:bidi w:val="0"/>
                    <w:jc w:val="center"/>
                    <w:rPr>
                      <w:b/>
                      <w:bCs/>
                      <w:color w:val="auto"/>
                      <w:highlight w:val="none"/>
                    </w:rPr>
                  </w:pPr>
                  <w:r>
                    <w:rPr>
                      <w:b/>
                      <w:bCs/>
                      <w:color w:val="auto"/>
                      <w:highlight w:val="none"/>
                    </w:rPr>
                    <w:t>废水量</w:t>
                  </w:r>
                </w:p>
              </w:tc>
              <w:tc>
                <w:tcPr>
                  <w:tcW w:w="759" w:type="dxa"/>
                  <w:vMerge w:val="restart"/>
                  <w:vAlign w:val="center"/>
                </w:tcPr>
                <w:p w14:paraId="0076D1DF">
                  <w:pPr>
                    <w:pStyle w:val="49"/>
                    <w:bidi w:val="0"/>
                    <w:jc w:val="center"/>
                    <w:rPr>
                      <w:b/>
                      <w:bCs/>
                      <w:color w:val="auto"/>
                      <w:highlight w:val="none"/>
                    </w:rPr>
                  </w:pPr>
                  <w:r>
                    <w:rPr>
                      <w:b/>
                      <w:bCs/>
                      <w:color w:val="auto"/>
                      <w:highlight w:val="none"/>
                    </w:rPr>
                    <w:t>污染物</w:t>
                  </w:r>
                </w:p>
              </w:tc>
              <w:tc>
                <w:tcPr>
                  <w:tcW w:w="1491" w:type="dxa"/>
                  <w:gridSpan w:val="2"/>
                  <w:tcBorders>
                    <w:bottom w:val="single" w:color="000000" w:sz="4" w:space="0"/>
                  </w:tcBorders>
                  <w:vAlign w:val="center"/>
                </w:tcPr>
                <w:p w14:paraId="291F994F">
                  <w:pPr>
                    <w:pStyle w:val="49"/>
                    <w:bidi w:val="0"/>
                    <w:jc w:val="center"/>
                    <w:rPr>
                      <w:b/>
                      <w:bCs/>
                      <w:color w:val="auto"/>
                      <w:highlight w:val="none"/>
                    </w:rPr>
                  </w:pPr>
                  <w:r>
                    <w:rPr>
                      <w:b/>
                      <w:bCs/>
                      <w:color w:val="auto"/>
                      <w:highlight w:val="none"/>
                    </w:rPr>
                    <w:t>污染物产生情况</w:t>
                  </w:r>
                </w:p>
              </w:tc>
              <w:tc>
                <w:tcPr>
                  <w:tcW w:w="1544" w:type="dxa"/>
                  <w:gridSpan w:val="2"/>
                  <w:tcBorders>
                    <w:right w:val="single" w:color="000000" w:sz="4" w:space="0"/>
                  </w:tcBorders>
                  <w:vAlign w:val="center"/>
                </w:tcPr>
                <w:p w14:paraId="53BD1B34">
                  <w:pPr>
                    <w:pStyle w:val="49"/>
                    <w:bidi w:val="0"/>
                    <w:jc w:val="center"/>
                    <w:rPr>
                      <w:b/>
                      <w:bCs/>
                      <w:color w:val="auto"/>
                      <w:highlight w:val="none"/>
                    </w:rPr>
                  </w:pPr>
                  <w:r>
                    <w:rPr>
                      <w:b/>
                      <w:bCs/>
                      <w:color w:val="auto"/>
                      <w:highlight w:val="none"/>
                    </w:rPr>
                    <w:t>处理措施及去除率</w:t>
                  </w:r>
                </w:p>
              </w:tc>
              <w:tc>
                <w:tcPr>
                  <w:tcW w:w="1483" w:type="dxa"/>
                  <w:gridSpan w:val="2"/>
                  <w:tcBorders>
                    <w:left w:val="single" w:color="000000" w:sz="4" w:space="0"/>
                    <w:right w:val="single" w:color="000000" w:sz="4" w:space="0"/>
                  </w:tcBorders>
                  <w:vAlign w:val="center"/>
                </w:tcPr>
                <w:p w14:paraId="6C002ACE">
                  <w:pPr>
                    <w:pStyle w:val="49"/>
                    <w:bidi w:val="0"/>
                    <w:jc w:val="center"/>
                    <w:rPr>
                      <w:b/>
                      <w:bCs/>
                      <w:color w:val="auto"/>
                      <w:highlight w:val="none"/>
                    </w:rPr>
                  </w:pPr>
                  <w:r>
                    <w:rPr>
                      <w:b/>
                      <w:bCs/>
                      <w:color w:val="auto"/>
                      <w:highlight w:val="none"/>
                    </w:rPr>
                    <w:t>污染物排放情况</w:t>
                  </w:r>
                </w:p>
              </w:tc>
              <w:tc>
                <w:tcPr>
                  <w:tcW w:w="825" w:type="dxa"/>
                  <w:vMerge w:val="restart"/>
                  <w:tcBorders>
                    <w:left w:val="single" w:color="000000" w:sz="4" w:space="0"/>
                  </w:tcBorders>
                  <w:vAlign w:val="center"/>
                </w:tcPr>
                <w:p w14:paraId="0DA13D46">
                  <w:pPr>
                    <w:pStyle w:val="49"/>
                    <w:bidi w:val="0"/>
                    <w:jc w:val="center"/>
                    <w:rPr>
                      <w:b/>
                      <w:bCs/>
                      <w:color w:val="auto"/>
                      <w:highlight w:val="none"/>
                    </w:rPr>
                  </w:pPr>
                  <w:r>
                    <w:rPr>
                      <w:b/>
                      <w:bCs/>
                      <w:color w:val="auto"/>
                      <w:highlight w:val="none"/>
                    </w:rPr>
                    <w:t>排放去向</w:t>
                  </w:r>
                </w:p>
              </w:tc>
            </w:tr>
            <w:tr w14:paraId="5919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664" w:type="dxa"/>
                  <w:vMerge w:val="continue"/>
                  <w:tcBorders>
                    <w:top w:val="nil"/>
                  </w:tcBorders>
                  <w:vAlign w:val="center"/>
                </w:tcPr>
                <w:p w14:paraId="53DCB9A4">
                  <w:pPr>
                    <w:pStyle w:val="49"/>
                    <w:bidi w:val="0"/>
                    <w:jc w:val="center"/>
                    <w:rPr>
                      <w:color w:val="auto"/>
                      <w:highlight w:val="none"/>
                    </w:rPr>
                  </w:pPr>
                </w:p>
              </w:tc>
              <w:tc>
                <w:tcPr>
                  <w:tcW w:w="573" w:type="dxa"/>
                  <w:tcBorders>
                    <w:top w:val="single" w:color="000000" w:sz="4" w:space="0"/>
                    <w:right w:val="single" w:color="000000" w:sz="4" w:space="0"/>
                  </w:tcBorders>
                  <w:vAlign w:val="center"/>
                </w:tcPr>
                <w:p w14:paraId="32EED627">
                  <w:pPr>
                    <w:pStyle w:val="49"/>
                    <w:bidi w:val="0"/>
                    <w:jc w:val="center"/>
                    <w:rPr>
                      <w:b/>
                      <w:bCs/>
                      <w:color w:val="auto"/>
                      <w:highlight w:val="none"/>
                    </w:rPr>
                  </w:pPr>
                  <w:r>
                    <w:rPr>
                      <w:b/>
                      <w:bCs/>
                      <w:color w:val="auto"/>
                      <w:highlight w:val="none"/>
                    </w:rPr>
                    <w:t>m</w:t>
                  </w:r>
                  <w:r>
                    <w:rPr>
                      <w:b/>
                      <w:bCs/>
                      <w:color w:val="auto"/>
                      <w:highlight w:val="none"/>
                      <w:vertAlign w:val="superscript"/>
                    </w:rPr>
                    <w:t>3</w:t>
                  </w:r>
                  <w:r>
                    <w:rPr>
                      <w:b/>
                      <w:bCs/>
                      <w:color w:val="auto"/>
                      <w:highlight w:val="none"/>
                    </w:rPr>
                    <w:t>/d</w:t>
                  </w:r>
                </w:p>
              </w:tc>
              <w:tc>
                <w:tcPr>
                  <w:tcW w:w="600" w:type="dxa"/>
                  <w:tcBorders>
                    <w:top w:val="single" w:color="000000" w:sz="4" w:space="0"/>
                    <w:left w:val="single" w:color="000000" w:sz="4" w:space="0"/>
                  </w:tcBorders>
                  <w:vAlign w:val="center"/>
                </w:tcPr>
                <w:p w14:paraId="349A9B9C">
                  <w:pPr>
                    <w:pStyle w:val="49"/>
                    <w:bidi w:val="0"/>
                    <w:jc w:val="center"/>
                    <w:rPr>
                      <w:b/>
                      <w:bCs/>
                      <w:color w:val="auto"/>
                      <w:highlight w:val="none"/>
                    </w:rPr>
                  </w:pPr>
                  <w:r>
                    <w:rPr>
                      <w:b/>
                      <w:bCs/>
                      <w:color w:val="auto"/>
                      <w:highlight w:val="none"/>
                    </w:rPr>
                    <w:t>m</w:t>
                  </w:r>
                  <w:r>
                    <w:rPr>
                      <w:b/>
                      <w:bCs/>
                      <w:color w:val="auto"/>
                      <w:highlight w:val="none"/>
                      <w:vertAlign w:val="superscript"/>
                    </w:rPr>
                    <w:t>3</w:t>
                  </w:r>
                  <w:r>
                    <w:rPr>
                      <w:b/>
                      <w:bCs/>
                      <w:color w:val="auto"/>
                      <w:highlight w:val="none"/>
                    </w:rPr>
                    <w:t>/a</w:t>
                  </w:r>
                </w:p>
              </w:tc>
              <w:tc>
                <w:tcPr>
                  <w:tcW w:w="759" w:type="dxa"/>
                  <w:vMerge w:val="continue"/>
                  <w:tcBorders>
                    <w:top w:val="nil"/>
                  </w:tcBorders>
                  <w:vAlign w:val="center"/>
                </w:tcPr>
                <w:p w14:paraId="537C3B8B">
                  <w:pPr>
                    <w:pStyle w:val="49"/>
                    <w:bidi w:val="0"/>
                    <w:jc w:val="center"/>
                    <w:rPr>
                      <w:b/>
                      <w:bCs/>
                      <w:color w:val="auto"/>
                      <w:highlight w:val="none"/>
                    </w:rPr>
                  </w:pPr>
                </w:p>
              </w:tc>
              <w:tc>
                <w:tcPr>
                  <w:tcW w:w="759" w:type="dxa"/>
                  <w:tcBorders>
                    <w:top w:val="single" w:color="000000" w:sz="4" w:space="0"/>
                  </w:tcBorders>
                  <w:vAlign w:val="center"/>
                </w:tcPr>
                <w:p w14:paraId="2FA8A6B1">
                  <w:pPr>
                    <w:pStyle w:val="49"/>
                    <w:bidi w:val="0"/>
                    <w:jc w:val="center"/>
                    <w:rPr>
                      <w:b/>
                      <w:bCs/>
                      <w:color w:val="auto"/>
                      <w:highlight w:val="none"/>
                    </w:rPr>
                  </w:pPr>
                  <w:r>
                    <w:rPr>
                      <w:b/>
                      <w:bCs/>
                      <w:color w:val="auto"/>
                      <w:highlight w:val="none"/>
                    </w:rPr>
                    <w:t>浓度(mg/L)</w:t>
                  </w:r>
                </w:p>
              </w:tc>
              <w:tc>
                <w:tcPr>
                  <w:tcW w:w="732" w:type="dxa"/>
                  <w:vAlign w:val="center"/>
                </w:tcPr>
                <w:p w14:paraId="44CE6257">
                  <w:pPr>
                    <w:pStyle w:val="49"/>
                    <w:bidi w:val="0"/>
                    <w:jc w:val="center"/>
                    <w:rPr>
                      <w:b/>
                      <w:bCs/>
                      <w:color w:val="auto"/>
                      <w:highlight w:val="none"/>
                    </w:rPr>
                  </w:pPr>
                  <w:r>
                    <w:rPr>
                      <w:b/>
                      <w:bCs/>
                      <w:color w:val="auto"/>
                      <w:highlight w:val="none"/>
                    </w:rPr>
                    <w:t>产生量（t/a）</w:t>
                  </w:r>
                </w:p>
              </w:tc>
              <w:tc>
                <w:tcPr>
                  <w:tcW w:w="697" w:type="dxa"/>
                  <w:vAlign w:val="center"/>
                </w:tcPr>
                <w:p w14:paraId="7F08D0FC">
                  <w:pPr>
                    <w:pStyle w:val="49"/>
                    <w:bidi w:val="0"/>
                    <w:jc w:val="center"/>
                    <w:rPr>
                      <w:b/>
                      <w:bCs/>
                      <w:color w:val="auto"/>
                      <w:highlight w:val="none"/>
                    </w:rPr>
                  </w:pPr>
                  <w:r>
                    <w:rPr>
                      <w:b/>
                      <w:bCs/>
                      <w:color w:val="auto"/>
                      <w:highlight w:val="none"/>
                    </w:rPr>
                    <w:t>措施</w:t>
                  </w:r>
                </w:p>
              </w:tc>
              <w:tc>
                <w:tcPr>
                  <w:tcW w:w="847" w:type="dxa"/>
                  <w:tcBorders>
                    <w:right w:val="single" w:color="000000" w:sz="4" w:space="0"/>
                  </w:tcBorders>
                  <w:vAlign w:val="center"/>
                </w:tcPr>
                <w:p w14:paraId="684A9D7B">
                  <w:pPr>
                    <w:pStyle w:val="49"/>
                    <w:bidi w:val="0"/>
                    <w:jc w:val="center"/>
                    <w:rPr>
                      <w:b/>
                      <w:bCs/>
                      <w:color w:val="auto"/>
                      <w:highlight w:val="none"/>
                    </w:rPr>
                  </w:pPr>
                  <w:r>
                    <w:rPr>
                      <w:b/>
                      <w:bCs/>
                      <w:color w:val="auto"/>
                      <w:highlight w:val="none"/>
                    </w:rPr>
                    <w:t>去除率</w:t>
                  </w:r>
                </w:p>
              </w:tc>
              <w:tc>
                <w:tcPr>
                  <w:tcW w:w="759" w:type="dxa"/>
                  <w:tcBorders>
                    <w:left w:val="single" w:color="000000" w:sz="4" w:space="0"/>
                    <w:right w:val="single" w:color="000000" w:sz="4" w:space="0"/>
                  </w:tcBorders>
                  <w:vAlign w:val="center"/>
                </w:tcPr>
                <w:p w14:paraId="71404A90">
                  <w:pPr>
                    <w:pStyle w:val="49"/>
                    <w:bidi w:val="0"/>
                    <w:jc w:val="center"/>
                    <w:rPr>
                      <w:b/>
                      <w:bCs/>
                      <w:color w:val="auto"/>
                      <w:highlight w:val="none"/>
                    </w:rPr>
                  </w:pPr>
                  <w:r>
                    <w:rPr>
                      <w:b/>
                      <w:bCs/>
                      <w:color w:val="auto"/>
                      <w:highlight w:val="none"/>
                    </w:rPr>
                    <w:t>浓度(mg/L)</w:t>
                  </w:r>
                </w:p>
              </w:tc>
              <w:tc>
                <w:tcPr>
                  <w:tcW w:w="724" w:type="dxa"/>
                  <w:tcBorders>
                    <w:left w:val="single" w:color="000000" w:sz="4" w:space="0"/>
                    <w:right w:val="single" w:color="000000" w:sz="4" w:space="0"/>
                  </w:tcBorders>
                  <w:vAlign w:val="center"/>
                </w:tcPr>
                <w:p w14:paraId="783DF605">
                  <w:pPr>
                    <w:pStyle w:val="49"/>
                    <w:bidi w:val="0"/>
                    <w:jc w:val="center"/>
                    <w:rPr>
                      <w:b/>
                      <w:bCs/>
                      <w:color w:val="auto"/>
                      <w:highlight w:val="none"/>
                    </w:rPr>
                  </w:pPr>
                  <w:r>
                    <w:rPr>
                      <w:b/>
                      <w:bCs/>
                      <w:color w:val="auto"/>
                      <w:highlight w:val="none"/>
                    </w:rPr>
                    <w:t>排放量（t/a）</w:t>
                  </w:r>
                </w:p>
              </w:tc>
              <w:tc>
                <w:tcPr>
                  <w:tcW w:w="825" w:type="dxa"/>
                  <w:vMerge w:val="continue"/>
                  <w:tcBorders>
                    <w:top w:val="nil"/>
                    <w:left w:val="single" w:color="000000" w:sz="4" w:space="0"/>
                  </w:tcBorders>
                  <w:vAlign w:val="center"/>
                </w:tcPr>
                <w:p w14:paraId="65008D0B">
                  <w:pPr>
                    <w:pStyle w:val="49"/>
                    <w:bidi w:val="0"/>
                    <w:jc w:val="center"/>
                    <w:rPr>
                      <w:color w:val="auto"/>
                      <w:highlight w:val="none"/>
                    </w:rPr>
                  </w:pPr>
                </w:p>
              </w:tc>
            </w:tr>
            <w:tr w14:paraId="68BB2F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7" w:hRule="atLeast"/>
              </w:trPr>
              <w:tc>
                <w:tcPr>
                  <w:tcW w:w="664" w:type="dxa"/>
                  <w:vMerge w:val="restart"/>
                  <w:vAlign w:val="center"/>
                </w:tcPr>
                <w:p w14:paraId="3796015C">
                  <w:pPr>
                    <w:pStyle w:val="49"/>
                    <w:bidi w:val="0"/>
                    <w:jc w:val="center"/>
                    <w:rPr>
                      <w:color w:val="auto"/>
                      <w:highlight w:val="none"/>
                    </w:rPr>
                  </w:pPr>
                  <w:r>
                    <w:rPr>
                      <w:color w:val="auto"/>
                      <w:highlight w:val="none"/>
                    </w:rPr>
                    <w:t>生活污水</w:t>
                  </w:r>
                </w:p>
              </w:tc>
              <w:tc>
                <w:tcPr>
                  <w:tcW w:w="573" w:type="dxa"/>
                  <w:vMerge w:val="restart"/>
                  <w:vAlign w:val="center"/>
                </w:tcPr>
                <w:p w14:paraId="14C3910C">
                  <w:pPr>
                    <w:pStyle w:val="49"/>
                    <w:bidi w:val="0"/>
                    <w:jc w:val="center"/>
                    <w:rPr>
                      <w:rFonts w:hint="default" w:eastAsia="宋体"/>
                      <w:color w:val="auto"/>
                      <w:highlight w:val="none"/>
                      <w:lang w:val="en-US" w:eastAsia="zh-CN"/>
                    </w:rPr>
                  </w:pPr>
                  <w:r>
                    <w:rPr>
                      <w:rFonts w:hint="eastAsia"/>
                      <w:color w:val="auto"/>
                      <w:highlight w:val="none"/>
                      <w:lang w:val="en-US" w:eastAsia="zh-CN"/>
                    </w:rPr>
                    <w:t>0.77</w:t>
                  </w:r>
                </w:p>
              </w:tc>
              <w:tc>
                <w:tcPr>
                  <w:tcW w:w="600" w:type="dxa"/>
                  <w:vMerge w:val="restart"/>
                  <w:vAlign w:val="center"/>
                </w:tcPr>
                <w:p w14:paraId="187467F2">
                  <w:pPr>
                    <w:pStyle w:val="49"/>
                    <w:bidi w:val="0"/>
                    <w:jc w:val="center"/>
                    <w:rPr>
                      <w:rFonts w:hint="default"/>
                      <w:color w:val="auto"/>
                      <w:highlight w:val="none"/>
                      <w:lang w:val="en-US"/>
                    </w:rPr>
                  </w:pPr>
                  <w:r>
                    <w:rPr>
                      <w:rFonts w:hint="eastAsia"/>
                      <w:color w:val="auto"/>
                      <w:highlight w:val="none"/>
                      <w:lang w:val="en-US" w:eastAsia="zh-CN"/>
                    </w:rPr>
                    <w:t>280.32</w:t>
                  </w:r>
                </w:p>
              </w:tc>
              <w:tc>
                <w:tcPr>
                  <w:tcW w:w="759" w:type="dxa"/>
                  <w:vAlign w:val="center"/>
                </w:tcPr>
                <w:p w14:paraId="4AC16FE9">
                  <w:pPr>
                    <w:pStyle w:val="49"/>
                    <w:bidi w:val="0"/>
                    <w:jc w:val="center"/>
                    <w:rPr>
                      <w:color w:val="auto"/>
                      <w:highlight w:val="none"/>
                    </w:rPr>
                  </w:pPr>
                  <w:r>
                    <w:rPr>
                      <w:color w:val="auto"/>
                      <w:highlight w:val="none"/>
                    </w:rPr>
                    <w:t>COD</w:t>
                  </w:r>
                </w:p>
              </w:tc>
              <w:tc>
                <w:tcPr>
                  <w:tcW w:w="759" w:type="dxa"/>
                  <w:vAlign w:val="center"/>
                </w:tcPr>
                <w:p w14:paraId="61744DEE">
                  <w:pPr>
                    <w:pStyle w:val="49"/>
                    <w:bidi w:val="0"/>
                    <w:jc w:val="center"/>
                    <w:rPr>
                      <w:color w:val="auto"/>
                      <w:highlight w:val="none"/>
                    </w:rPr>
                  </w:pPr>
                  <w:r>
                    <w:rPr>
                      <w:color w:val="auto"/>
                      <w:highlight w:val="none"/>
                    </w:rPr>
                    <w:t>300</w:t>
                  </w:r>
                </w:p>
              </w:tc>
              <w:tc>
                <w:tcPr>
                  <w:tcW w:w="732" w:type="dxa"/>
                  <w:vAlign w:val="center"/>
                </w:tcPr>
                <w:p w14:paraId="50DCE1FC">
                  <w:pPr>
                    <w:pStyle w:val="49"/>
                    <w:bidi w:val="0"/>
                    <w:jc w:val="center"/>
                    <w:rPr>
                      <w:rFonts w:hint="default" w:eastAsia="宋体"/>
                      <w:color w:val="auto"/>
                      <w:highlight w:val="none"/>
                      <w:lang w:val="en-US" w:eastAsia="zh-CN"/>
                    </w:rPr>
                  </w:pPr>
                  <w:r>
                    <w:rPr>
                      <w:rFonts w:hint="eastAsia"/>
                      <w:color w:val="auto"/>
                      <w:highlight w:val="none"/>
                      <w:lang w:val="en-US" w:eastAsia="zh-CN"/>
                    </w:rPr>
                    <w:t>0.0841</w:t>
                  </w:r>
                </w:p>
              </w:tc>
              <w:tc>
                <w:tcPr>
                  <w:tcW w:w="697" w:type="dxa"/>
                  <w:vMerge w:val="restart"/>
                  <w:vAlign w:val="center"/>
                </w:tcPr>
                <w:p w14:paraId="29B5726B">
                  <w:pPr>
                    <w:pStyle w:val="49"/>
                    <w:bidi w:val="0"/>
                    <w:jc w:val="center"/>
                    <w:rPr>
                      <w:color w:val="auto"/>
                      <w:highlight w:val="none"/>
                    </w:rPr>
                  </w:pPr>
                  <w:r>
                    <w:rPr>
                      <w:color w:val="auto"/>
                      <w:highlight w:val="none"/>
                    </w:rPr>
                    <w:t>三级化粪池</w:t>
                  </w:r>
                </w:p>
              </w:tc>
              <w:tc>
                <w:tcPr>
                  <w:tcW w:w="847" w:type="dxa"/>
                  <w:tcBorders>
                    <w:right w:val="single" w:color="000000" w:sz="4" w:space="0"/>
                  </w:tcBorders>
                  <w:vAlign w:val="center"/>
                </w:tcPr>
                <w:p w14:paraId="725FF587">
                  <w:pPr>
                    <w:pStyle w:val="49"/>
                    <w:bidi w:val="0"/>
                    <w:jc w:val="center"/>
                    <w:rPr>
                      <w:color w:val="auto"/>
                      <w:highlight w:val="none"/>
                    </w:rPr>
                  </w:pPr>
                  <w:r>
                    <w:rPr>
                      <w:color w:val="auto"/>
                      <w:highlight w:val="none"/>
                    </w:rPr>
                    <w:t>35%</w:t>
                  </w:r>
                </w:p>
              </w:tc>
              <w:tc>
                <w:tcPr>
                  <w:tcW w:w="759" w:type="dxa"/>
                  <w:tcBorders>
                    <w:left w:val="single" w:color="000000" w:sz="4" w:space="0"/>
                    <w:right w:val="single" w:color="000000" w:sz="4" w:space="0"/>
                  </w:tcBorders>
                  <w:vAlign w:val="center"/>
                </w:tcPr>
                <w:p w14:paraId="55D0AABB">
                  <w:pPr>
                    <w:pStyle w:val="49"/>
                    <w:bidi w:val="0"/>
                    <w:jc w:val="center"/>
                    <w:rPr>
                      <w:rFonts w:hint="default" w:eastAsia="宋体"/>
                      <w:color w:val="auto"/>
                      <w:highlight w:val="none"/>
                      <w:lang w:val="en-US" w:eastAsia="zh-CN"/>
                    </w:rPr>
                  </w:pPr>
                  <w:r>
                    <w:rPr>
                      <w:rFonts w:hint="eastAsia"/>
                      <w:color w:val="auto"/>
                      <w:highlight w:val="none"/>
                      <w:lang w:val="en-US" w:eastAsia="zh-CN"/>
                    </w:rPr>
                    <w:t>195</w:t>
                  </w:r>
                </w:p>
              </w:tc>
              <w:tc>
                <w:tcPr>
                  <w:tcW w:w="724" w:type="dxa"/>
                  <w:tcBorders>
                    <w:left w:val="single" w:color="000000" w:sz="4" w:space="0"/>
                    <w:right w:val="single" w:color="000000" w:sz="4" w:space="0"/>
                  </w:tcBorders>
                  <w:vAlign w:val="center"/>
                </w:tcPr>
                <w:p w14:paraId="0EA9C2BF">
                  <w:pPr>
                    <w:pStyle w:val="49"/>
                    <w:bidi w:val="0"/>
                    <w:jc w:val="center"/>
                    <w:rPr>
                      <w:rFonts w:hint="default" w:eastAsia="宋体"/>
                      <w:color w:val="auto"/>
                      <w:highlight w:val="none"/>
                      <w:lang w:val="en-US" w:eastAsia="zh-CN"/>
                    </w:rPr>
                  </w:pPr>
                  <w:r>
                    <w:rPr>
                      <w:rFonts w:hint="eastAsia"/>
                      <w:color w:val="auto"/>
                      <w:highlight w:val="none"/>
                      <w:lang w:val="en-US" w:eastAsia="zh-CN"/>
                    </w:rPr>
                    <w:t>0.0547</w:t>
                  </w:r>
                </w:p>
              </w:tc>
              <w:tc>
                <w:tcPr>
                  <w:tcW w:w="825" w:type="dxa"/>
                  <w:vMerge w:val="restart"/>
                  <w:tcBorders>
                    <w:left w:val="single" w:color="000000" w:sz="4" w:space="0"/>
                  </w:tcBorders>
                  <w:vAlign w:val="center"/>
                </w:tcPr>
                <w:p w14:paraId="66B1FF54">
                  <w:pPr>
                    <w:pStyle w:val="49"/>
                    <w:bidi w:val="0"/>
                    <w:jc w:val="center"/>
                    <w:rPr>
                      <w:color w:val="auto"/>
                      <w:highlight w:val="none"/>
                    </w:rPr>
                  </w:pPr>
                  <w:r>
                    <w:rPr>
                      <w:rFonts w:hint="eastAsia"/>
                      <w:color w:val="auto"/>
                      <w:highlight w:val="none"/>
                      <w:lang w:val="en-US" w:eastAsia="zh-CN"/>
                    </w:rPr>
                    <w:t>定期清掏</w:t>
                  </w:r>
                  <w:r>
                    <w:rPr>
                      <w:color w:val="auto"/>
                      <w:highlight w:val="none"/>
                    </w:rPr>
                    <w:t>用于周边耕地农灌</w:t>
                  </w:r>
                </w:p>
              </w:tc>
            </w:tr>
            <w:tr w14:paraId="6AD41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664" w:type="dxa"/>
                  <w:vMerge w:val="continue"/>
                  <w:tcBorders>
                    <w:top w:val="nil"/>
                  </w:tcBorders>
                  <w:vAlign w:val="center"/>
                </w:tcPr>
                <w:p w14:paraId="557230F1">
                  <w:pPr>
                    <w:pStyle w:val="49"/>
                    <w:bidi w:val="0"/>
                    <w:jc w:val="center"/>
                    <w:rPr>
                      <w:color w:val="auto"/>
                      <w:highlight w:val="none"/>
                    </w:rPr>
                  </w:pPr>
                </w:p>
              </w:tc>
              <w:tc>
                <w:tcPr>
                  <w:tcW w:w="573" w:type="dxa"/>
                  <w:vMerge w:val="continue"/>
                  <w:tcBorders>
                    <w:top w:val="nil"/>
                  </w:tcBorders>
                  <w:vAlign w:val="center"/>
                </w:tcPr>
                <w:p w14:paraId="6FFF182D">
                  <w:pPr>
                    <w:pStyle w:val="49"/>
                    <w:bidi w:val="0"/>
                    <w:jc w:val="center"/>
                    <w:rPr>
                      <w:color w:val="auto"/>
                      <w:highlight w:val="none"/>
                    </w:rPr>
                  </w:pPr>
                </w:p>
              </w:tc>
              <w:tc>
                <w:tcPr>
                  <w:tcW w:w="600" w:type="dxa"/>
                  <w:vMerge w:val="continue"/>
                  <w:tcBorders>
                    <w:top w:val="nil"/>
                  </w:tcBorders>
                  <w:vAlign w:val="center"/>
                </w:tcPr>
                <w:p w14:paraId="3E683677">
                  <w:pPr>
                    <w:pStyle w:val="49"/>
                    <w:bidi w:val="0"/>
                    <w:jc w:val="center"/>
                    <w:rPr>
                      <w:color w:val="auto"/>
                      <w:highlight w:val="none"/>
                    </w:rPr>
                  </w:pPr>
                </w:p>
              </w:tc>
              <w:tc>
                <w:tcPr>
                  <w:tcW w:w="759" w:type="dxa"/>
                  <w:vAlign w:val="center"/>
                </w:tcPr>
                <w:p w14:paraId="334F9353">
                  <w:pPr>
                    <w:pStyle w:val="49"/>
                    <w:bidi w:val="0"/>
                    <w:jc w:val="center"/>
                    <w:rPr>
                      <w:color w:val="auto"/>
                      <w:highlight w:val="none"/>
                    </w:rPr>
                  </w:pPr>
                  <w:r>
                    <w:rPr>
                      <w:color w:val="auto"/>
                      <w:highlight w:val="none"/>
                    </w:rPr>
                    <w:t>BOD</w:t>
                  </w:r>
                  <w:r>
                    <w:rPr>
                      <w:color w:val="auto"/>
                      <w:highlight w:val="none"/>
                      <w:vertAlign w:val="subscript"/>
                    </w:rPr>
                    <w:t>5</w:t>
                  </w:r>
                </w:p>
              </w:tc>
              <w:tc>
                <w:tcPr>
                  <w:tcW w:w="759" w:type="dxa"/>
                  <w:vAlign w:val="center"/>
                </w:tcPr>
                <w:p w14:paraId="2297B1EB">
                  <w:pPr>
                    <w:pStyle w:val="49"/>
                    <w:bidi w:val="0"/>
                    <w:jc w:val="center"/>
                    <w:rPr>
                      <w:color w:val="auto"/>
                      <w:highlight w:val="none"/>
                    </w:rPr>
                  </w:pPr>
                  <w:r>
                    <w:rPr>
                      <w:color w:val="auto"/>
                      <w:highlight w:val="none"/>
                    </w:rPr>
                    <w:t>150</w:t>
                  </w:r>
                </w:p>
              </w:tc>
              <w:tc>
                <w:tcPr>
                  <w:tcW w:w="732" w:type="dxa"/>
                  <w:vAlign w:val="center"/>
                </w:tcPr>
                <w:p w14:paraId="46E28160">
                  <w:pPr>
                    <w:pStyle w:val="49"/>
                    <w:bidi w:val="0"/>
                    <w:jc w:val="center"/>
                    <w:rPr>
                      <w:rFonts w:hint="default" w:eastAsia="宋体"/>
                      <w:color w:val="auto"/>
                      <w:highlight w:val="none"/>
                      <w:lang w:val="en-US" w:eastAsia="zh-CN"/>
                    </w:rPr>
                  </w:pPr>
                  <w:r>
                    <w:rPr>
                      <w:rFonts w:hint="eastAsia"/>
                      <w:color w:val="auto"/>
                      <w:highlight w:val="none"/>
                      <w:lang w:val="en-US" w:eastAsia="zh-CN"/>
                    </w:rPr>
                    <w:t>0.0420</w:t>
                  </w:r>
                </w:p>
              </w:tc>
              <w:tc>
                <w:tcPr>
                  <w:tcW w:w="697" w:type="dxa"/>
                  <w:vMerge w:val="continue"/>
                  <w:tcBorders>
                    <w:top w:val="nil"/>
                  </w:tcBorders>
                  <w:vAlign w:val="center"/>
                </w:tcPr>
                <w:p w14:paraId="176F646A">
                  <w:pPr>
                    <w:pStyle w:val="49"/>
                    <w:bidi w:val="0"/>
                    <w:jc w:val="center"/>
                    <w:rPr>
                      <w:color w:val="auto"/>
                      <w:highlight w:val="none"/>
                    </w:rPr>
                  </w:pPr>
                </w:p>
              </w:tc>
              <w:tc>
                <w:tcPr>
                  <w:tcW w:w="847" w:type="dxa"/>
                  <w:tcBorders>
                    <w:right w:val="single" w:color="000000" w:sz="4" w:space="0"/>
                  </w:tcBorders>
                  <w:vAlign w:val="center"/>
                </w:tcPr>
                <w:p w14:paraId="42ED8ACD">
                  <w:pPr>
                    <w:pStyle w:val="49"/>
                    <w:bidi w:val="0"/>
                    <w:jc w:val="center"/>
                    <w:rPr>
                      <w:color w:val="auto"/>
                      <w:highlight w:val="none"/>
                    </w:rPr>
                  </w:pPr>
                  <w:r>
                    <w:rPr>
                      <w:color w:val="auto"/>
                      <w:highlight w:val="none"/>
                    </w:rPr>
                    <w:t>40%</w:t>
                  </w:r>
                </w:p>
              </w:tc>
              <w:tc>
                <w:tcPr>
                  <w:tcW w:w="759" w:type="dxa"/>
                  <w:tcBorders>
                    <w:left w:val="single" w:color="000000" w:sz="4" w:space="0"/>
                    <w:right w:val="single" w:color="000000" w:sz="4" w:space="0"/>
                  </w:tcBorders>
                  <w:vAlign w:val="center"/>
                </w:tcPr>
                <w:p w14:paraId="5B3FF419">
                  <w:pPr>
                    <w:pStyle w:val="49"/>
                    <w:bidi w:val="0"/>
                    <w:jc w:val="center"/>
                    <w:rPr>
                      <w:rFonts w:hint="default" w:eastAsia="宋体"/>
                      <w:color w:val="auto"/>
                      <w:highlight w:val="none"/>
                      <w:lang w:val="en-US" w:eastAsia="zh-CN"/>
                    </w:rPr>
                  </w:pPr>
                  <w:r>
                    <w:rPr>
                      <w:rFonts w:hint="eastAsia"/>
                      <w:color w:val="auto"/>
                      <w:highlight w:val="none"/>
                      <w:lang w:val="en-US" w:eastAsia="zh-CN"/>
                    </w:rPr>
                    <w:t>90</w:t>
                  </w:r>
                </w:p>
              </w:tc>
              <w:tc>
                <w:tcPr>
                  <w:tcW w:w="724" w:type="dxa"/>
                  <w:tcBorders>
                    <w:left w:val="single" w:color="000000" w:sz="4" w:space="0"/>
                    <w:right w:val="single" w:color="000000" w:sz="4" w:space="0"/>
                  </w:tcBorders>
                  <w:vAlign w:val="center"/>
                </w:tcPr>
                <w:p w14:paraId="1DA6B3B4">
                  <w:pPr>
                    <w:pStyle w:val="49"/>
                    <w:bidi w:val="0"/>
                    <w:jc w:val="center"/>
                    <w:rPr>
                      <w:rFonts w:hint="default" w:eastAsia="宋体"/>
                      <w:color w:val="auto"/>
                      <w:highlight w:val="none"/>
                      <w:lang w:val="en-US" w:eastAsia="zh-CN"/>
                    </w:rPr>
                  </w:pPr>
                  <w:r>
                    <w:rPr>
                      <w:rFonts w:hint="eastAsia"/>
                      <w:color w:val="auto"/>
                      <w:highlight w:val="none"/>
                      <w:lang w:val="en-US" w:eastAsia="zh-CN"/>
                    </w:rPr>
                    <w:t>0.0252</w:t>
                  </w:r>
                </w:p>
              </w:tc>
              <w:tc>
                <w:tcPr>
                  <w:tcW w:w="825" w:type="dxa"/>
                  <w:vMerge w:val="continue"/>
                  <w:tcBorders>
                    <w:top w:val="nil"/>
                    <w:left w:val="single" w:color="000000" w:sz="4" w:space="0"/>
                  </w:tcBorders>
                  <w:vAlign w:val="center"/>
                </w:tcPr>
                <w:p w14:paraId="0468A7CD">
                  <w:pPr>
                    <w:pStyle w:val="49"/>
                    <w:bidi w:val="0"/>
                    <w:jc w:val="center"/>
                    <w:rPr>
                      <w:color w:val="auto"/>
                      <w:highlight w:val="none"/>
                    </w:rPr>
                  </w:pPr>
                </w:p>
              </w:tc>
            </w:tr>
            <w:tr w14:paraId="6D0FBD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64" w:type="dxa"/>
                  <w:vMerge w:val="continue"/>
                  <w:tcBorders>
                    <w:top w:val="nil"/>
                  </w:tcBorders>
                  <w:vAlign w:val="center"/>
                </w:tcPr>
                <w:p w14:paraId="55273844">
                  <w:pPr>
                    <w:pStyle w:val="49"/>
                    <w:bidi w:val="0"/>
                    <w:jc w:val="center"/>
                    <w:rPr>
                      <w:color w:val="auto"/>
                      <w:highlight w:val="none"/>
                    </w:rPr>
                  </w:pPr>
                </w:p>
              </w:tc>
              <w:tc>
                <w:tcPr>
                  <w:tcW w:w="573" w:type="dxa"/>
                  <w:vMerge w:val="continue"/>
                  <w:tcBorders>
                    <w:top w:val="nil"/>
                  </w:tcBorders>
                  <w:vAlign w:val="center"/>
                </w:tcPr>
                <w:p w14:paraId="026633F3">
                  <w:pPr>
                    <w:pStyle w:val="49"/>
                    <w:bidi w:val="0"/>
                    <w:jc w:val="center"/>
                    <w:rPr>
                      <w:color w:val="auto"/>
                      <w:highlight w:val="none"/>
                    </w:rPr>
                  </w:pPr>
                </w:p>
              </w:tc>
              <w:tc>
                <w:tcPr>
                  <w:tcW w:w="600" w:type="dxa"/>
                  <w:vMerge w:val="continue"/>
                  <w:tcBorders>
                    <w:top w:val="nil"/>
                  </w:tcBorders>
                  <w:vAlign w:val="center"/>
                </w:tcPr>
                <w:p w14:paraId="003BD533">
                  <w:pPr>
                    <w:pStyle w:val="49"/>
                    <w:bidi w:val="0"/>
                    <w:jc w:val="center"/>
                    <w:rPr>
                      <w:color w:val="auto"/>
                      <w:highlight w:val="none"/>
                    </w:rPr>
                  </w:pPr>
                </w:p>
              </w:tc>
              <w:tc>
                <w:tcPr>
                  <w:tcW w:w="759" w:type="dxa"/>
                  <w:vAlign w:val="center"/>
                </w:tcPr>
                <w:p w14:paraId="1DA798CE">
                  <w:pPr>
                    <w:pStyle w:val="49"/>
                    <w:bidi w:val="0"/>
                    <w:jc w:val="center"/>
                    <w:rPr>
                      <w:color w:val="auto"/>
                      <w:highlight w:val="none"/>
                    </w:rPr>
                  </w:pPr>
                  <w:r>
                    <w:rPr>
                      <w:color w:val="auto"/>
                      <w:highlight w:val="none"/>
                    </w:rPr>
                    <w:t>SS</w:t>
                  </w:r>
                </w:p>
              </w:tc>
              <w:tc>
                <w:tcPr>
                  <w:tcW w:w="759" w:type="dxa"/>
                  <w:vAlign w:val="center"/>
                </w:tcPr>
                <w:p w14:paraId="5EDF3E87">
                  <w:pPr>
                    <w:pStyle w:val="49"/>
                    <w:bidi w:val="0"/>
                    <w:jc w:val="center"/>
                    <w:rPr>
                      <w:color w:val="auto"/>
                      <w:highlight w:val="none"/>
                    </w:rPr>
                  </w:pPr>
                  <w:r>
                    <w:rPr>
                      <w:color w:val="auto"/>
                      <w:highlight w:val="none"/>
                    </w:rPr>
                    <w:t>200</w:t>
                  </w:r>
                </w:p>
              </w:tc>
              <w:tc>
                <w:tcPr>
                  <w:tcW w:w="732" w:type="dxa"/>
                  <w:vAlign w:val="center"/>
                </w:tcPr>
                <w:p w14:paraId="74721F34">
                  <w:pPr>
                    <w:pStyle w:val="49"/>
                    <w:bidi w:val="0"/>
                    <w:jc w:val="center"/>
                    <w:rPr>
                      <w:rFonts w:hint="default" w:eastAsia="宋体"/>
                      <w:color w:val="auto"/>
                      <w:highlight w:val="none"/>
                      <w:lang w:val="en-US" w:eastAsia="zh-CN"/>
                    </w:rPr>
                  </w:pPr>
                  <w:r>
                    <w:rPr>
                      <w:rFonts w:hint="eastAsia"/>
                      <w:color w:val="auto"/>
                      <w:highlight w:val="none"/>
                      <w:lang w:val="en-US" w:eastAsia="zh-CN"/>
                    </w:rPr>
                    <w:t>0.0561</w:t>
                  </w:r>
                </w:p>
              </w:tc>
              <w:tc>
                <w:tcPr>
                  <w:tcW w:w="697" w:type="dxa"/>
                  <w:vMerge w:val="continue"/>
                  <w:tcBorders>
                    <w:top w:val="nil"/>
                  </w:tcBorders>
                  <w:vAlign w:val="center"/>
                </w:tcPr>
                <w:p w14:paraId="45F1A41D">
                  <w:pPr>
                    <w:pStyle w:val="49"/>
                    <w:bidi w:val="0"/>
                    <w:jc w:val="center"/>
                    <w:rPr>
                      <w:color w:val="auto"/>
                      <w:highlight w:val="none"/>
                    </w:rPr>
                  </w:pPr>
                </w:p>
              </w:tc>
              <w:tc>
                <w:tcPr>
                  <w:tcW w:w="847" w:type="dxa"/>
                  <w:tcBorders>
                    <w:right w:val="single" w:color="000000" w:sz="4" w:space="0"/>
                  </w:tcBorders>
                  <w:vAlign w:val="center"/>
                </w:tcPr>
                <w:p w14:paraId="0B816DD4">
                  <w:pPr>
                    <w:pStyle w:val="49"/>
                    <w:bidi w:val="0"/>
                    <w:jc w:val="center"/>
                    <w:rPr>
                      <w:color w:val="auto"/>
                      <w:highlight w:val="none"/>
                    </w:rPr>
                  </w:pPr>
                  <w:r>
                    <w:rPr>
                      <w:color w:val="auto"/>
                      <w:highlight w:val="none"/>
                    </w:rPr>
                    <w:t>60%</w:t>
                  </w:r>
                </w:p>
              </w:tc>
              <w:tc>
                <w:tcPr>
                  <w:tcW w:w="759" w:type="dxa"/>
                  <w:tcBorders>
                    <w:left w:val="single" w:color="000000" w:sz="4" w:space="0"/>
                    <w:right w:val="single" w:color="000000" w:sz="4" w:space="0"/>
                  </w:tcBorders>
                  <w:vAlign w:val="center"/>
                </w:tcPr>
                <w:p w14:paraId="0CD2B635">
                  <w:pPr>
                    <w:pStyle w:val="49"/>
                    <w:bidi w:val="0"/>
                    <w:jc w:val="center"/>
                    <w:rPr>
                      <w:rFonts w:hint="default" w:eastAsia="宋体"/>
                      <w:color w:val="auto"/>
                      <w:highlight w:val="none"/>
                      <w:lang w:val="en-US" w:eastAsia="zh-CN"/>
                    </w:rPr>
                  </w:pPr>
                  <w:r>
                    <w:rPr>
                      <w:rFonts w:hint="eastAsia"/>
                      <w:color w:val="auto"/>
                      <w:highlight w:val="none"/>
                      <w:lang w:val="en-US" w:eastAsia="zh-CN"/>
                    </w:rPr>
                    <w:t>80</w:t>
                  </w:r>
                </w:p>
              </w:tc>
              <w:tc>
                <w:tcPr>
                  <w:tcW w:w="724" w:type="dxa"/>
                  <w:tcBorders>
                    <w:left w:val="single" w:color="000000" w:sz="4" w:space="0"/>
                    <w:right w:val="single" w:color="000000" w:sz="4" w:space="0"/>
                  </w:tcBorders>
                  <w:vAlign w:val="center"/>
                </w:tcPr>
                <w:p w14:paraId="2F1AAD2C">
                  <w:pPr>
                    <w:pStyle w:val="49"/>
                    <w:bidi w:val="0"/>
                    <w:jc w:val="center"/>
                    <w:rPr>
                      <w:rFonts w:hint="default" w:eastAsia="宋体"/>
                      <w:color w:val="auto"/>
                      <w:highlight w:val="none"/>
                      <w:lang w:val="en-US" w:eastAsia="zh-CN"/>
                    </w:rPr>
                  </w:pPr>
                  <w:r>
                    <w:rPr>
                      <w:rFonts w:hint="eastAsia"/>
                      <w:color w:val="auto"/>
                      <w:highlight w:val="none"/>
                      <w:lang w:val="en-US" w:eastAsia="zh-CN"/>
                    </w:rPr>
                    <w:t>0.0224</w:t>
                  </w:r>
                </w:p>
              </w:tc>
              <w:tc>
                <w:tcPr>
                  <w:tcW w:w="825" w:type="dxa"/>
                  <w:vMerge w:val="continue"/>
                  <w:tcBorders>
                    <w:top w:val="nil"/>
                    <w:left w:val="single" w:color="000000" w:sz="4" w:space="0"/>
                  </w:tcBorders>
                  <w:vAlign w:val="center"/>
                </w:tcPr>
                <w:p w14:paraId="582E7D03">
                  <w:pPr>
                    <w:pStyle w:val="49"/>
                    <w:bidi w:val="0"/>
                    <w:jc w:val="center"/>
                    <w:rPr>
                      <w:color w:val="auto"/>
                      <w:highlight w:val="none"/>
                    </w:rPr>
                  </w:pPr>
                </w:p>
              </w:tc>
            </w:tr>
            <w:tr w14:paraId="0B001C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7" w:hRule="atLeast"/>
              </w:trPr>
              <w:tc>
                <w:tcPr>
                  <w:tcW w:w="664" w:type="dxa"/>
                  <w:vMerge w:val="continue"/>
                  <w:tcBorders>
                    <w:top w:val="nil"/>
                  </w:tcBorders>
                  <w:vAlign w:val="center"/>
                </w:tcPr>
                <w:p w14:paraId="4E238C82">
                  <w:pPr>
                    <w:pStyle w:val="49"/>
                    <w:bidi w:val="0"/>
                    <w:jc w:val="center"/>
                    <w:rPr>
                      <w:color w:val="auto"/>
                      <w:highlight w:val="none"/>
                    </w:rPr>
                  </w:pPr>
                </w:p>
              </w:tc>
              <w:tc>
                <w:tcPr>
                  <w:tcW w:w="573" w:type="dxa"/>
                  <w:vMerge w:val="continue"/>
                  <w:tcBorders>
                    <w:top w:val="nil"/>
                  </w:tcBorders>
                  <w:vAlign w:val="center"/>
                </w:tcPr>
                <w:p w14:paraId="1E29B67B">
                  <w:pPr>
                    <w:pStyle w:val="49"/>
                    <w:bidi w:val="0"/>
                    <w:jc w:val="center"/>
                    <w:rPr>
                      <w:color w:val="auto"/>
                      <w:highlight w:val="none"/>
                    </w:rPr>
                  </w:pPr>
                </w:p>
              </w:tc>
              <w:tc>
                <w:tcPr>
                  <w:tcW w:w="600" w:type="dxa"/>
                  <w:vMerge w:val="continue"/>
                  <w:tcBorders>
                    <w:top w:val="nil"/>
                  </w:tcBorders>
                  <w:vAlign w:val="center"/>
                </w:tcPr>
                <w:p w14:paraId="5E56A590">
                  <w:pPr>
                    <w:pStyle w:val="49"/>
                    <w:bidi w:val="0"/>
                    <w:jc w:val="center"/>
                    <w:rPr>
                      <w:color w:val="auto"/>
                      <w:highlight w:val="none"/>
                    </w:rPr>
                  </w:pPr>
                </w:p>
              </w:tc>
              <w:tc>
                <w:tcPr>
                  <w:tcW w:w="759" w:type="dxa"/>
                  <w:vAlign w:val="center"/>
                </w:tcPr>
                <w:p w14:paraId="27BE3BBE">
                  <w:pPr>
                    <w:pStyle w:val="49"/>
                    <w:bidi w:val="0"/>
                    <w:jc w:val="center"/>
                    <w:rPr>
                      <w:color w:val="auto"/>
                      <w:highlight w:val="none"/>
                    </w:rPr>
                  </w:pPr>
                  <w:r>
                    <w:rPr>
                      <w:color w:val="auto"/>
                      <w:highlight w:val="none"/>
                    </w:rPr>
                    <w:t>NH</w:t>
                  </w:r>
                  <w:r>
                    <w:rPr>
                      <w:color w:val="auto"/>
                      <w:highlight w:val="none"/>
                      <w:vertAlign w:val="subscript"/>
                    </w:rPr>
                    <w:t>3</w:t>
                  </w:r>
                  <w:r>
                    <w:rPr>
                      <w:color w:val="auto"/>
                      <w:highlight w:val="none"/>
                    </w:rPr>
                    <w:t>-N</w:t>
                  </w:r>
                </w:p>
              </w:tc>
              <w:tc>
                <w:tcPr>
                  <w:tcW w:w="759" w:type="dxa"/>
                  <w:vAlign w:val="center"/>
                </w:tcPr>
                <w:p w14:paraId="12D45332">
                  <w:pPr>
                    <w:pStyle w:val="49"/>
                    <w:bidi w:val="0"/>
                    <w:jc w:val="center"/>
                    <w:rPr>
                      <w:color w:val="auto"/>
                      <w:highlight w:val="none"/>
                    </w:rPr>
                  </w:pPr>
                  <w:r>
                    <w:rPr>
                      <w:color w:val="auto"/>
                      <w:highlight w:val="none"/>
                    </w:rPr>
                    <w:t>25</w:t>
                  </w:r>
                </w:p>
              </w:tc>
              <w:tc>
                <w:tcPr>
                  <w:tcW w:w="732" w:type="dxa"/>
                  <w:vAlign w:val="center"/>
                </w:tcPr>
                <w:p w14:paraId="446E63A9">
                  <w:pPr>
                    <w:pStyle w:val="49"/>
                    <w:bidi w:val="0"/>
                    <w:jc w:val="center"/>
                    <w:rPr>
                      <w:rFonts w:hint="default" w:eastAsia="宋体"/>
                      <w:color w:val="auto"/>
                      <w:highlight w:val="none"/>
                      <w:lang w:val="en-US" w:eastAsia="zh-CN"/>
                    </w:rPr>
                  </w:pPr>
                  <w:r>
                    <w:rPr>
                      <w:rFonts w:hint="eastAsia"/>
                      <w:color w:val="auto"/>
                      <w:highlight w:val="none"/>
                      <w:lang w:val="en-US" w:eastAsia="zh-CN"/>
                    </w:rPr>
                    <w:t>0.0070</w:t>
                  </w:r>
                </w:p>
              </w:tc>
              <w:tc>
                <w:tcPr>
                  <w:tcW w:w="697" w:type="dxa"/>
                  <w:vMerge w:val="continue"/>
                  <w:tcBorders>
                    <w:top w:val="nil"/>
                  </w:tcBorders>
                  <w:vAlign w:val="center"/>
                </w:tcPr>
                <w:p w14:paraId="328065E2">
                  <w:pPr>
                    <w:pStyle w:val="49"/>
                    <w:bidi w:val="0"/>
                    <w:jc w:val="center"/>
                    <w:rPr>
                      <w:color w:val="auto"/>
                      <w:highlight w:val="none"/>
                    </w:rPr>
                  </w:pPr>
                </w:p>
              </w:tc>
              <w:tc>
                <w:tcPr>
                  <w:tcW w:w="847" w:type="dxa"/>
                  <w:tcBorders>
                    <w:right w:val="single" w:color="000000" w:sz="4" w:space="0"/>
                  </w:tcBorders>
                  <w:vAlign w:val="center"/>
                </w:tcPr>
                <w:p w14:paraId="6B6E5051">
                  <w:pPr>
                    <w:pStyle w:val="49"/>
                    <w:bidi w:val="0"/>
                    <w:jc w:val="center"/>
                    <w:rPr>
                      <w:color w:val="auto"/>
                      <w:highlight w:val="none"/>
                    </w:rPr>
                  </w:pPr>
                  <w:r>
                    <w:rPr>
                      <w:color w:val="auto"/>
                      <w:highlight w:val="none"/>
                    </w:rPr>
                    <w:t>0%</w:t>
                  </w:r>
                </w:p>
              </w:tc>
              <w:tc>
                <w:tcPr>
                  <w:tcW w:w="759" w:type="dxa"/>
                  <w:tcBorders>
                    <w:left w:val="single" w:color="000000" w:sz="4" w:space="0"/>
                    <w:right w:val="single" w:color="000000" w:sz="4" w:space="0"/>
                  </w:tcBorders>
                  <w:vAlign w:val="center"/>
                </w:tcPr>
                <w:p w14:paraId="04300ACA">
                  <w:pPr>
                    <w:pStyle w:val="49"/>
                    <w:bidi w:val="0"/>
                    <w:jc w:val="center"/>
                    <w:rPr>
                      <w:rFonts w:hint="default" w:eastAsia="宋体"/>
                      <w:color w:val="auto"/>
                      <w:highlight w:val="none"/>
                      <w:lang w:val="en-US" w:eastAsia="zh-CN"/>
                    </w:rPr>
                  </w:pPr>
                  <w:r>
                    <w:rPr>
                      <w:rFonts w:hint="eastAsia"/>
                      <w:color w:val="auto"/>
                      <w:highlight w:val="none"/>
                      <w:lang w:val="en-US" w:eastAsia="zh-CN"/>
                    </w:rPr>
                    <w:t>25</w:t>
                  </w:r>
                </w:p>
              </w:tc>
              <w:tc>
                <w:tcPr>
                  <w:tcW w:w="724" w:type="dxa"/>
                  <w:tcBorders>
                    <w:left w:val="single" w:color="000000" w:sz="4" w:space="0"/>
                    <w:right w:val="single" w:color="000000" w:sz="4" w:space="0"/>
                  </w:tcBorders>
                  <w:vAlign w:val="center"/>
                </w:tcPr>
                <w:p w14:paraId="38878FAE">
                  <w:pPr>
                    <w:pStyle w:val="49"/>
                    <w:bidi w:val="0"/>
                    <w:jc w:val="center"/>
                    <w:rPr>
                      <w:rFonts w:hint="default" w:eastAsia="宋体"/>
                      <w:color w:val="auto"/>
                      <w:highlight w:val="none"/>
                      <w:lang w:val="en-US" w:eastAsia="zh-CN"/>
                    </w:rPr>
                  </w:pPr>
                  <w:r>
                    <w:rPr>
                      <w:rFonts w:hint="eastAsia"/>
                      <w:color w:val="auto"/>
                      <w:highlight w:val="none"/>
                      <w:lang w:val="en-US" w:eastAsia="zh-CN"/>
                    </w:rPr>
                    <w:t>0.0070</w:t>
                  </w:r>
                </w:p>
              </w:tc>
              <w:tc>
                <w:tcPr>
                  <w:tcW w:w="825" w:type="dxa"/>
                  <w:vMerge w:val="continue"/>
                  <w:tcBorders>
                    <w:top w:val="nil"/>
                    <w:left w:val="single" w:color="000000" w:sz="4" w:space="0"/>
                  </w:tcBorders>
                  <w:vAlign w:val="center"/>
                </w:tcPr>
                <w:p w14:paraId="61D5EE38">
                  <w:pPr>
                    <w:pStyle w:val="49"/>
                    <w:bidi w:val="0"/>
                    <w:jc w:val="center"/>
                    <w:rPr>
                      <w:color w:val="auto"/>
                      <w:highlight w:val="none"/>
                    </w:rPr>
                  </w:pPr>
                </w:p>
              </w:tc>
            </w:tr>
          </w:tbl>
          <w:p w14:paraId="31BE11BC">
            <w:pPr>
              <w:pStyle w:val="11"/>
              <w:bidi w:val="0"/>
              <w:rPr>
                <w:rFonts w:hint="eastAsia"/>
                <w:color w:val="auto"/>
                <w:highlight w:val="none"/>
                <w:lang w:val="en-US" w:eastAsia="zh-CN"/>
              </w:rPr>
            </w:pPr>
            <w:r>
              <w:rPr>
                <w:color w:val="auto"/>
                <w:highlight w:val="none"/>
              </w:rPr>
              <w:t>综上，本项目在保证</w:t>
            </w:r>
            <w:r>
              <w:rPr>
                <w:rFonts w:hint="eastAsia"/>
                <w:color w:val="auto"/>
                <w:highlight w:val="none"/>
                <w:lang w:val="en-US" w:eastAsia="zh-CN"/>
              </w:rPr>
              <w:t>污</w:t>
            </w:r>
            <w:r>
              <w:rPr>
                <w:color w:val="auto"/>
                <w:highlight w:val="none"/>
              </w:rPr>
              <w:t>水处理措施正常运行的前提下，能够达标排放，且对项目所在地</w:t>
            </w:r>
            <w:r>
              <w:rPr>
                <w:rFonts w:hint="eastAsia"/>
                <w:color w:val="auto"/>
                <w:highlight w:val="none"/>
                <w:lang w:val="en-US" w:eastAsia="zh-CN"/>
              </w:rPr>
              <w:t>表</w:t>
            </w:r>
            <w:r>
              <w:rPr>
                <w:color w:val="auto"/>
                <w:highlight w:val="none"/>
              </w:rPr>
              <w:t>水环境影响较小。</w:t>
            </w:r>
          </w:p>
          <w:p w14:paraId="3D6E476D">
            <w:pPr>
              <w:pStyle w:val="11"/>
              <w:numPr>
                <w:ilvl w:val="0"/>
                <w:numId w:val="11"/>
              </w:numPr>
              <w:bidi w:val="0"/>
              <w:rPr>
                <w:rFonts w:hint="eastAsia"/>
                <w:b/>
                <w:bCs/>
                <w:color w:val="auto"/>
                <w:highlight w:val="none"/>
                <w:lang w:val="en-US" w:eastAsia="zh-CN"/>
              </w:rPr>
            </w:pPr>
            <w:r>
              <w:rPr>
                <w:rFonts w:hint="eastAsia"/>
                <w:b/>
                <w:bCs/>
                <w:color w:val="auto"/>
                <w:highlight w:val="none"/>
                <w:lang w:val="en-US" w:eastAsia="zh-CN"/>
              </w:rPr>
              <w:t>运营期声环境影响和保护措施</w:t>
            </w:r>
          </w:p>
          <w:p w14:paraId="04874D06">
            <w:pPr>
              <w:adjustRightInd w:val="0"/>
              <w:snapToGrid w:val="0"/>
              <w:spacing w:line="360" w:lineRule="auto"/>
              <w:ind w:firstLine="480" w:firstLineChars="200"/>
              <w:rPr>
                <w:rFonts w:hint="eastAsia"/>
                <w:b w:val="0"/>
                <w:bCs/>
                <w:color w:val="auto"/>
                <w:sz w:val="24"/>
                <w:highlight w:val="none"/>
              </w:rPr>
            </w:pPr>
            <w:r>
              <w:rPr>
                <w:rFonts w:hint="eastAsia"/>
                <w:b w:val="0"/>
                <w:bCs/>
                <w:color w:val="auto"/>
                <w:sz w:val="24"/>
                <w:highlight w:val="none"/>
                <w:lang w:eastAsia="zh-CN"/>
              </w:rPr>
              <w:t>（</w:t>
            </w:r>
            <w:r>
              <w:rPr>
                <w:rFonts w:hint="eastAsia"/>
                <w:b w:val="0"/>
                <w:bCs/>
                <w:color w:val="auto"/>
                <w:sz w:val="24"/>
                <w:highlight w:val="none"/>
                <w:lang w:val="en-US" w:eastAsia="zh-CN"/>
              </w:rPr>
              <w:t>1</w:t>
            </w:r>
            <w:r>
              <w:rPr>
                <w:rFonts w:hint="eastAsia"/>
                <w:b w:val="0"/>
                <w:bCs/>
                <w:color w:val="auto"/>
                <w:sz w:val="24"/>
                <w:highlight w:val="none"/>
                <w:lang w:eastAsia="zh-CN"/>
              </w:rPr>
              <w:t>）</w:t>
            </w:r>
            <w:r>
              <w:rPr>
                <w:b w:val="0"/>
                <w:bCs/>
                <w:color w:val="auto"/>
                <w:sz w:val="24"/>
                <w:highlight w:val="none"/>
              </w:rPr>
              <w:t>噪声源统计</w:t>
            </w:r>
          </w:p>
          <w:p w14:paraId="684AFC5E">
            <w:pPr>
              <w:adjustRightInd w:val="0"/>
              <w:snapToGrid w:val="0"/>
              <w:spacing w:line="360" w:lineRule="auto"/>
              <w:ind w:firstLine="480" w:firstLineChars="200"/>
              <w:rPr>
                <w:color w:val="auto"/>
                <w:sz w:val="24"/>
                <w:highlight w:val="none"/>
              </w:rPr>
            </w:pPr>
            <w:r>
              <w:rPr>
                <w:color w:val="auto"/>
                <w:sz w:val="24"/>
                <w:highlight w:val="none"/>
              </w:rPr>
              <w:t>项目噪声主要是</w:t>
            </w:r>
            <w:r>
              <w:rPr>
                <w:rFonts w:hint="eastAsia"/>
                <w:color w:val="auto"/>
                <w:sz w:val="24"/>
                <w:highlight w:val="none"/>
              </w:rPr>
              <w:t>粉碎机</w:t>
            </w:r>
            <w:r>
              <w:rPr>
                <w:color w:val="auto"/>
                <w:sz w:val="24"/>
                <w:highlight w:val="none"/>
              </w:rPr>
              <w:t>、</w:t>
            </w:r>
            <w:r>
              <w:rPr>
                <w:rFonts w:hint="eastAsia"/>
                <w:color w:val="auto"/>
                <w:sz w:val="24"/>
                <w:highlight w:val="none"/>
                <w:lang w:val="en-US" w:eastAsia="zh-CN"/>
              </w:rPr>
              <w:t>烘干机、炭化机以及打包机</w:t>
            </w:r>
            <w:r>
              <w:rPr>
                <w:color w:val="auto"/>
                <w:sz w:val="24"/>
                <w:highlight w:val="none"/>
              </w:rPr>
              <w:t>等设备运行产生的噪声及车辆噪声，其噪声级为80~90dB(A)。主要噪声源及噪声源强列于表</w:t>
            </w:r>
            <w:r>
              <w:rPr>
                <w:rFonts w:hint="eastAsia"/>
                <w:color w:val="auto"/>
                <w:sz w:val="24"/>
                <w:highlight w:val="none"/>
              </w:rPr>
              <w:t>4</w:t>
            </w:r>
            <w:r>
              <w:rPr>
                <w:rFonts w:hint="eastAsia"/>
                <w:color w:val="auto"/>
                <w:sz w:val="24"/>
                <w:highlight w:val="none"/>
                <w:lang w:val="en-US" w:eastAsia="zh-CN"/>
              </w:rPr>
              <w:t>-12</w:t>
            </w:r>
            <w:r>
              <w:rPr>
                <w:color w:val="auto"/>
                <w:sz w:val="24"/>
                <w:highlight w:val="none"/>
              </w:rPr>
              <w:t>。</w:t>
            </w:r>
          </w:p>
          <w:p w14:paraId="24291786">
            <w:pPr>
              <w:pStyle w:val="32"/>
              <w:bidi w:val="0"/>
              <w:rPr>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 xml:space="preserve">12     </w:t>
            </w:r>
            <w:r>
              <w:rPr>
                <w:color w:val="auto"/>
                <w:highlight w:val="none"/>
              </w:rPr>
              <w:t>主要噪声源及源强单位：dB(A)</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993"/>
              <w:gridCol w:w="729"/>
              <w:gridCol w:w="765"/>
              <w:gridCol w:w="732"/>
              <w:gridCol w:w="730"/>
              <w:gridCol w:w="800"/>
              <w:gridCol w:w="798"/>
              <w:gridCol w:w="1075"/>
              <w:gridCol w:w="875"/>
            </w:tblGrid>
            <w:tr w14:paraId="6A831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 w:hRule="atLeast"/>
                <w:jc w:val="center"/>
              </w:trPr>
              <w:tc>
                <w:tcPr>
                  <w:tcW w:w="277" w:type="pct"/>
                  <w:vMerge w:val="restart"/>
                  <w:noWrap w:val="0"/>
                  <w:vAlign w:val="center"/>
                </w:tcPr>
                <w:p w14:paraId="79E9339F">
                  <w:pPr>
                    <w:snapToGrid w:val="0"/>
                    <w:jc w:val="center"/>
                    <w:rPr>
                      <w:b/>
                      <w:color w:val="auto"/>
                      <w:szCs w:val="21"/>
                      <w:highlight w:val="none"/>
                    </w:rPr>
                  </w:pPr>
                  <w:r>
                    <w:rPr>
                      <w:b/>
                      <w:color w:val="auto"/>
                      <w:szCs w:val="21"/>
                      <w:highlight w:val="none"/>
                      <w:lang w:bidi="ar"/>
                    </w:rPr>
                    <w:t>序号</w:t>
                  </w:r>
                </w:p>
              </w:tc>
              <w:tc>
                <w:tcPr>
                  <w:tcW w:w="626" w:type="pct"/>
                  <w:vMerge w:val="restart"/>
                  <w:noWrap w:val="0"/>
                  <w:vAlign w:val="center"/>
                </w:tcPr>
                <w:p w14:paraId="05B5D4C8">
                  <w:pPr>
                    <w:snapToGrid w:val="0"/>
                    <w:jc w:val="center"/>
                    <w:rPr>
                      <w:b/>
                      <w:color w:val="auto"/>
                      <w:szCs w:val="21"/>
                      <w:highlight w:val="none"/>
                    </w:rPr>
                  </w:pPr>
                  <w:r>
                    <w:rPr>
                      <w:b/>
                      <w:color w:val="auto"/>
                      <w:szCs w:val="21"/>
                      <w:highlight w:val="none"/>
                      <w:lang w:bidi="ar"/>
                    </w:rPr>
                    <w:t>噪声源</w:t>
                  </w:r>
                </w:p>
              </w:tc>
              <w:tc>
                <w:tcPr>
                  <w:tcW w:w="459" w:type="pct"/>
                  <w:vMerge w:val="restart"/>
                  <w:noWrap w:val="0"/>
                  <w:vAlign w:val="center"/>
                </w:tcPr>
                <w:p w14:paraId="34E2720F">
                  <w:pPr>
                    <w:snapToGrid w:val="0"/>
                    <w:jc w:val="center"/>
                    <w:rPr>
                      <w:b/>
                      <w:color w:val="auto"/>
                      <w:szCs w:val="21"/>
                      <w:highlight w:val="none"/>
                      <w:lang w:bidi="ar"/>
                    </w:rPr>
                  </w:pPr>
                  <w:r>
                    <w:rPr>
                      <w:b/>
                      <w:color w:val="auto"/>
                      <w:szCs w:val="21"/>
                      <w:highlight w:val="none"/>
                      <w:lang w:bidi="ar"/>
                    </w:rPr>
                    <w:t>声源类型</w:t>
                  </w:r>
                </w:p>
              </w:tc>
              <w:tc>
                <w:tcPr>
                  <w:tcW w:w="1403" w:type="pct"/>
                  <w:gridSpan w:val="3"/>
                  <w:noWrap w:val="0"/>
                  <w:vAlign w:val="center"/>
                </w:tcPr>
                <w:p w14:paraId="6C8C3B4C">
                  <w:pPr>
                    <w:jc w:val="center"/>
                    <w:rPr>
                      <w:color w:val="auto"/>
                      <w:szCs w:val="21"/>
                      <w:highlight w:val="none"/>
                      <w:lang w:bidi="ar"/>
                    </w:rPr>
                  </w:pPr>
                  <w:r>
                    <w:rPr>
                      <w:b/>
                      <w:color w:val="auto"/>
                      <w:szCs w:val="21"/>
                      <w:highlight w:val="none"/>
                      <w:lang w:bidi="ar"/>
                    </w:rPr>
                    <w:t>声源空间相对位置/m</w:t>
                  </w:r>
                </w:p>
              </w:tc>
              <w:tc>
                <w:tcPr>
                  <w:tcW w:w="504" w:type="pct"/>
                  <w:vMerge w:val="restart"/>
                  <w:noWrap w:val="0"/>
                  <w:vAlign w:val="center"/>
                </w:tcPr>
                <w:p w14:paraId="11DCE25D">
                  <w:pPr>
                    <w:snapToGrid w:val="0"/>
                    <w:jc w:val="center"/>
                    <w:rPr>
                      <w:b/>
                      <w:color w:val="auto"/>
                      <w:szCs w:val="21"/>
                      <w:highlight w:val="none"/>
                      <w:lang w:bidi="ar"/>
                    </w:rPr>
                  </w:pPr>
                  <w:r>
                    <w:rPr>
                      <w:b/>
                      <w:color w:val="auto"/>
                      <w:szCs w:val="21"/>
                      <w:highlight w:val="none"/>
                      <w:lang w:bidi="ar"/>
                    </w:rPr>
                    <w:t>噪声源强声级dB(A)</w:t>
                  </w:r>
                </w:p>
              </w:tc>
              <w:tc>
                <w:tcPr>
                  <w:tcW w:w="1180" w:type="pct"/>
                  <w:gridSpan w:val="2"/>
                  <w:noWrap w:val="0"/>
                  <w:vAlign w:val="center"/>
                </w:tcPr>
                <w:p w14:paraId="54AAEE2E">
                  <w:pPr>
                    <w:pStyle w:val="22"/>
                    <w:widowControl w:val="0"/>
                    <w:adjustRightInd w:val="0"/>
                    <w:snapToGrid w:val="0"/>
                    <w:spacing w:before="0" w:beforeAutospacing="0" w:after="0" w:afterAutospacing="0"/>
                    <w:jc w:val="center"/>
                    <w:rPr>
                      <w:rFonts w:ascii="Times New Roman" w:hAnsi="Times New Roman"/>
                      <w:b/>
                      <w:color w:val="auto"/>
                      <w:sz w:val="21"/>
                      <w:szCs w:val="21"/>
                      <w:highlight w:val="none"/>
                    </w:rPr>
                  </w:pPr>
                  <w:r>
                    <w:rPr>
                      <w:rFonts w:ascii="Times New Roman" w:hAnsi="Times New Roman"/>
                      <w:b/>
                      <w:color w:val="auto"/>
                      <w:kern w:val="2"/>
                      <w:sz w:val="21"/>
                      <w:szCs w:val="21"/>
                      <w:highlight w:val="none"/>
                      <w:lang w:bidi="ar"/>
                    </w:rPr>
                    <w:t>降噪措施</w:t>
                  </w:r>
                </w:p>
              </w:tc>
              <w:tc>
                <w:tcPr>
                  <w:tcW w:w="548" w:type="pct"/>
                  <w:vMerge w:val="restart"/>
                  <w:noWrap w:val="0"/>
                  <w:vAlign w:val="center"/>
                </w:tcPr>
                <w:p w14:paraId="139CE0F3">
                  <w:pPr>
                    <w:widowControl/>
                    <w:jc w:val="center"/>
                    <w:rPr>
                      <w:color w:val="auto"/>
                      <w:szCs w:val="21"/>
                      <w:highlight w:val="none"/>
                      <w:lang w:bidi="ar"/>
                    </w:rPr>
                  </w:pPr>
                  <w:r>
                    <w:rPr>
                      <w:b/>
                      <w:color w:val="auto"/>
                      <w:szCs w:val="21"/>
                      <w:highlight w:val="none"/>
                      <w:lang w:bidi="ar"/>
                    </w:rPr>
                    <w:t>噪声排放声级dB(A)</w:t>
                  </w:r>
                </w:p>
              </w:tc>
            </w:tr>
            <w:tr w14:paraId="4150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277" w:type="pct"/>
                  <w:vMerge w:val="continue"/>
                  <w:noWrap w:val="0"/>
                  <w:vAlign w:val="center"/>
                </w:tcPr>
                <w:p w14:paraId="78ADF3B6">
                  <w:pPr>
                    <w:widowControl/>
                    <w:jc w:val="center"/>
                    <w:textAlignment w:val="center"/>
                    <w:rPr>
                      <w:color w:val="auto"/>
                      <w:kern w:val="0"/>
                      <w:szCs w:val="21"/>
                      <w:highlight w:val="none"/>
                      <w:lang w:bidi="ar"/>
                    </w:rPr>
                  </w:pPr>
                </w:p>
              </w:tc>
              <w:tc>
                <w:tcPr>
                  <w:tcW w:w="626" w:type="pct"/>
                  <w:vMerge w:val="continue"/>
                  <w:noWrap w:val="0"/>
                  <w:vAlign w:val="center"/>
                </w:tcPr>
                <w:p w14:paraId="4EE8990B">
                  <w:pPr>
                    <w:rPr>
                      <w:color w:val="auto"/>
                      <w:szCs w:val="21"/>
                      <w:highlight w:val="none"/>
                    </w:rPr>
                  </w:pPr>
                </w:p>
              </w:tc>
              <w:tc>
                <w:tcPr>
                  <w:tcW w:w="459" w:type="pct"/>
                  <w:vMerge w:val="continue"/>
                  <w:noWrap w:val="0"/>
                  <w:vAlign w:val="center"/>
                </w:tcPr>
                <w:p w14:paraId="4289CFD4">
                  <w:pPr>
                    <w:jc w:val="center"/>
                    <w:rPr>
                      <w:color w:val="auto"/>
                      <w:szCs w:val="21"/>
                      <w:highlight w:val="none"/>
                      <w:lang w:bidi="ar"/>
                    </w:rPr>
                  </w:pPr>
                </w:p>
              </w:tc>
              <w:tc>
                <w:tcPr>
                  <w:tcW w:w="482" w:type="pct"/>
                  <w:noWrap w:val="0"/>
                  <w:vAlign w:val="center"/>
                </w:tcPr>
                <w:p w14:paraId="2A85C016">
                  <w:pPr>
                    <w:jc w:val="center"/>
                    <w:rPr>
                      <w:color w:val="auto"/>
                      <w:szCs w:val="21"/>
                      <w:highlight w:val="none"/>
                    </w:rPr>
                  </w:pPr>
                  <w:r>
                    <w:rPr>
                      <w:color w:val="auto"/>
                      <w:szCs w:val="21"/>
                      <w:highlight w:val="none"/>
                    </w:rPr>
                    <w:t>X</w:t>
                  </w:r>
                </w:p>
              </w:tc>
              <w:tc>
                <w:tcPr>
                  <w:tcW w:w="461" w:type="pct"/>
                  <w:noWrap w:val="0"/>
                  <w:vAlign w:val="center"/>
                </w:tcPr>
                <w:p w14:paraId="49672F11">
                  <w:pPr>
                    <w:jc w:val="center"/>
                    <w:rPr>
                      <w:color w:val="auto"/>
                      <w:szCs w:val="21"/>
                      <w:highlight w:val="none"/>
                    </w:rPr>
                  </w:pPr>
                  <w:r>
                    <w:rPr>
                      <w:color w:val="auto"/>
                      <w:szCs w:val="21"/>
                      <w:highlight w:val="none"/>
                    </w:rPr>
                    <w:t>Y</w:t>
                  </w:r>
                </w:p>
              </w:tc>
              <w:tc>
                <w:tcPr>
                  <w:tcW w:w="460" w:type="pct"/>
                  <w:noWrap w:val="0"/>
                  <w:vAlign w:val="center"/>
                </w:tcPr>
                <w:p w14:paraId="2224DA2E">
                  <w:pPr>
                    <w:jc w:val="center"/>
                    <w:rPr>
                      <w:color w:val="auto"/>
                      <w:szCs w:val="21"/>
                      <w:highlight w:val="none"/>
                    </w:rPr>
                  </w:pPr>
                  <w:r>
                    <w:rPr>
                      <w:color w:val="auto"/>
                      <w:szCs w:val="21"/>
                      <w:highlight w:val="none"/>
                    </w:rPr>
                    <w:t>Z</w:t>
                  </w:r>
                </w:p>
              </w:tc>
              <w:tc>
                <w:tcPr>
                  <w:tcW w:w="504" w:type="pct"/>
                  <w:vMerge w:val="continue"/>
                  <w:noWrap w:val="0"/>
                  <w:vAlign w:val="center"/>
                </w:tcPr>
                <w:p w14:paraId="274DF85E">
                  <w:pPr>
                    <w:jc w:val="center"/>
                    <w:rPr>
                      <w:color w:val="auto"/>
                      <w:szCs w:val="21"/>
                      <w:highlight w:val="none"/>
                      <w:lang w:bidi="ar"/>
                    </w:rPr>
                  </w:pPr>
                </w:p>
              </w:tc>
              <w:tc>
                <w:tcPr>
                  <w:tcW w:w="503" w:type="pct"/>
                  <w:noWrap w:val="0"/>
                  <w:vAlign w:val="center"/>
                </w:tcPr>
                <w:p w14:paraId="4E498D9F">
                  <w:pPr>
                    <w:pStyle w:val="22"/>
                    <w:widowControl w:val="0"/>
                    <w:adjustRightInd w:val="0"/>
                    <w:snapToGrid w:val="0"/>
                    <w:spacing w:before="0" w:beforeAutospacing="0" w:after="0" w:afterAutospacing="0"/>
                    <w:jc w:val="center"/>
                    <w:rPr>
                      <w:rFonts w:ascii="Times New Roman" w:hAnsi="Times New Roman"/>
                      <w:b/>
                      <w:color w:val="auto"/>
                      <w:kern w:val="2"/>
                      <w:sz w:val="21"/>
                      <w:szCs w:val="21"/>
                      <w:highlight w:val="none"/>
                      <w:lang w:bidi="ar"/>
                    </w:rPr>
                  </w:pPr>
                  <w:r>
                    <w:rPr>
                      <w:rFonts w:ascii="Times New Roman" w:hAnsi="Times New Roman"/>
                      <w:b/>
                      <w:color w:val="auto"/>
                      <w:kern w:val="2"/>
                      <w:sz w:val="21"/>
                      <w:szCs w:val="21"/>
                      <w:highlight w:val="none"/>
                      <w:lang w:bidi="ar"/>
                    </w:rPr>
                    <w:t>工艺</w:t>
                  </w:r>
                </w:p>
              </w:tc>
              <w:tc>
                <w:tcPr>
                  <w:tcW w:w="676" w:type="pct"/>
                  <w:noWrap w:val="0"/>
                  <w:vAlign w:val="center"/>
                </w:tcPr>
                <w:p w14:paraId="414A1D17">
                  <w:pPr>
                    <w:pStyle w:val="22"/>
                    <w:widowControl w:val="0"/>
                    <w:adjustRightInd w:val="0"/>
                    <w:snapToGrid w:val="0"/>
                    <w:spacing w:before="0" w:beforeAutospacing="0" w:after="0" w:afterAutospacing="0"/>
                    <w:jc w:val="center"/>
                    <w:rPr>
                      <w:rFonts w:ascii="Times New Roman" w:hAnsi="Times New Roman"/>
                      <w:b/>
                      <w:color w:val="auto"/>
                      <w:kern w:val="2"/>
                      <w:sz w:val="21"/>
                      <w:szCs w:val="21"/>
                      <w:highlight w:val="none"/>
                      <w:lang w:bidi="ar"/>
                    </w:rPr>
                  </w:pPr>
                  <w:r>
                    <w:rPr>
                      <w:rFonts w:ascii="Times New Roman" w:hAnsi="Times New Roman"/>
                      <w:b/>
                      <w:color w:val="auto"/>
                      <w:kern w:val="2"/>
                      <w:sz w:val="21"/>
                      <w:szCs w:val="21"/>
                      <w:highlight w:val="none"/>
                      <w:lang w:bidi="ar"/>
                    </w:rPr>
                    <w:t>降噪效果dB（A）</w:t>
                  </w:r>
                </w:p>
              </w:tc>
              <w:tc>
                <w:tcPr>
                  <w:tcW w:w="548" w:type="pct"/>
                  <w:vMerge w:val="continue"/>
                  <w:noWrap w:val="0"/>
                  <w:vAlign w:val="center"/>
                </w:tcPr>
                <w:p w14:paraId="1AE03AC4">
                  <w:pPr>
                    <w:widowControl/>
                    <w:jc w:val="center"/>
                    <w:rPr>
                      <w:color w:val="auto"/>
                      <w:szCs w:val="21"/>
                      <w:highlight w:val="none"/>
                      <w:lang w:bidi="ar"/>
                    </w:rPr>
                  </w:pPr>
                </w:p>
              </w:tc>
            </w:tr>
            <w:tr w14:paraId="148B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77" w:type="pct"/>
                  <w:noWrap w:val="0"/>
                  <w:vAlign w:val="center"/>
                </w:tcPr>
                <w:p w14:paraId="36F1C771">
                  <w:pPr>
                    <w:jc w:val="center"/>
                    <w:rPr>
                      <w:color w:val="auto"/>
                      <w:spacing w:val="-1"/>
                      <w:szCs w:val="21"/>
                      <w:highlight w:val="none"/>
                    </w:rPr>
                  </w:pPr>
                  <w:r>
                    <w:rPr>
                      <w:color w:val="auto"/>
                      <w:spacing w:val="-1"/>
                      <w:szCs w:val="21"/>
                      <w:highlight w:val="none"/>
                      <w:lang w:bidi="ar"/>
                    </w:rPr>
                    <w:t>1</w:t>
                  </w:r>
                </w:p>
              </w:tc>
              <w:tc>
                <w:tcPr>
                  <w:tcW w:w="626" w:type="pct"/>
                  <w:noWrap w:val="0"/>
                  <w:vAlign w:val="center"/>
                </w:tcPr>
                <w:p w14:paraId="24E5D6B9">
                  <w:pPr>
                    <w:pStyle w:val="49"/>
                    <w:bidi w:val="0"/>
                    <w:ind w:left="0" w:leftChars="0" w:firstLine="0" w:firstLineChars="0"/>
                    <w:rPr>
                      <w:color w:val="auto"/>
                      <w:szCs w:val="21"/>
                      <w:highlight w:val="none"/>
                    </w:rPr>
                  </w:pPr>
                  <w:r>
                    <w:rPr>
                      <w:rFonts w:hint="eastAsia"/>
                      <w:color w:val="auto"/>
                      <w:highlight w:val="none"/>
                    </w:rPr>
                    <w:t>粉碎机</w:t>
                  </w:r>
                </w:p>
              </w:tc>
              <w:tc>
                <w:tcPr>
                  <w:tcW w:w="459" w:type="pct"/>
                  <w:noWrap w:val="0"/>
                  <w:vAlign w:val="center"/>
                </w:tcPr>
                <w:p w14:paraId="44539573">
                  <w:pPr>
                    <w:jc w:val="center"/>
                    <w:rPr>
                      <w:color w:val="auto"/>
                      <w:szCs w:val="21"/>
                      <w:highlight w:val="none"/>
                    </w:rPr>
                  </w:pPr>
                  <w:r>
                    <w:rPr>
                      <w:color w:val="auto"/>
                      <w:szCs w:val="21"/>
                      <w:highlight w:val="none"/>
                    </w:rPr>
                    <w:t>频发</w:t>
                  </w:r>
                </w:p>
              </w:tc>
              <w:tc>
                <w:tcPr>
                  <w:tcW w:w="482" w:type="pct"/>
                  <w:noWrap w:val="0"/>
                  <w:vAlign w:val="center"/>
                </w:tcPr>
                <w:p w14:paraId="44A037E1">
                  <w:pPr>
                    <w:jc w:val="center"/>
                    <w:rPr>
                      <w:rFonts w:hint="default" w:eastAsia="宋体"/>
                      <w:color w:val="auto"/>
                      <w:szCs w:val="21"/>
                      <w:highlight w:val="none"/>
                      <w:lang w:val="en-US" w:eastAsia="zh-CN"/>
                    </w:rPr>
                  </w:pPr>
                  <w:r>
                    <w:rPr>
                      <w:rFonts w:hint="eastAsia"/>
                      <w:color w:val="auto"/>
                      <w:szCs w:val="21"/>
                      <w:highlight w:val="none"/>
                      <w:lang w:val="en-US" w:eastAsia="zh-CN"/>
                    </w:rPr>
                    <w:t>-20</w:t>
                  </w:r>
                </w:p>
              </w:tc>
              <w:tc>
                <w:tcPr>
                  <w:tcW w:w="461" w:type="pct"/>
                  <w:noWrap w:val="0"/>
                  <w:vAlign w:val="center"/>
                </w:tcPr>
                <w:p w14:paraId="2CB5D826">
                  <w:pPr>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460" w:type="pct"/>
                  <w:noWrap w:val="0"/>
                  <w:vAlign w:val="center"/>
                </w:tcPr>
                <w:p w14:paraId="7FD65C0E">
                  <w:pPr>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504" w:type="pct"/>
                  <w:noWrap w:val="0"/>
                  <w:vAlign w:val="center"/>
                </w:tcPr>
                <w:p w14:paraId="616B5D43">
                  <w:pPr>
                    <w:pStyle w:val="49"/>
                    <w:bidi w:val="0"/>
                    <w:ind w:left="0" w:leftChars="0" w:firstLine="0" w:firstLineChars="0"/>
                    <w:rPr>
                      <w:color w:val="auto"/>
                      <w:szCs w:val="21"/>
                      <w:highlight w:val="none"/>
                    </w:rPr>
                  </w:pPr>
                  <w:r>
                    <w:rPr>
                      <w:color w:val="auto"/>
                      <w:highlight w:val="none"/>
                    </w:rPr>
                    <w:t>90</w:t>
                  </w:r>
                </w:p>
              </w:tc>
              <w:tc>
                <w:tcPr>
                  <w:tcW w:w="503" w:type="pct"/>
                  <w:vMerge w:val="restart"/>
                  <w:noWrap w:val="0"/>
                  <w:vAlign w:val="center"/>
                </w:tcPr>
                <w:p w14:paraId="752257A0">
                  <w:pPr>
                    <w:widowControl/>
                    <w:jc w:val="center"/>
                    <w:rPr>
                      <w:color w:val="auto"/>
                      <w:szCs w:val="21"/>
                      <w:highlight w:val="none"/>
                    </w:rPr>
                  </w:pPr>
                  <w:r>
                    <w:rPr>
                      <w:color w:val="auto"/>
                      <w:szCs w:val="21"/>
                      <w:highlight w:val="none"/>
                    </w:rPr>
                    <w:t>基础减振，厂房</w:t>
                  </w:r>
                </w:p>
                <w:p w14:paraId="7A1C1A84">
                  <w:pPr>
                    <w:jc w:val="center"/>
                    <w:rPr>
                      <w:color w:val="auto"/>
                      <w:szCs w:val="21"/>
                      <w:highlight w:val="none"/>
                      <w:lang w:bidi="ar"/>
                    </w:rPr>
                  </w:pPr>
                  <w:r>
                    <w:rPr>
                      <w:color w:val="auto"/>
                      <w:szCs w:val="21"/>
                      <w:highlight w:val="none"/>
                    </w:rPr>
                    <w:t>减振</w:t>
                  </w:r>
                </w:p>
              </w:tc>
              <w:tc>
                <w:tcPr>
                  <w:tcW w:w="676" w:type="pct"/>
                  <w:noWrap w:val="0"/>
                  <w:vAlign w:val="center"/>
                </w:tcPr>
                <w:p w14:paraId="004ED780">
                  <w:pPr>
                    <w:widowControl/>
                    <w:jc w:val="center"/>
                    <w:rPr>
                      <w:color w:val="auto"/>
                      <w:szCs w:val="21"/>
                      <w:highlight w:val="none"/>
                      <w:lang w:bidi="ar"/>
                    </w:rPr>
                  </w:pPr>
                  <w:r>
                    <w:rPr>
                      <w:bCs/>
                      <w:color w:val="auto"/>
                      <w:szCs w:val="21"/>
                      <w:highlight w:val="none"/>
                      <w:lang w:bidi="ar"/>
                    </w:rPr>
                    <w:t>15</w:t>
                  </w:r>
                </w:p>
              </w:tc>
              <w:tc>
                <w:tcPr>
                  <w:tcW w:w="548" w:type="pct"/>
                  <w:noWrap w:val="0"/>
                  <w:vAlign w:val="center"/>
                </w:tcPr>
                <w:p w14:paraId="7FCDEB1A">
                  <w:pPr>
                    <w:widowControl/>
                    <w:jc w:val="center"/>
                    <w:rPr>
                      <w:rFonts w:hint="default" w:eastAsia="宋体"/>
                      <w:color w:val="auto"/>
                      <w:szCs w:val="21"/>
                      <w:highlight w:val="none"/>
                      <w:lang w:val="en-US" w:eastAsia="zh-CN" w:bidi="ar"/>
                    </w:rPr>
                  </w:pPr>
                  <w:r>
                    <w:rPr>
                      <w:rFonts w:hint="eastAsia"/>
                      <w:color w:val="auto"/>
                      <w:szCs w:val="21"/>
                      <w:highlight w:val="none"/>
                      <w:lang w:val="en-US" w:eastAsia="zh-CN" w:bidi="ar"/>
                    </w:rPr>
                    <w:t>75</w:t>
                  </w:r>
                </w:p>
              </w:tc>
            </w:tr>
            <w:tr w14:paraId="22FA0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77" w:type="pct"/>
                  <w:noWrap w:val="0"/>
                  <w:vAlign w:val="center"/>
                </w:tcPr>
                <w:p w14:paraId="429C4F9E">
                  <w:pPr>
                    <w:jc w:val="center"/>
                    <w:rPr>
                      <w:color w:val="auto"/>
                      <w:spacing w:val="-1"/>
                      <w:szCs w:val="21"/>
                      <w:highlight w:val="none"/>
                      <w:lang w:bidi="ar"/>
                    </w:rPr>
                  </w:pPr>
                  <w:r>
                    <w:rPr>
                      <w:color w:val="auto"/>
                      <w:spacing w:val="-1"/>
                      <w:szCs w:val="21"/>
                      <w:highlight w:val="none"/>
                      <w:lang w:bidi="ar"/>
                    </w:rPr>
                    <w:t>2</w:t>
                  </w:r>
                </w:p>
              </w:tc>
              <w:tc>
                <w:tcPr>
                  <w:tcW w:w="626" w:type="pct"/>
                  <w:noWrap w:val="0"/>
                  <w:vAlign w:val="center"/>
                </w:tcPr>
                <w:p w14:paraId="58B5C62C">
                  <w:pPr>
                    <w:pStyle w:val="49"/>
                    <w:bidi w:val="0"/>
                    <w:ind w:left="0" w:leftChars="0" w:firstLine="0" w:firstLineChars="0"/>
                    <w:rPr>
                      <w:color w:val="auto"/>
                      <w:szCs w:val="21"/>
                      <w:highlight w:val="none"/>
                    </w:rPr>
                  </w:pPr>
                  <w:r>
                    <w:rPr>
                      <w:rFonts w:hint="eastAsia"/>
                      <w:color w:val="auto"/>
                      <w:highlight w:val="none"/>
                      <w:lang w:val="en-US" w:eastAsia="zh-CN"/>
                    </w:rPr>
                    <w:t>烘干机</w:t>
                  </w:r>
                </w:p>
              </w:tc>
              <w:tc>
                <w:tcPr>
                  <w:tcW w:w="459" w:type="pct"/>
                  <w:noWrap w:val="0"/>
                  <w:vAlign w:val="center"/>
                </w:tcPr>
                <w:p w14:paraId="323CDB5A">
                  <w:pPr>
                    <w:jc w:val="center"/>
                    <w:rPr>
                      <w:color w:val="auto"/>
                      <w:szCs w:val="21"/>
                      <w:highlight w:val="none"/>
                    </w:rPr>
                  </w:pPr>
                  <w:r>
                    <w:rPr>
                      <w:color w:val="auto"/>
                      <w:szCs w:val="21"/>
                      <w:highlight w:val="none"/>
                    </w:rPr>
                    <w:t>频发</w:t>
                  </w:r>
                </w:p>
              </w:tc>
              <w:tc>
                <w:tcPr>
                  <w:tcW w:w="482" w:type="pct"/>
                  <w:noWrap w:val="0"/>
                  <w:vAlign w:val="center"/>
                </w:tcPr>
                <w:p w14:paraId="2C855CE4">
                  <w:pPr>
                    <w:jc w:val="center"/>
                    <w:rPr>
                      <w:rFonts w:hint="default" w:eastAsia="宋体"/>
                      <w:color w:val="auto"/>
                      <w:szCs w:val="21"/>
                      <w:highlight w:val="none"/>
                      <w:lang w:val="en-US" w:eastAsia="zh-CN"/>
                    </w:rPr>
                  </w:pPr>
                  <w:r>
                    <w:rPr>
                      <w:rFonts w:hint="eastAsia"/>
                      <w:color w:val="auto"/>
                      <w:szCs w:val="21"/>
                      <w:highlight w:val="none"/>
                      <w:lang w:val="en-US" w:eastAsia="zh-CN"/>
                    </w:rPr>
                    <w:t>-25</w:t>
                  </w:r>
                </w:p>
              </w:tc>
              <w:tc>
                <w:tcPr>
                  <w:tcW w:w="461" w:type="pct"/>
                  <w:noWrap w:val="0"/>
                  <w:vAlign w:val="center"/>
                </w:tcPr>
                <w:p w14:paraId="5D1AAF9A">
                  <w:pPr>
                    <w:jc w:val="center"/>
                    <w:rPr>
                      <w:rFonts w:hint="eastAsia" w:eastAsia="宋体"/>
                      <w:color w:val="auto"/>
                      <w:szCs w:val="21"/>
                      <w:highlight w:val="none"/>
                      <w:lang w:val="en-US" w:eastAsia="zh-CN"/>
                    </w:rPr>
                  </w:pPr>
                  <w:r>
                    <w:rPr>
                      <w:rFonts w:hint="eastAsia"/>
                      <w:color w:val="auto"/>
                      <w:szCs w:val="21"/>
                      <w:highlight w:val="none"/>
                      <w:lang w:val="en-US" w:eastAsia="zh-CN"/>
                    </w:rPr>
                    <w:t>5</w:t>
                  </w:r>
                </w:p>
              </w:tc>
              <w:tc>
                <w:tcPr>
                  <w:tcW w:w="460" w:type="pct"/>
                  <w:noWrap w:val="0"/>
                  <w:vAlign w:val="center"/>
                </w:tcPr>
                <w:p w14:paraId="530E854A">
                  <w:pPr>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504" w:type="pct"/>
                  <w:noWrap w:val="0"/>
                  <w:vAlign w:val="center"/>
                </w:tcPr>
                <w:p w14:paraId="4D6E0A4F">
                  <w:pPr>
                    <w:pStyle w:val="49"/>
                    <w:bidi w:val="0"/>
                    <w:ind w:left="0" w:leftChars="0" w:firstLine="0" w:firstLineChars="0"/>
                    <w:rPr>
                      <w:color w:val="auto"/>
                      <w:szCs w:val="21"/>
                      <w:highlight w:val="none"/>
                    </w:rPr>
                  </w:pPr>
                  <w:r>
                    <w:rPr>
                      <w:color w:val="auto"/>
                      <w:highlight w:val="none"/>
                    </w:rPr>
                    <w:t>80</w:t>
                  </w:r>
                </w:p>
              </w:tc>
              <w:tc>
                <w:tcPr>
                  <w:tcW w:w="503" w:type="pct"/>
                  <w:vMerge w:val="continue"/>
                  <w:noWrap w:val="0"/>
                  <w:vAlign w:val="center"/>
                </w:tcPr>
                <w:p w14:paraId="5BB9D676">
                  <w:pPr>
                    <w:jc w:val="center"/>
                    <w:rPr>
                      <w:color w:val="auto"/>
                      <w:szCs w:val="21"/>
                      <w:highlight w:val="none"/>
                      <w:lang w:bidi="ar"/>
                    </w:rPr>
                  </w:pPr>
                </w:p>
              </w:tc>
              <w:tc>
                <w:tcPr>
                  <w:tcW w:w="676" w:type="pct"/>
                  <w:noWrap w:val="0"/>
                  <w:vAlign w:val="center"/>
                </w:tcPr>
                <w:p w14:paraId="1B507DB4">
                  <w:pPr>
                    <w:widowControl/>
                    <w:jc w:val="center"/>
                    <w:rPr>
                      <w:bCs/>
                      <w:color w:val="auto"/>
                      <w:szCs w:val="21"/>
                      <w:highlight w:val="none"/>
                      <w:lang w:bidi="ar"/>
                    </w:rPr>
                  </w:pPr>
                  <w:r>
                    <w:rPr>
                      <w:bCs/>
                      <w:color w:val="auto"/>
                      <w:szCs w:val="21"/>
                      <w:highlight w:val="none"/>
                      <w:lang w:bidi="ar"/>
                    </w:rPr>
                    <w:t>15</w:t>
                  </w:r>
                </w:p>
              </w:tc>
              <w:tc>
                <w:tcPr>
                  <w:tcW w:w="548" w:type="pct"/>
                  <w:noWrap w:val="0"/>
                  <w:vAlign w:val="center"/>
                </w:tcPr>
                <w:p w14:paraId="067ACA61">
                  <w:pPr>
                    <w:widowControl/>
                    <w:jc w:val="center"/>
                    <w:rPr>
                      <w:rFonts w:hint="default" w:eastAsia="宋体"/>
                      <w:bCs/>
                      <w:color w:val="auto"/>
                      <w:szCs w:val="21"/>
                      <w:highlight w:val="none"/>
                      <w:lang w:val="en-US" w:eastAsia="zh-CN" w:bidi="ar"/>
                    </w:rPr>
                  </w:pPr>
                  <w:r>
                    <w:rPr>
                      <w:rFonts w:hint="eastAsia"/>
                      <w:bCs/>
                      <w:color w:val="auto"/>
                      <w:szCs w:val="21"/>
                      <w:highlight w:val="none"/>
                      <w:lang w:val="en-US" w:eastAsia="zh-CN" w:bidi="ar"/>
                    </w:rPr>
                    <w:t>65</w:t>
                  </w:r>
                </w:p>
              </w:tc>
            </w:tr>
            <w:tr w14:paraId="0B50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77" w:type="pct"/>
                  <w:noWrap w:val="0"/>
                  <w:vAlign w:val="center"/>
                </w:tcPr>
                <w:p w14:paraId="47BF716B">
                  <w:pPr>
                    <w:jc w:val="center"/>
                    <w:rPr>
                      <w:color w:val="auto"/>
                      <w:spacing w:val="-1"/>
                      <w:szCs w:val="21"/>
                      <w:highlight w:val="none"/>
                      <w:lang w:bidi="ar"/>
                    </w:rPr>
                  </w:pPr>
                  <w:r>
                    <w:rPr>
                      <w:color w:val="auto"/>
                      <w:spacing w:val="-1"/>
                      <w:szCs w:val="21"/>
                      <w:highlight w:val="none"/>
                    </w:rPr>
                    <w:t>3</w:t>
                  </w:r>
                </w:p>
              </w:tc>
              <w:tc>
                <w:tcPr>
                  <w:tcW w:w="626" w:type="pct"/>
                  <w:noWrap w:val="0"/>
                  <w:vAlign w:val="center"/>
                </w:tcPr>
                <w:p w14:paraId="7E07D21C">
                  <w:pPr>
                    <w:pStyle w:val="49"/>
                    <w:bidi w:val="0"/>
                    <w:ind w:left="0" w:leftChars="0" w:firstLine="0" w:firstLineChars="0"/>
                    <w:rPr>
                      <w:color w:val="auto"/>
                      <w:szCs w:val="21"/>
                      <w:highlight w:val="none"/>
                    </w:rPr>
                  </w:pPr>
                  <w:r>
                    <w:rPr>
                      <w:rFonts w:hint="eastAsia"/>
                      <w:color w:val="auto"/>
                      <w:highlight w:val="none"/>
                      <w:lang w:val="en-US" w:eastAsia="zh-CN"/>
                    </w:rPr>
                    <w:t>炭化机</w:t>
                  </w:r>
                </w:p>
              </w:tc>
              <w:tc>
                <w:tcPr>
                  <w:tcW w:w="459" w:type="pct"/>
                  <w:noWrap w:val="0"/>
                  <w:vAlign w:val="center"/>
                </w:tcPr>
                <w:p w14:paraId="1BFEE2E6">
                  <w:pPr>
                    <w:jc w:val="center"/>
                    <w:rPr>
                      <w:color w:val="auto"/>
                      <w:szCs w:val="21"/>
                      <w:highlight w:val="none"/>
                    </w:rPr>
                  </w:pPr>
                  <w:r>
                    <w:rPr>
                      <w:color w:val="auto"/>
                      <w:szCs w:val="21"/>
                      <w:highlight w:val="none"/>
                    </w:rPr>
                    <w:t>频发</w:t>
                  </w:r>
                </w:p>
              </w:tc>
              <w:tc>
                <w:tcPr>
                  <w:tcW w:w="482" w:type="pct"/>
                  <w:noWrap w:val="0"/>
                  <w:vAlign w:val="center"/>
                </w:tcPr>
                <w:p w14:paraId="19AD0CED">
                  <w:pPr>
                    <w:jc w:val="center"/>
                    <w:rPr>
                      <w:rFonts w:hint="default" w:eastAsia="宋体"/>
                      <w:color w:val="auto"/>
                      <w:szCs w:val="21"/>
                      <w:highlight w:val="none"/>
                      <w:lang w:val="en-US" w:eastAsia="zh-CN"/>
                    </w:rPr>
                  </w:pPr>
                  <w:r>
                    <w:rPr>
                      <w:rFonts w:hint="eastAsia"/>
                      <w:color w:val="auto"/>
                      <w:szCs w:val="21"/>
                      <w:highlight w:val="none"/>
                      <w:lang w:val="en-US" w:eastAsia="zh-CN"/>
                    </w:rPr>
                    <w:t>-25</w:t>
                  </w:r>
                </w:p>
              </w:tc>
              <w:tc>
                <w:tcPr>
                  <w:tcW w:w="461" w:type="pct"/>
                  <w:noWrap w:val="0"/>
                  <w:vAlign w:val="center"/>
                </w:tcPr>
                <w:p w14:paraId="73B9876B">
                  <w:pPr>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460" w:type="pct"/>
                  <w:noWrap w:val="0"/>
                  <w:vAlign w:val="center"/>
                </w:tcPr>
                <w:p w14:paraId="6AA05A61">
                  <w:pPr>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504" w:type="pct"/>
                  <w:noWrap w:val="0"/>
                  <w:vAlign w:val="center"/>
                </w:tcPr>
                <w:p w14:paraId="158AB9F3">
                  <w:pPr>
                    <w:pStyle w:val="49"/>
                    <w:bidi w:val="0"/>
                    <w:ind w:left="0" w:leftChars="0" w:firstLine="0" w:firstLineChars="0"/>
                    <w:rPr>
                      <w:color w:val="auto"/>
                      <w:szCs w:val="21"/>
                      <w:highlight w:val="none"/>
                    </w:rPr>
                  </w:pPr>
                  <w:r>
                    <w:rPr>
                      <w:color w:val="auto"/>
                      <w:highlight w:val="none"/>
                    </w:rPr>
                    <w:t>90</w:t>
                  </w:r>
                </w:p>
              </w:tc>
              <w:tc>
                <w:tcPr>
                  <w:tcW w:w="503" w:type="pct"/>
                  <w:vMerge w:val="continue"/>
                  <w:noWrap w:val="0"/>
                  <w:vAlign w:val="center"/>
                </w:tcPr>
                <w:p w14:paraId="19A62217">
                  <w:pPr>
                    <w:jc w:val="center"/>
                    <w:rPr>
                      <w:color w:val="auto"/>
                      <w:szCs w:val="21"/>
                      <w:highlight w:val="none"/>
                      <w:lang w:bidi="ar"/>
                    </w:rPr>
                  </w:pPr>
                </w:p>
              </w:tc>
              <w:tc>
                <w:tcPr>
                  <w:tcW w:w="676" w:type="pct"/>
                  <w:noWrap w:val="0"/>
                  <w:vAlign w:val="center"/>
                </w:tcPr>
                <w:p w14:paraId="5DA62B51">
                  <w:pPr>
                    <w:widowControl/>
                    <w:jc w:val="center"/>
                    <w:rPr>
                      <w:color w:val="auto"/>
                      <w:szCs w:val="21"/>
                      <w:highlight w:val="none"/>
                      <w:lang w:bidi="ar"/>
                    </w:rPr>
                  </w:pPr>
                  <w:r>
                    <w:rPr>
                      <w:bCs/>
                      <w:color w:val="auto"/>
                      <w:szCs w:val="21"/>
                      <w:highlight w:val="none"/>
                      <w:lang w:bidi="ar"/>
                    </w:rPr>
                    <w:t>15</w:t>
                  </w:r>
                </w:p>
              </w:tc>
              <w:tc>
                <w:tcPr>
                  <w:tcW w:w="548" w:type="pct"/>
                  <w:noWrap w:val="0"/>
                  <w:vAlign w:val="center"/>
                </w:tcPr>
                <w:p w14:paraId="6A8D31D5">
                  <w:pPr>
                    <w:widowControl/>
                    <w:jc w:val="center"/>
                    <w:rPr>
                      <w:rFonts w:hint="default" w:eastAsia="宋体"/>
                      <w:color w:val="auto"/>
                      <w:szCs w:val="21"/>
                      <w:highlight w:val="none"/>
                      <w:lang w:val="en-US" w:eastAsia="zh-CN" w:bidi="ar"/>
                    </w:rPr>
                  </w:pPr>
                  <w:r>
                    <w:rPr>
                      <w:rFonts w:hint="eastAsia"/>
                      <w:color w:val="auto"/>
                      <w:szCs w:val="21"/>
                      <w:highlight w:val="none"/>
                      <w:lang w:val="en-US" w:eastAsia="zh-CN" w:bidi="ar"/>
                    </w:rPr>
                    <w:t>75</w:t>
                  </w:r>
                </w:p>
              </w:tc>
            </w:tr>
            <w:tr w14:paraId="7D91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77" w:type="pct"/>
                  <w:noWrap w:val="0"/>
                  <w:vAlign w:val="center"/>
                </w:tcPr>
                <w:p w14:paraId="23AA9AF3">
                  <w:pPr>
                    <w:jc w:val="center"/>
                    <w:rPr>
                      <w:color w:val="auto"/>
                      <w:spacing w:val="-1"/>
                      <w:szCs w:val="21"/>
                      <w:highlight w:val="none"/>
                    </w:rPr>
                  </w:pPr>
                  <w:r>
                    <w:rPr>
                      <w:color w:val="auto"/>
                      <w:spacing w:val="-1"/>
                      <w:szCs w:val="21"/>
                      <w:highlight w:val="none"/>
                    </w:rPr>
                    <w:t>4</w:t>
                  </w:r>
                </w:p>
              </w:tc>
              <w:tc>
                <w:tcPr>
                  <w:tcW w:w="626" w:type="pct"/>
                  <w:noWrap w:val="0"/>
                  <w:vAlign w:val="center"/>
                </w:tcPr>
                <w:p w14:paraId="67612D86">
                  <w:pPr>
                    <w:pStyle w:val="49"/>
                    <w:bidi w:val="0"/>
                    <w:ind w:left="0" w:leftChars="0" w:firstLine="0" w:firstLineChars="0"/>
                    <w:rPr>
                      <w:color w:val="auto"/>
                      <w:szCs w:val="21"/>
                      <w:highlight w:val="none"/>
                    </w:rPr>
                  </w:pPr>
                  <w:r>
                    <w:rPr>
                      <w:rFonts w:hint="eastAsia"/>
                      <w:color w:val="auto"/>
                      <w:highlight w:val="none"/>
                      <w:lang w:val="en-US" w:eastAsia="zh-CN"/>
                    </w:rPr>
                    <w:t>打包机</w:t>
                  </w:r>
                </w:p>
              </w:tc>
              <w:tc>
                <w:tcPr>
                  <w:tcW w:w="459" w:type="pct"/>
                  <w:noWrap w:val="0"/>
                  <w:vAlign w:val="center"/>
                </w:tcPr>
                <w:p w14:paraId="6F56E7EF">
                  <w:pPr>
                    <w:jc w:val="center"/>
                    <w:rPr>
                      <w:rFonts w:hint="eastAsia" w:eastAsia="宋体"/>
                      <w:color w:val="auto"/>
                      <w:szCs w:val="21"/>
                      <w:highlight w:val="none"/>
                      <w:lang w:val="en-US" w:eastAsia="zh-CN"/>
                    </w:rPr>
                  </w:pPr>
                  <w:r>
                    <w:rPr>
                      <w:rFonts w:hint="eastAsia"/>
                      <w:color w:val="auto"/>
                      <w:szCs w:val="21"/>
                      <w:highlight w:val="none"/>
                      <w:lang w:val="en-US" w:eastAsia="zh-CN"/>
                    </w:rPr>
                    <w:t>偶发</w:t>
                  </w:r>
                </w:p>
              </w:tc>
              <w:tc>
                <w:tcPr>
                  <w:tcW w:w="482" w:type="pct"/>
                  <w:noWrap w:val="0"/>
                  <w:vAlign w:val="center"/>
                </w:tcPr>
                <w:p w14:paraId="3BB74924">
                  <w:pPr>
                    <w:jc w:val="center"/>
                    <w:rPr>
                      <w:rFonts w:hint="default" w:eastAsia="宋体"/>
                      <w:color w:val="auto"/>
                      <w:szCs w:val="21"/>
                      <w:highlight w:val="none"/>
                      <w:lang w:val="en-US" w:eastAsia="zh-CN"/>
                    </w:rPr>
                  </w:pPr>
                  <w:r>
                    <w:rPr>
                      <w:rFonts w:hint="eastAsia"/>
                      <w:color w:val="auto"/>
                      <w:szCs w:val="21"/>
                      <w:highlight w:val="none"/>
                      <w:lang w:val="en-US" w:eastAsia="zh-CN"/>
                    </w:rPr>
                    <w:t>-15</w:t>
                  </w:r>
                </w:p>
              </w:tc>
              <w:tc>
                <w:tcPr>
                  <w:tcW w:w="461" w:type="pct"/>
                  <w:noWrap w:val="0"/>
                  <w:vAlign w:val="center"/>
                </w:tcPr>
                <w:p w14:paraId="16498CCF">
                  <w:pPr>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460" w:type="pct"/>
                  <w:noWrap w:val="0"/>
                  <w:vAlign w:val="center"/>
                </w:tcPr>
                <w:p w14:paraId="3F7DD62A">
                  <w:pPr>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504" w:type="pct"/>
                  <w:noWrap w:val="0"/>
                  <w:vAlign w:val="center"/>
                </w:tcPr>
                <w:p w14:paraId="2BF64BF3">
                  <w:pPr>
                    <w:pStyle w:val="49"/>
                    <w:bidi w:val="0"/>
                    <w:ind w:left="0" w:leftChars="0" w:firstLine="0" w:firstLineChars="0"/>
                    <w:rPr>
                      <w:color w:val="auto"/>
                      <w:szCs w:val="21"/>
                      <w:highlight w:val="none"/>
                    </w:rPr>
                  </w:pPr>
                  <w:r>
                    <w:rPr>
                      <w:color w:val="auto"/>
                      <w:highlight w:val="none"/>
                    </w:rPr>
                    <w:t>85</w:t>
                  </w:r>
                </w:p>
              </w:tc>
              <w:tc>
                <w:tcPr>
                  <w:tcW w:w="503" w:type="pct"/>
                  <w:vMerge w:val="continue"/>
                  <w:noWrap w:val="0"/>
                  <w:vAlign w:val="center"/>
                </w:tcPr>
                <w:p w14:paraId="3716856D">
                  <w:pPr>
                    <w:jc w:val="center"/>
                    <w:rPr>
                      <w:color w:val="auto"/>
                      <w:szCs w:val="21"/>
                      <w:highlight w:val="none"/>
                      <w:lang w:bidi="ar"/>
                    </w:rPr>
                  </w:pPr>
                </w:p>
              </w:tc>
              <w:tc>
                <w:tcPr>
                  <w:tcW w:w="676" w:type="pct"/>
                  <w:noWrap w:val="0"/>
                  <w:vAlign w:val="center"/>
                </w:tcPr>
                <w:p w14:paraId="7F747EDB">
                  <w:pPr>
                    <w:widowControl/>
                    <w:jc w:val="center"/>
                    <w:rPr>
                      <w:color w:val="auto"/>
                      <w:szCs w:val="21"/>
                      <w:highlight w:val="none"/>
                      <w:lang w:bidi="ar"/>
                    </w:rPr>
                  </w:pPr>
                  <w:r>
                    <w:rPr>
                      <w:bCs/>
                      <w:color w:val="auto"/>
                      <w:szCs w:val="21"/>
                      <w:highlight w:val="none"/>
                      <w:lang w:bidi="ar"/>
                    </w:rPr>
                    <w:t>15</w:t>
                  </w:r>
                </w:p>
              </w:tc>
              <w:tc>
                <w:tcPr>
                  <w:tcW w:w="548" w:type="pct"/>
                  <w:noWrap w:val="0"/>
                  <w:vAlign w:val="center"/>
                </w:tcPr>
                <w:p w14:paraId="51D9DC2E">
                  <w:pPr>
                    <w:widowControl/>
                    <w:jc w:val="center"/>
                    <w:rPr>
                      <w:rFonts w:hint="default" w:eastAsia="宋体"/>
                      <w:color w:val="auto"/>
                      <w:szCs w:val="21"/>
                      <w:highlight w:val="none"/>
                      <w:lang w:val="en-US" w:eastAsia="zh-CN" w:bidi="ar"/>
                    </w:rPr>
                  </w:pPr>
                  <w:r>
                    <w:rPr>
                      <w:rFonts w:hint="eastAsia"/>
                      <w:color w:val="auto"/>
                      <w:szCs w:val="21"/>
                      <w:highlight w:val="none"/>
                      <w:lang w:val="en-US" w:eastAsia="zh-CN" w:bidi="ar"/>
                    </w:rPr>
                    <w:t>70</w:t>
                  </w:r>
                </w:p>
              </w:tc>
            </w:tr>
            <w:tr w14:paraId="24FF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277" w:type="pct"/>
                  <w:noWrap w:val="0"/>
                  <w:vAlign w:val="center"/>
                </w:tcPr>
                <w:p w14:paraId="51C12780">
                  <w:pPr>
                    <w:jc w:val="center"/>
                    <w:rPr>
                      <w:rFonts w:hint="eastAsia" w:eastAsia="宋体"/>
                      <w:color w:val="auto"/>
                      <w:spacing w:val="-1"/>
                      <w:szCs w:val="21"/>
                      <w:highlight w:val="none"/>
                      <w:lang w:val="en-US" w:eastAsia="zh-CN"/>
                    </w:rPr>
                  </w:pPr>
                  <w:r>
                    <w:rPr>
                      <w:rFonts w:hint="eastAsia"/>
                      <w:color w:val="auto"/>
                      <w:spacing w:val="-1"/>
                      <w:szCs w:val="21"/>
                      <w:highlight w:val="none"/>
                      <w:lang w:val="en-US" w:eastAsia="zh-CN"/>
                    </w:rPr>
                    <w:t>5</w:t>
                  </w:r>
                </w:p>
              </w:tc>
              <w:tc>
                <w:tcPr>
                  <w:tcW w:w="626" w:type="pct"/>
                  <w:noWrap w:val="0"/>
                  <w:vAlign w:val="center"/>
                </w:tcPr>
                <w:p w14:paraId="040E11D6">
                  <w:pPr>
                    <w:pStyle w:val="49"/>
                    <w:bidi w:val="0"/>
                    <w:ind w:left="0" w:leftChars="0" w:firstLine="0" w:firstLineChars="0"/>
                    <w:rPr>
                      <w:rFonts w:hint="eastAsia"/>
                      <w:color w:val="auto"/>
                      <w:szCs w:val="21"/>
                      <w:highlight w:val="none"/>
                    </w:rPr>
                  </w:pPr>
                  <w:r>
                    <w:rPr>
                      <w:rFonts w:hint="eastAsia"/>
                      <w:color w:val="auto"/>
                      <w:highlight w:val="none"/>
                      <w:lang w:val="en-US" w:eastAsia="zh-CN"/>
                    </w:rPr>
                    <w:t>混气撬</w:t>
                  </w:r>
                </w:p>
              </w:tc>
              <w:tc>
                <w:tcPr>
                  <w:tcW w:w="459" w:type="pct"/>
                  <w:noWrap w:val="0"/>
                  <w:vAlign w:val="center"/>
                </w:tcPr>
                <w:p w14:paraId="6C7DAF87">
                  <w:pPr>
                    <w:jc w:val="center"/>
                    <w:rPr>
                      <w:rFonts w:hint="eastAsia" w:eastAsia="宋体"/>
                      <w:color w:val="auto"/>
                      <w:szCs w:val="21"/>
                      <w:highlight w:val="none"/>
                      <w:lang w:val="en-US" w:eastAsia="zh-CN"/>
                    </w:rPr>
                  </w:pPr>
                  <w:r>
                    <w:rPr>
                      <w:rFonts w:hint="eastAsia"/>
                      <w:color w:val="auto"/>
                      <w:szCs w:val="21"/>
                      <w:highlight w:val="none"/>
                      <w:lang w:val="en-US" w:eastAsia="zh-CN"/>
                    </w:rPr>
                    <w:t>偶发</w:t>
                  </w:r>
                </w:p>
              </w:tc>
              <w:tc>
                <w:tcPr>
                  <w:tcW w:w="482" w:type="pct"/>
                  <w:noWrap w:val="0"/>
                  <w:vAlign w:val="center"/>
                </w:tcPr>
                <w:p w14:paraId="5D1D8715">
                  <w:pPr>
                    <w:jc w:val="center"/>
                    <w:rPr>
                      <w:rFonts w:hint="eastAsia" w:eastAsia="宋体"/>
                      <w:color w:val="auto"/>
                      <w:szCs w:val="21"/>
                      <w:highlight w:val="none"/>
                      <w:lang w:val="en-US" w:eastAsia="zh-CN"/>
                    </w:rPr>
                  </w:pPr>
                  <w:r>
                    <w:rPr>
                      <w:rFonts w:hint="eastAsia"/>
                      <w:color w:val="auto"/>
                      <w:szCs w:val="21"/>
                      <w:highlight w:val="none"/>
                      <w:lang w:val="en-US" w:eastAsia="zh-CN"/>
                    </w:rPr>
                    <w:t>2</w:t>
                  </w:r>
                </w:p>
              </w:tc>
              <w:tc>
                <w:tcPr>
                  <w:tcW w:w="461" w:type="pct"/>
                  <w:noWrap w:val="0"/>
                  <w:vAlign w:val="center"/>
                </w:tcPr>
                <w:p w14:paraId="63348F6C">
                  <w:pPr>
                    <w:jc w:val="center"/>
                    <w:rPr>
                      <w:rFonts w:hint="default" w:eastAsia="宋体"/>
                      <w:color w:val="auto"/>
                      <w:szCs w:val="21"/>
                      <w:highlight w:val="none"/>
                      <w:lang w:val="en-US" w:eastAsia="zh-CN"/>
                    </w:rPr>
                  </w:pPr>
                  <w:r>
                    <w:rPr>
                      <w:rFonts w:hint="eastAsia"/>
                      <w:color w:val="auto"/>
                      <w:szCs w:val="21"/>
                      <w:highlight w:val="none"/>
                      <w:lang w:val="en-US" w:eastAsia="zh-CN"/>
                    </w:rPr>
                    <w:t>25</w:t>
                  </w:r>
                </w:p>
              </w:tc>
              <w:tc>
                <w:tcPr>
                  <w:tcW w:w="460" w:type="pct"/>
                  <w:noWrap w:val="0"/>
                  <w:vAlign w:val="center"/>
                </w:tcPr>
                <w:p w14:paraId="609B677A">
                  <w:pPr>
                    <w:jc w:val="center"/>
                    <w:rPr>
                      <w:rFonts w:hint="eastAsia" w:eastAsia="宋体"/>
                      <w:color w:val="auto"/>
                      <w:szCs w:val="21"/>
                      <w:highlight w:val="none"/>
                      <w:lang w:val="en-US" w:eastAsia="zh-CN"/>
                    </w:rPr>
                  </w:pPr>
                  <w:r>
                    <w:rPr>
                      <w:rFonts w:hint="eastAsia"/>
                      <w:color w:val="auto"/>
                      <w:szCs w:val="21"/>
                      <w:highlight w:val="none"/>
                      <w:lang w:val="en-US" w:eastAsia="zh-CN"/>
                    </w:rPr>
                    <w:t>1</w:t>
                  </w:r>
                </w:p>
              </w:tc>
              <w:tc>
                <w:tcPr>
                  <w:tcW w:w="504" w:type="pct"/>
                  <w:noWrap w:val="0"/>
                  <w:vAlign w:val="center"/>
                </w:tcPr>
                <w:p w14:paraId="2EFFC958">
                  <w:pPr>
                    <w:pStyle w:val="49"/>
                    <w:bidi w:val="0"/>
                    <w:ind w:left="0" w:leftChars="0" w:firstLine="0" w:firstLineChars="0"/>
                    <w:rPr>
                      <w:color w:val="auto"/>
                      <w:szCs w:val="21"/>
                      <w:highlight w:val="none"/>
                    </w:rPr>
                  </w:pPr>
                  <w:r>
                    <w:rPr>
                      <w:color w:val="auto"/>
                      <w:highlight w:val="none"/>
                    </w:rPr>
                    <w:t>90</w:t>
                  </w:r>
                </w:p>
              </w:tc>
              <w:tc>
                <w:tcPr>
                  <w:tcW w:w="503" w:type="pct"/>
                  <w:vMerge w:val="continue"/>
                  <w:noWrap w:val="0"/>
                  <w:vAlign w:val="center"/>
                </w:tcPr>
                <w:p w14:paraId="31DCB91C">
                  <w:pPr>
                    <w:jc w:val="center"/>
                    <w:rPr>
                      <w:color w:val="auto"/>
                      <w:szCs w:val="21"/>
                      <w:highlight w:val="none"/>
                      <w:lang w:bidi="ar"/>
                    </w:rPr>
                  </w:pPr>
                </w:p>
              </w:tc>
              <w:tc>
                <w:tcPr>
                  <w:tcW w:w="676" w:type="pct"/>
                  <w:noWrap w:val="0"/>
                  <w:vAlign w:val="center"/>
                </w:tcPr>
                <w:p w14:paraId="127B1241">
                  <w:pPr>
                    <w:widowControl/>
                    <w:jc w:val="center"/>
                    <w:rPr>
                      <w:rFonts w:hint="default" w:eastAsia="宋体"/>
                      <w:bCs/>
                      <w:color w:val="auto"/>
                      <w:szCs w:val="21"/>
                      <w:highlight w:val="none"/>
                      <w:lang w:val="en-US" w:eastAsia="zh-CN" w:bidi="ar"/>
                    </w:rPr>
                  </w:pPr>
                  <w:r>
                    <w:rPr>
                      <w:rFonts w:hint="eastAsia"/>
                      <w:bCs/>
                      <w:color w:val="auto"/>
                      <w:szCs w:val="21"/>
                      <w:highlight w:val="none"/>
                      <w:lang w:val="en-US" w:eastAsia="zh-CN" w:bidi="ar"/>
                    </w:rPr>
                    <w:t>15</w:t>
                  </w:r>
                </w:p>
              </w:tc>
              <w:tc>
                <w:tcPr>
                  <w:tcW w:w="548" w:type="pct"/>
                  <w:noWrap w:val="0"/>
                  <w:vAlign w:val="center"/>
                </w:tcPr>
                <w:p w14:paraId="36A4BAAB">
                  <w:pPr>
                    <w:widowControl/>
                    <w:jc w:val="center"/>
                    <w:rPr>
                      <w:rFonts w:hint="default" w:eastAsia="宋体"/>
                      <w:bCs/>
                      <w:color w:val="auto"/>
                      <w:szCs w:val="21"/>
                      <w:highlight w:val="none"/>
                      <w:lang w:val="en-US" w:eastAsia="zh-CN" w:bidi="ar"/>
                    </w:rPr>
                  </w:pPr>
                  <w:r>
                    <w:rPr>
                      <w:rFonts w:hint="eastAsia"/>
                      <w:bCs/>
                      <w:color w:val="auto"/>
                      <w:szCs w:val="21"/>
                      <w:highlight w:val="none"/>
                      <w:lang w:val="en-US" w:eastAsia="zh-CN" w:bidi="ar"/>
                    </w:rPr>
                    <w:t>75</w:t>
                  </w:r>
                </w:p>
              </w:tc>
            </w:tr>
            <w:tr w14:paraId="52BF7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5000" w:type="pct"/>
                  <w:gridSpan w:val="10"/>
                  <w:noWrap w:val="0"/>
                  <w:vAlign w:val="center"/>
                </w:tcPr>
                <w:p w14:paraId="0A79A956">
                  <w:pPr>
                    <w:widowControl/>
                    <w:jc w:val="left"/>
                    <w:rPr>
                      <w:rFonts w:hint="eastAsia" w:eastAsia="宋体"/>
                      <w:bCs/>
                      <w:color w:val="auto"/>
                      <w:szCs w:val="21"/>
                      <w:highlight w:val="none"/>
                      <w:lang w:val="en-US" w:eastAsia="zh-CN" w:bidi="ar"/>
                    </w:rPr>
                  </w:pPr>
                  <w:r>
                    <w:rPr>
                      <w:color w:val="auto"/>
                      <w:spacing w:val="-1"/>
                      <w:sz w:val="20"/>
                      <w:szCs w:val="20"/>
                      <w:highlight w:val="none"/>
                    </w:rPr>
                    <w:t>注：</w:t>
                  </w:r>
                  <w:r>
                    <w:rPr>
                      <w:bCs/>
                      <w:color w:val="auto"/>
                      <w:sz w:val="20"/>
                      <w:szCs w:val="20"/>
                      <w:highlight w:val="none"/>
                    </w:rPr>
                    <w:t>坐标以厂界中心为坐标原点，正东向为X轴正方向，正北向为Y轴正方向</w:t>
                  </w:r>
                  <w:r>
                    <w:rPr>
                      <w:rFonts w:hint="eastAsia"/>
                      <w:bCs/>
                      <w:color w:val="auto"/>
                      <w:sz w:val="20"/>
                      <w:szCs w:val="20"/>
                      <w:highlight w:val="none"/>
                      <w:lang w:eastAsia="zh-CN"/>
                    </w:rPr>
                    <w:t>。</w:t>
                  </w:r>
                </w:p>
              </w:tc>
            </w:tr>
          </w:tbl>
          <w:p w14:paraId="41000A3B">
            <w:pPr>
              <w:widowControl/>
              <w:adjustRightInd w:val="0"/>
              <w:snapToGrid w:val="0"/>
              <w:spacing w:line="360" w:lineRule="auto"/>
              <w:ind w:firstLine="480" w:firstLineChars="200"/>
              <w:rPr>
                <w:color w:val="auto"/>
                <w:sz w:val="24"/>
                <w:highlight w:val="none"/>
              </w:rPr>
            </w:pPr>
            <w:r>
              <w:rPr>
                <w:rFonts w:hint="eastAsia" w:cs="宋体"/>
                <w:color w:val="auto"/>
                <w:sz w:val="24"/>
                <w:highlight w:val="none"/>
                <w:lang w:bidi="ar"/>
              </w:rPr>
              <w:t>根据对本项目噪声源分析，项目在采取本评价提出的降噪措施后，可有效减少噪声排放，经距离衰减后，可确保项目厂界噪声达标排放。</w:t>
            </w:r>
          </w:p>
          <w:p w14:paraId="0E85F392">
            <w:pPr>
              <w:spacing w:line="360" w:lineRule="auto"/>
              <w:ind w:firstLine="480" w:firstLineChars="200"/>
              <w:rPr>
                <w:color w:val="auto"/>
                <w:sz w:val="24"/>
                <w:highlight w:val="none"/>
              </w:rPr>
            </w:pPr>
            <w:r>
              <w:rPr>
                <w:rFonts w:hint="eastAsia" w:cs="宋体"/>
                <w:color w:val="auto"/>
                <w:sz w:val="24"/>
                <w:highlight w:val="none"/>
                <w:lang w:bidi="ar"/>
              </w:rPr>
              <w:t>（</w:t>
            </w:r>
            <w:r>
              <w:rPr>
                <w:rFonts w:hint="eastAsia"/>
                <w:color w:val="auto"/>
                <w:sz w:val="24"/>
                <w:highlight w:val="none"/>
                <w:lang w:val="en-US" w:eastAsia="zh-CN" w:bidi="ar"/>
              </w:rPr>
              <w:t>2</w:t>
            </w:r>
            <w:r>
              <w:rPr>
                <w:rFonts w:hint="eastAsia" w:cs="宋体"/>
                <w:color w:val="auto"/>
                <w:sz w:val="24"/>
                <w:highlight w:val="none"/>
                <w:lang w:bidi="ar"/>
              </w:rPr>
              <w:t>）预测模式</w:t>
            </w:r>
          </w:p>
          <w:p w14:paraId="49D29373">
            <w:pPr>
              <w:spacing w:line="360" w:lineRule="auto"/>
              <w:ind w:firstLine="480" w:firstLineChars="200"/>
              <w:rPr>
                <w:color w:val="auto"/>
                <w:sz w:val="24"/>
                <w:highlight w:val="none"/>
              </w:rPr>
            </w:pPr>
            <w:r>
              <w:rPr>
                <w:rFonts w:hint="eastAsia" w:cs="宋体"/>
                <w:color w:val="auto"/>
                <w:sz w:val="24"/>
                <w:highlight w:val="none"/>
                <w:lang w:bidi="ar"/>
              </w:rPr>
              <w:t>按照《环境影响评价技术导则声环境》（</w:t>
            </w:r>
            <w:r>
              <w:rPr>
                <w:color w:val="auto"/>
                <w:sz w:val="24"/>
                <w:highlight w:val="none"/>
                <w:lang w:bidi="ar"/>
              </w:rPr>
              <w:t>HJ2.4-2009</w:t>
            </w:r>
            <w:r>
              <w:rPr>
                <w:rFonts w:hint="eastAsia" w:cs="宋体"/>
                <w:color w:val="auto"/>
                <w:sz w:val="24"/>
                <w:highlight w:val="none"/>
                <w:lang w:bidi="ar"/>
              </w:rPr>
              <w:t>）中推荐模式进行预测。</w:t>
            </w:r>
          </w:p>
          <w:p w14:paraId="1D9CE57F">
            <w:pPr>
              <w:autoSpaceDE w:val="0"/>
              <w:autoSpaceDN w:val="0"/>
              <w:spacing w:line="360" w:lineRule="auto"/>
              <w:ind w:firstLine="472" w:firstLineChars="197"/>
              <w:rPr>
                <w:color w:val="auto"/>
                <w:sz w:val="24"/>
                <w:highlight w:val="none"/>
              </w:rPr>
            </w:pPr>
            <w:r>
              <w:rPr>
                <w:rFonts w:hint="eastAsia" w:ascii="宋体" w:hAnsi="宋体" w:cs="宋体"/>
                <w:color w:val="auto"/>
                <w:sz w:val="24"/>
                <w:highlight w:val="none"/>
                <w:lang w:val="zh-CN" w:bidi="ar"/>
              </w:rPr>
              <w:t>①</w:t>
            </w:r>
            <w:r>
              <w:rPr>
                <w:rFonts w:hint="eastAsia" w:cs="宋体"/>
                <w:color w:val="auto"/>
                <w:sz w:val="24"/>
                <w:highlight w:val="none"/>
                <w:lang w:val="zh-CN" w:bidi="ar"/>
              </w:rPr>
              <w:t>室外声源</w:t>
            </w:r>
          </w:p>
          <w:p w14:paraId="22449E88">
            <w:pPr>
              <w:spacing w:line="360" w:lineRule="auto"/>
              <w:ind w:firstLine="480" w:firstLineChars="200"/>
              <w:rPr>
                <w:rFonts w:hint="eastAsia" w:eastAsia="宋体"/>
                <w:color w:val="auto"/>
                <w:sz w:val="24"/>
                <w:highlight w:val="none"/>
                <w:lang w:eastAsia="zh-CN"/>
              </w:rPr>
            </w:pPr>
            <w:r>
              <w:rPr>
                <w:rFonts w:hint="eastAsia" w:cs="宋体"/>
                <w:color w:val="auto"/>
                <w:sz w:val="24"/>
                <w:highlight w:val="none"/>
                <w:lang w:bidi="ar"/>
              </w:rPr>
              <w:t>对于室外点声源，某个噪声源在预测点的</w:t>
            </w:r>
            <w:r>
              <w:rPr>
                <w:color w:val="auto"/>
                <w:sz w:val="24"/>
                <w:highlight w:val="none"/>
                <w:lang w:bidi="ar"/>
              </w:rPr>
              <w:t>A</w:t>
            </w:r>
            <w:r>
              <w:rPr>
                <w:rFonts w:hint="eastAsia" w:cs="宋体"/>
                <w:color w:val="auto"/>
                <w:sz w:val="24"/>
                <w:highlight w:val="none"/>
                <w:lang w:bidi="ar"/>
              </w:rPr>
              <w:t>声级为：</w:t>
            </w:r>
          </w:p>
          <w:p w14:paraId="50D686F3">
            <w:pPr>
              <w:spacing w:line="360" w:lineRule="auto"/>
              <w:jc w:val="center"/>
              <w:rPr>
                <w:color w:val="auto"/>
                <w:sz w:val="24"/>
                <w:highlight w:val="none"/>
              </w:rPr>
            </w:pPr>
            <w:r>
              <w:rPr>
                <w:color w:val="auto"/>
                <w:sz w:val="24"/>
                <w:highlight w:val="none"/>
                <w:lang w:bidi="ar"/>
              </w:rPr>
              <w:drawing>
                <wp:inline distT="0" distB="0" distL="114300" distR="114300">
                  <wp:extent cx="2028825" cy="419100"/>
                  <wp:effectExtent l="0" t="0" r="0"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21"/>
                          <a:stretch>
                            <a:fillRect/>
                          </a:stretch>
                        </pic:blipFill>
                        <pic:spPr>
                          <a:xfrm>
                            <a:off x="0" y="0"/>
                            <a:ext cx="2028825" cy="419100"/>
                          </a:xfrm>
                          <a:prstGeom prst="rect">
                            <a:avLst/>
                          </a:prstGeom>
                          <a:noFill/>
                          <a:ln>
                            <a:noFill/>
                          </a:ln>
                        </pic:spPr>
                      </pic:pic>
                    </a:graphicData>
                  </a:graphic>
                </wp:inline>
              </w:drawing>
            </w:r>
          </w:p>
          <w:p w14:paraId="008F5ABA">
            <w:pPr>
              <w:spacing w:line="360" w:lineRule="auto"/>
              <w:ind w:firstLine="472" w:firstLineChars="197"/>
              <w:rPr>
                <w:color w:val="auto"/>
                <w:sz w:val="24"/>
                <w:highlight w:val="none"/>
              </w:rPr>
            </w:pPr>
            <w:r>
              <w:rPr>
                <w:rFonts w:hint="eastAsia" w:cs="宋体"/>
                <w:color w:val="auto"/>
                <w:sz w:val="24"/>
                <w:highlight w:val="none"/>
                <w:lang w:bidi="ar"/>
              </w:rPr>
              <w:t>式中：</w:t>
            </w:r>
            <w:r>
              <w:rPr>
                <w:color w:val="auto"/>
                <w:sz w:val="24"/>
                <w:highlight w:val="none"/>
                <w:lang w:bidi="ar"/>
              </w:rPr>
              <w:drawing>
                <wp:inline distT="0" distB="0" distL="114300" distR="114300">
                  <wp:extent cx="381000" cy="219075"/>
                  <wp:effectExtent l="0" t="0" r="0" b="952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2"/>
                          <a:stretch>
                            <a:fillRect/>
                          </a:stretch>
                        </pic:blipFill>
                        <pic:spPr>
                          <a:xfrm>
                            <a:off x="0" y="0"/>
                            <a:ext cx="381000" cy="219075"/>
                          </a:xfrm>
                          <a:prstGeom prst="rect">
                            <a:avLst/>
                          </a:prstGeom>
                          <a:noFill/>
                          <a:ln>
                            <a:noFill/>
                          </a:ln>
                        </pic:spPr>
                      </pic:pic>
                    </a:graphicData>
                  </a:graphic>
                </wp:inline>
              </w:drawing>
            </w:r>
            <w:r>
              <w:rPr>
                <w:color w:val="auto"/>
                <w:sz w:val="24"/>
                <w:highlight w:val="none"/>
                <w:lang w:bidi="ar"/>
              </w:rPr>
              <w:t>—</w:t>
            </w:r>
            <w:r>
              <w:rPr>
                <w:rFonts w:hint="eastAsia" w:cs="宋体"/>
                <w:color w:val="auto"/>
                <w:sz w:val="24"/>
                <w:highlight w:val="none"/>
                <w:lang w:bidi="ar"/>
              </w:rPr>
              <w:t>距离声源</w:t>
            </w:r>
            <w:r>
              <w:rPr>
                <w:color w:val="auto"/>
                <w:sz w:val="24"/>
                <w:highlight w:val="none"/>
                <w:lang w:bidi="ar"/>
              </w:rPr>
              <w:t>r</w:t>
            </w:r>
            <w:r>
              <w:rPr>
                <w:rFonts w:hint="eastAsia" w:cs="宋体"/>
                <w:color w:val="auto"/>
                <w:sz w:val="24"/>
                <w:highlight w:val="none"/>
                <w:lang w:bidi="ar"/>
              </w:rPr>
              <w:t>处的</w:t>
            </w:r>
            <w:r>
              <w:rPr>
                <w:color w:val="auto"/>
                <w:sz w:val="24"/>
                <w:highlight w:val="none"/>
                <w:lang w:bidi="ar"/>
              </w:rPr>
              <w:t>A</w:t>
            </w:r>
            <w:r>
              <w:rPr>
                <w:rFonts w:hint="eastAsia" w:cs="宋体"/>
                <w:color w:val="auto"/>
                <w:sz w:val="24"/>
                <w:highlight w:val="none"/>
                <w:lang w:bidi="ar"/>
              </w:rPr>
              <w:t>声级，</w:t>
            </w:r>
            <w:r>
              <w:rPr>
                <w:color w:val="auto"/>
                <w:sz w:val="24"/>
                <w:highlight w:val="none"/>
                <w:lang w:bidi="ar"/>
              </w:rPr>
              <w:t>dB(A)</w:t>
            </w:r>
            <w:r>
              <w:rPr>
                <w:rFonts w:hint="eastAsia" w:cs="宋体"/>
                <w:color w:val="auto"/>
                <w:sz w:val="24"/>
                <w:highlight w:val="none"/>
                <w:lang w:bidi="ar"/>
              </w:rPr>
              <w:t>；</w:t>
            </w:r>
          </w:p>
          <w:p w14:paraId="41AC2FB9">
            <w:pPr>
              <w:spacing w:line="360" w:lineRule="auto"/>
              <w:ind w:firstLine="1308" w:firstLineChars="545"/>
              <w:rPr>
                <w:color w:val="auto"/>
                <w:sz w:val="24"/>
                <w:highlight w:val="none"/>
              </w:rPr>
            </w:pPr>
            <w:r>
              <w:rPr>
                <w:color w:val="auto"/>
                <w:sz w:val="24"/>
                <w:highlight w:val="none"/>
                <w:lang w:bidi="ar"/>
              </w:rPr>
              <w:drawing>
                <wp:inline distT="0" distB="0" distL="114300" distR="114300">
                  <wp:extent cx="419100" cy="238125"/>
                  <wp:effectExtent l="0" t="0" r="0" b="8890"/>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23"/>
                          <a:stretch>
                            <a:fillRect/>
                          </a:stretch>
                        </pic:blipFill>
                        <pic:spPr>
                          <a:xfrm>
                            <a:off x="0" y="0"/>
                            <a:ext cx="419100" cy="238125"/>
                          </a:xfrm>
                          <a:prstGeom prst="rect">
                            <a:avLst/>
                          </a:prstGeom>
                          <a:noFill/>
                          <a:ln>
                            <a:noFill/>
                          </a:ln>
                        </pic:spPr>
                      </pic:pic>
                    </a:graphicData>
                  </a:graphic>
                </wp:inline>
              </w:drawing>
            </w:r>
            <w:r>
              <w:rPr>
                <w:color w:val="auto"/>
                <w:sz w:val="24"/>
                <w:highlight w:val="none"/>
                <w:lang w:bidi="ar"/>
              </w:rPr>
              <w:t>—</w:t>
            </w:r>
            <w:r>
              <w:rPr>
                <w:rFonts w:hint="eastAsia" w:cs="宋体"/>
                <w:color w:val="auto"/>
                <w:sz w:val="24"/>
                <w:highlight w:val="none"/>
                <w:lang w:bidi="ar"/>
              </w:rPr>
              <w:t>参考位置</w:t>
            </w:r>
            <w:r>
              <w:rPr>
                <w:color w:val="auto"/>
                <w:sz w:val="24"/>
                <w:highlight w:val="none"/>
                <w:lang w:bidi="ar"/>
              </w:rPr>
              <w:t>r</w:t>
            </w:r>
            <w:r>
              <w:rPr>
                <w:color w:val="auto"/>
                <w:sz w:val="24"/>
                <w:highlight w:val="none"/>
                <w:vertAlign w:val="subscript"/>
                <w:lang w:bidi="ar"/>
              </w:rPr>
              <w:t>0</w:t>
            </w:r>
            <w:r>
              <w:rPr>
                <w:rFonts w:hint="eastAsia" w:cs="宋体"/>
                <w:color w:val="auto"/>
                <w:sz w:val="24"/>
                <w:highlight w:val="none"/>
                <w:lang w:bidi="ar"/>
              </w:rPr>
              <w:t>处的</w:t>
            </w:r>
            <w:r>
              <w:rPr>
                <w:color w:val="auto"/>
                <w:sz w:val="24"/>
                <w:highlight w:val="none"/>
                <w:lang w:bidi="ar"/>
              </w:rPr>
              <w:t>A</w:t>
            </w:r>
            <w:r>
              <w:rPr>
                <w:rFonts w:hint="eastAsia" w:cs="宋体"/>
                <w:color w:val="auto"/>
                <w:sz w:val="24"/>
                <w:highlight w:val="none"/>
                <w:lang w:bidi="ar"/>
              </w:rPr>
              <w:t>声级，</w:t>
            </w:r>
            <w:r>
              <w:rPr>
                <w:color w:val="auto"/>
                <w:sz w:val="24"/>
                <w:highlight w:val="none"/>
                <w:lang w:bidi="ar"/>
              </w:rPr>
              <w:t>dB(A)</w:t>
            </w:r>
            <w:r>
              <w:rPr>
                <w:rFonts w:hint="eastAsia" w:cs="宋体"/>
                <w:color w:val="auto"/>
                <w:sz w:val="24"/>
                <w:highlight w:val="none"/>
                <w:lang w:bidi="ar"/>
              </w:rPr>
              <w:t>；</w:t>
            </w:r>
          </w:p>
          <w:p w14:paraId="035DB794">
            <w:pPr>
              <w:spacing w:line="360" w:lineRule="auto"/>
              <w:ind w:firstLine="1308" w:firstLineChars="545"/>
              <w:rPr>
                <w:color w:val="auto"/>
                <w:sz w:val="24"/>
                <w:highlight w:val="none"/>
              </w:rPr>
            </w:pPr>
            <w:r>
              <w:rPr>
                <w:color w:val="auto"/>
                <w:sz w:val="24"/>
                <w:highlight w:val="none"/>
                <w:lang w:bidi="ar"/>
              </w:rPr>
              <w:drawing>
                <wp:inline distT="0" distB="0" distL="114300" distR="114300">
                  <wp:extent cx="143510" cy="219075"/>
                  <wp:effectExtent l="0" t="0" r="8890" b="571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24"/>
                          <a:stretch>
                            <a:fillRect/>
                          </a:stretch>
                        </pic:blipFill>
                        <pic:spPr>
                          <a:xfrm>
                            <a:off x="0" y="0"/>
                            <a:ext cx="143510" cy="219075"/>
                          </a:xfrm>
                          <a:prstGeom prst="rect">
                            <a:avLst/>
                          </a:prstGeom>
                          <a:noFill/>
                          <a:ln>
                            <a:noFill/>
                          </a:ln>
                        </pic:spPr>
                      </pic:pic>
                    </a:graphicData>
                  </a:graphic>
                </wp:inline>
              </w:drawing>
            </w:r>
            <w:r>
              <w:rPr>
                <w:color w:val="auto"/>
                <w:sz w:val="24"/>
                <w:highlight w:val="none"/>
                <w:lang w:bidi="ar"/>
              </w:rPr>
              <w:t>—</w:t>
            </w:r>
            <w:r>
              <w:rPr>
                <w:rFonts w:hint="eastAsia" w:cs="宋体"/>
                <w:color w:val="auto"/>
                <w:sz w:val="24"/>
                <w:highlight w:val="none"/>
                <w:lang w:bidi="ar"/>
              </w:rPr>
              <w:t>参考位置距离声源的距离，</w:t>
            </w:r>
            <w:r>
              <w:rPr>
                <w:color w:val="auto"/>
                <w:sz w:val="24"/>
                <w:highlight w:val="none"/>
                <w:lang w:bidi="ar"/>
              </w:rPr>
              <w:t>m</w:t>
            </w:r>
            <w:r>
              <w:rPr>
                <w:rFonts w:hint="eastAsia" w:cs="宋体"/>
                <w:color w:val="auto"/>
                <w:sz w:val="24"/>
                <w:highlight w:val="none"/>
                <w:lang w:bidi="ar"/>
              </w:rPr>
              <w:t>；</w:t>
            </w:r>
          </w:p>
          <w:p w14:paraId="50689A97">
            <w:pPr>
              <w:spacing w:line="360" w:lineRule="auto"/>
              <w:ind w:firstLine="1308" w:firstLineChars="545"/>
              <w:rPr>
                <w:color w:val="auto"/>
                <w:sz w:val="24"/>
                <w:highlight w:val="none"/>
              </w:rPr>
            </w:pPr>
            <w:r>
              <w:rPr>
                <w:color w:val="auto"/>
                <w:sz w:val="24"/>
                <w:highlight w:val="none"/>
                <w:lang w:bidi="ar"/>
              </w:rPr>
              <w:drawing>
                <wp:inline distT="0" distB="0" distL="114300" distR="114300">
                  <wp:extent cx="114300" cy="123825"/>
                  <wp:effectExtent l="0" t="0" r="0" b="571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25"/>
                          <a:stretch>
                            <a:fillRect/>
                          </a:stretch>
                        </pic:blipFill>
                        <pic:spPr>
                          <a:xfrm>
                            <a:off x="0" y="0"/>
                            <a:ext cx="114300" cy="123825"/>
                          </a:xfrm>
                          <a:prstGeom prst="rect">
                            <a:avLst/>
                          </a:prstGeom>
                          <a:noFill/>
                          <a:ln>
                            <a:noFill/>
                          </a:ln>
                        </pic:spPr>
                      </pic:pic>
                    </a:graphicData>
                  </a:graphic>
                </wp:inline>
              </w:drawing>
            </w:r>
            <w:r>
              <w:rPr>
                <w:color w:val="auto"/>
                <w:sz w:val="24"/>
                <w:highlight w:val="none"/>
                <w:lang w:bidi="ar"/>
              </w:rPr>
              <w:t>—</w:t>
            </w:r>
            <w:r>
              <w:rPr>
                <w:rFonts w:hint="eastAsia" w:cs="宋体"/>
                <w:color w:val="auto"/>
                <w:sz w:val="24"/>
                <w:highlight w:val="none"/>
                <w:lang w:bidi="ar"/>
              </w:rPr>
              <w:t>预测点距离声源的距离，</w:t>
            </w:r>
            <w:r>
              <w:rPr>
                <w:color w:val="auto"/>
                <w:sz w:val="24"/>
                <w:highlight w:val="none"/>
                <w:lang w:bidi="ar"/>
              </w:rPr>
              <w:t>m</w:t>
            </w:r>
            <w:r>
              <w:rPr>
                <w:rFonts w:hint="eastAsia" w:cs="宋体"/>
                <w:color w:val="auto"/>
                <w:sz w:val="24"/>
                <w:highlight w:val="none"/>
                <w:lang w:bidi="ar"/>
              </w:rPr>
              <w:t>；</w:t>
            </w:r>
          </w:p>
          <w:p w14:paraId="5CF91B13">
            <w:pPr>
              <w:spacing w:line="360" w:lineRule="auto"/>
              <w:ind w:firstLine="1308" w:firstLineChars="545"/>
              <w:rPr>
                <w:color w:val="auto"/>
                <w:sz w:val="24"/>
                <w:highlight w:val="none"/>
              </w:rPr>
            </w:pPr>
            <w:r>
              <w:rPr>
                <w:color w:val="auto"/>
                <w:sz w:val="24"/>
                <w:highlight w:val="none"/>
                <w:lang w:bidi="ar"/>
              </w:rPr>
              <w:t>ΔL—</w:t>
            </w:r>
            <w:r>
              <w:rPr>
                <w:rFonts w:hint="eastAsia" w:cs="宋体"/>
                <w:color w:val="auto"/>
                <w:sz w:val="24"/>
                <w:highlight w:val="none"/>
                <w:lang w:bidi="ar"/>
              </w:rPr>
              <w:t>各种因素引起的声衰减量（如声屏障、遮挡物、空气吸收、地面吸收等引起的声衰减），已经考虑隔声量，此处</w:t>
            </w:r>
            <w:r>
              <w:rPr>
                <w:color w:val="auto"/>
                <w:sz w:val="24"/>
                <w:highlight w:val="none"/>
                <w:lang w:bidi="ar"/>
              </w:rPr>
              <w:t>ΔL</w:t>
            </w:r>
            <w:r>
              <w:rPr>
                <w:rFonts w:hint="eastAsia" w:cs="宋体"/>
                <w:color w:val="auto"/>
                <w:sz w:val="24"/>
                <w:highlight w:val="none"/>
                <w:lang w:bidi="ar"/>
              </w:rPr>
              <w:t>取</w:t>
            </w:r>
            <w:r>
              <w:rPr>
                <w:color w:val="auto"/>
                <w:sz w:val="24"/>
                <w:highlight w:val="none"/>
                <w:lang w:bidi="ar"/>
              </w:rPr>
              <w:t>0</w:t>
            </w:r>
            <w:r>
              <w:rPr>
                <w:rFonts w:hint="eastAsia" w:cs="宋体"/>
                <w:color w:val="auto"/>
                <w:sz w:val="24"/>
                <w:highlight w:val="none"/>
                <w:lang w:bidi="ar"/>
              </w:rPr>
              <w:t>，</w:t>
            </w:r>
            <w:r>
              <w:rPr>
                <w:color w:val="auto"/>
                <w:sz w:val="24"/>
                <w:highlight w:val="none"/>
                <w:lang w:bidi="ar"/>
              </w:rPr>
              <w:t>dB(A)</w:t>
            </w:r>
            <w:r>
              <w:rPr>
                <w:rFonts w:hint="eastAsia" w:cs="宋体"/>
                <w:color w:val="auto"/>
                <w:sz w:val="24"/>
                <w:highlight w:val="none"/>
                <w:lang w:bidi="ar"/>
              </w:rPr>
              <w:t>。</w:t>
            </w:r>
          </w:p>
          <w:p w14:paraId="133BF992">
            <w:pPr>
              <w:spacing w:line="360" w:lineRule="auto"/>
              <w:ind w:firstLine="480" w:firstLineChars="200"/>
              <w:rPr>
                <w:color w:val="auto"/>
                <w:sz w:val="24"/>
                <w:highlight w:val="none"/>
                <w:lang w:val="zh-CN"/>
              </w:rPr>
            </w:pPr>
            <w:r>
              <w:rPr>
                <w:rFonts w:hint="eastAsia" w:ascii="宋体" w:hAnsi="宋体" w:cs="宋体"/>
                <w:color w:val="auto"/>
                <w:sz w:val="24"/>
                <w:highlight w:val="none"/>
                <w:lang w:val="zh-CN" w:bidi="ar"/>
              </w:rPr>
              <w:t>②</w:t>
            </w:r>
            <w:r>
              <w:rPr>
                <w:rFonts w:hint="eastAsia" w:cs="宋体"/>
                <w:color w:val="auto"/>
                <w:sz w:val="24"/>
                <w:highlight w:val="none"/>
                <w:lang w:bidi="ar"/>
              </w:rPr>
              <w:t>噪声贡献值</w:t>
            </w:r>
          </w:p>
          <w:p w14:paraId="62BF0B41">
            <w:pPr>
              <w:spacing w:line="360" w:lineRule="auto"/>
              <w:ind w:firstLine="480" w:firstLineChars="200"/>
              <w:rPr>
                <w:color w:val="auto"/>
                <w:sz w:val="24"/>
                <w:highlight w:val="none"/>
              </w:rPr>
            </w:pPr>
            <w:r>
              <w:rPr>
                <w:rFonts w:hint="eastAsia" w:cs="宋体"/>
                <w:color w:val="auto"/>
                <w:sz w:val="24"/>
                <w:highlight w:val="none"/>
                <w:lang w:bidi="ar"/>
              </w:rPr>
              <w:t>设第</w:t>
            </w:r>
            <w:r>
              <w:rPr>
                <w:color w:val="auto"/>
                <w:sz w:val="24"/>
                <w:highlight w:val="none"/>
                <w:lang w:bidi="ar"/>
              </w:rPr>
              <w:t>i</w:t>
            </w:r>
            <w:r>
              <w:rPr>
                <w:rFonts w:hint="eastAsia" w:cs="宋体"/>
                <w:color w:val="auto"/>
                <w:sz w:val="24"/>
                <w:highlight w:val="none"/>
                <w:lang w:bidi="ar"/>
              </w:rPr>
              <w:t>个室外声源在预测点产生的</w:t>
            </w:r>
            <w:r>
              <w:rPr>
                <w:color w:val="auto"/>
                <w:sz w:val="24"/>
                <w:highlight w:val="none"/>
                <w:lang w:bidi="ar"/>
              </w:rPr>
              <w:t>A</w:t>
            </w:r>
            <w:r>
              <w:rPr>
                <w:rFonts w:hint="eastAsia" w:cs="宋体"/>
                <w:color w:val="auto"/>
                <w:sz w:val="24"/>
                <w:highlight w:val="none"/>
                <w:lang w:bidi="ar"/>
              </w:rPr>
              <w:t>声级为</w:t>
            </w:r>
            <w:r>
              <w:rPr>
                <w:color w:val="auto"/>
                <w:sz w:val="24"/>
                <w:highlight w:val="none"/>
                <w:lang w:bidi="ar"/>
              </w:rPr>
              <w:t>L</w:t>
            </w:r>
            <w:r>
              <w:rPr>
                <w:color w:val="auto"/>
                <w:sz w:val="24"/>
                <w:highlight w:val="none"/>
                <w:vertAlign w:val="subscript"/>
                <w:lang w:bidi="ar"/>
              </w:rPr>
              <w:t>Ai</w:t>
            </w:r>
            <w:r>
              <w:rPr>
                <w:rFonts w:hint="eastAsia" w:cs="宋体"/>
                <w:color w:val="auto"/>
                <w:sz w:val="24"/>
                <w:highlight w:val="none"/>
                <w:lang w:bidi="ar"/>
              </w:rPr>
              <w:t>，在</w:t>
            </w:r>
            <w:r>
              <w:rPr>
                <w:color w:val="auto"/>
                <w:sz w:val="24"/>
                <w:highlight w:val="none"/>
                <w:lang w:bidi="ar"/>
              </w:rPr>
              <w:t>T</w:t>
            </w:r>
            <w:r>
              <w:rPr>
                <w:rFonts w:hint="eastAsia" w:cs="宋体"/>
                <w:color w:val="auto"/>
                <w:sz w:val="24"/>
                <w:highlight w:val="none"/>
                <w:lang w:bidi="ar"/>
              </w:rPr>
              <w:t>时间内该声源工作时间为</w:t>
            </w:r>
            <w:r>
              <w:rPr>
                <w:color w:val="auto"/>
                <w:sz w:val="24"/>
                <w:highlight w:val="none"/>
                <w:lang w:bidi="ar"/>
              </w:rPr>
              <w:t>t</w:t>
            </w:r>
            <w:r>
              <w:rPr>
                <w:color w:val="auto"/>
                <w:sz w:val="24"/>
                <w:highlight w:val="none"/>
                <w:vertAlign w:val="subscript"/>
                <w:lang w:bidi="ar"/>
              </w:rPr>
              <w:t>i</w:t>
            </w:r>
            <w:r>
              <w:rPr>
                <w:rFonts w:hint="eastAsia" w:cs="宋体"/>
                <w:color w:val="auto"/>
                <w:sz w:val="24"/>
                <w:highlight w:val="none"/>
                <w:lang w:bidi="ar"/>
              </w:rPr>
              <w:t>；第</w:t>
            </w:r>
            <w:r>
              <w:rPr>
                <w:color w:val="auto"/>
                <w:sz w:val="24"/>
                <w:highlight w:val="none"/>
                <w:lang w:bidi="ar"/>
              </w:rPr>
              <w:t>j</w:t>
            </w:r>
            <w:r>
              <w:rPr>
                <w:rFonts w:hint="eastAsia" w:cs="宋体"/>
                <w:color w:val="auto"/>
                <w:sz w:val="24"/>
                <w:highlight w:val="none"/>
                <w:lang w:bidi="ar"/>
              </w:rPr>
              <w:t>个等效室外声源在预测点产生的</w:t>
            </w:r>
            <w:r>
              <w:rPr>
                <w:color w:val="auto"/>
                <w:sz w:val="24"/>
                <w:highlight w:val="none"/>
                <w:lang w:bidi="ar"/>
              </w:rPr>
              <w:t>A</w:t>
            </w:r>
            <w:r>
              <w:rPr>
                <w:rFonts w:hint="eastAsia" w:cs="宋体"/>
                <w:color w:val="auto"/>
                <w:sz w:val="24"/>
                <w:highlight w:val="none"/>
                <w:lang w:bidi="ar"/>
              </w:rPr>
              <w:t>声级为</w:t>
            </w:r>
            <w:r>
              <w:rPr>
                <w:color w:val="auto"/>
                <w:sz w:val="24"/>
                <w:highlight w:val="none"/>
                <w:lang w:bidi="ar"/>
              </w:rPr>
              <w:t>L</w:t>
            </w:r>
            <w:r>
              <w:rPr>
                <w:color w:val="auto"/>
                <w:sz w:val="24"/>
                <w:highlight w:val="none"/>
                <w:vertAlign w:val="subscript"/>
                <w:lang w:bidi="ar"/>
              </w:rPr>
              <w:t>Aj</w:t>
            </w:r>
            <w:r>
              <w:rPr>
                <w:rFonts w:hint="eastAsia" w:cs="宋体"/>
                <w:color w:val="auto"/>
                <w:sz w:val="24"/>
                <w:highlight w:val="none"/>
                <w:lang w:bidi="ar"/>
              </w:rPr>
              <w:t>，在</w:t>
            </w:r>
            <w:r>
              <w:rPr>
                <w:color w:val="auto"/>
                <w:sz w:val="24"/>
                <w:highlight w:val="none"/>
                <w:lang w:bidi="ar"/>
              </w:rPr>
              <w:t>T</w:t>
            </w:r>
            <w:r>
              <w:rPr>
                <w:rFonts w:hint="eastAsia" w:cs="宋体"/>
                <w:color w:val="auto"/>
                <w:sz w:val="24"/>
                <w:highlight w:val="none"/>
                <w:lang w:bidi="ar"/>
              </w:rPr>
              <w:t>时间内该声源工作时间为</w:t>
            </w:r>
            <w:r>
              <w:rPr>
                <w:color w:val="auto"/>
                <w:sz w:val="24"/>
                <w:highlight w:val="none"/>
                <w:lang w:bidi="ar"/>
              </w:rPr>
              <w:t>t</w:t>
            </w:r>
            <w:r>
              <w:rPr>
                <w:color w:val="auto"/>
                <w:sz w:val="24"/>
                <w:highlight w:val="none"/>
                <w:vertAlign w:val="subscript"/>
                <w:lang w:bidi="ar"/>
              </w:rPr>
              <w:t>j</w:t>
            </w:r>
            <w:r>
              <w:rPr>
                <w:rFonts w:hint="eastAsia" w:cs="宋体"/>
                <w:color w:val="auto"/>
                <w:sz w:val="24"/>
                <w:highlight w:val="none"/>
                <w:lang w:bidi="ar"/>
              </w:rPr>
              <w:t>，则工程声源对预测点产生的贡献（</w:t>
            </w:r>
            <w:r>
              <w:rPr>
                <w:color w:val="auto"/>
                <w:sz w:val="24"/>
                <w:highlight w:val="none"/>
                <w:lang w:bidi="ar"/>
              </w:rPr>
              <w:t>Leqg</w:t>
            </w:r>
            <w:r>
              <w:rPr>
                <w:rFonts w:hint="eastAsia" w:cs="宋体"/>
                <w:color w:val="auto"/>
                <w:sz w:val="24"/>
                <w:highlight w:val="none"/>
                <w:lang w:bidi="ar"/>
              </w:rPr>
              <w:t>）值为：</w:t>
            </w:r>
          </w:p>
          <w:p w14:paraId="3AA1996E">
            <w:pPr>
              <w:spacing w:line="360" w:lineRule="auto"/>
              <w:jc w:val="center"/>
              <w:rPr>
                <w:color w:val="auto"/>
                <w:sz w:val="24"/>
                <w:highlight w:val="none"/>
              </w:rPr>
            </w:pPr>
            <w:r>
              <w:rPr>
                <w:color w:val="auto"/>
                <w:sz w:val="24"/>
                <w:highlight w:val="none"/>
                <w:lang w:bidi="ar"/>
              </w:rPr>
              <w:drawing>
                <wp:inline distT="0" distB="0" distL="114300" distR="114300">
                  <wp:extent cx="2838450" cy="581025"/>
                  <wp:effectExtent l="0" t="0" r="0" b="9525"/>
                  <wp:docPr id="9" name="图片 7" descr="说明: 0ZGIPPD16TM_%@[83Y}YW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说明: 0ZGIPPD16TM_%@[83Y}YW2I"/>
                          <pic:cNvPicPr>
                            <a:picLocks noChangeAspect="1"/>
                          </pic:cNvPicPr>
                        </pic:nvPicPr>
                        <pic:blipFill>
                          <a:blip r:embed="rId26"/>
                          <a:stretch>
                            <a:fillRect/>
                          </a:stretch>
                        </pic:blipFill>
                        <pic:spPr>
                          <a:xfrm>
                            <a:off x="0" y="0"/>
                            <a:ext cx="2838450" cy="581025"/>
                          </a:xfrm>
                          <a:prstGeom prst="rect">
                            <a:avLst/>
                          </a:prstGeom>
                          <a:noFill/>
                          <a:ln>
                            <a:noFill/>
                          </a:ln>
                        </pic:spPr>
                      </pic:pic>
                    </a:graphicData>
                  </a:graphic>
                </wp:inline>
              </w:drawing>
            </w:r>
          </w:p>
          <w:p w14:paraId="72F7792E">
            <w:pPr>
              <w:spacing w:line="360" w:lineRule="auto"/>
              <w:ind w:firstLine="480" w:firstLineChars="200"/>
              <w:rPr>
                <w:color w:val="auto"/>
                <w:sz w:val="24"/>
                <w:highlight w:val="none"/>
              </w:rPr>
            </w:pPr>
            <w:r>
              <w:rPr>
                <w:rFonts w:hint="eastAsia" w:cs="宋体"/>
                <w:color w:val="auto"/>
                <w:sz w:val="24"/>
                <w:highlight w:val="none"/>
                <w:lang w:bidi="ar"/>
              </w:rPr>
              <w:t>式中：</w:t>
            </w:r>
            <w:r>
              <w:rPr>
                <w:color w:val="auto"/>
                <w:sz w:val="24"/>
                <w:highlight w:val="none"/>
                <w:lang w:bidi="ar"/>
              </w:rPr>
              <w:t>t</w:t>
            </w:r>
            <w:r>
              <w:rPr>
                <w:color w:val="auto"/>
                <w:sz w:val="24"/>
                <w:highlight w:val="none"/>
                <w:vertAlign w:val="subscript"/>
                <w:lang w:bidi="ar"/>
              </w:rPr>
              <w:t>j</w:t>
            </w:r>
            <w:r>
              <w:rPr>
                <w:color w:val="auto"/>
                <w:sz w:val="24"/>
                <w:highlight w:val="none"/>
                <w:lang w:bidi="ar"/>
              </w:rPr>
              <w:t>—</w:t>
            </w:r>
            <w:r>
              <w:rPr>
                <w:rFonts w:hint="eastAsia" w:cs="宋体"/>
                <w:color w:val="auto"/>
                <w:sz w:val="24"/>
                <w:highlight w:val="none"/>
                <w:lang w:bidi="ar"/>
              </w:rPr>
              <w:t>在</w:t>
            </w:r>
            <w:r>
              <w:rPr>
                <w:color w:val="auto"/>
                <w:sz w:val="24"/>
                <w:highlight w:val="none"/>
                <w:lang w:bidi="ar"/>
              </w:rPr>
              <w:t>T</w:t>
            </w:r>
            <w:r>
              <w:rPr>
                <w:rFonts w:hint="eastAsia" w:cs="宋体"/>
                <w:color w:val="auto"/>
                <w:sz w:val="24"/>
                <w:highlight w:val="none"/>
                <w:lang w:bidi="ar"/>
              </w:rPr>
              <w:t>时间内</w:t>
            </w:r>
            <w:r>
              <w:rPr>
                <w:color w:val="auto"/>
                <w:sz w:val="24"/>
                <w:highlight w:val="none"/>
                <w:lang w:bidi="ar"/>
              </w:rPr>
              <w:t>j</w:t>
            </w:r>
            <w:r>
              <w:rPr>
                <w:rFonts w:hint="eastAsia" w:cs="宋体"/>
                <w:color w:val="auto"/>
                <w:sz w:val="24"/>
                <w:highlight w:val="none"/>
                <w:lang w:bidi="ar"/>
              </w:rPr>
              <w:t>声源工作时间，</w:t>
            </w:r>
            <w:r>
              <w:rPr>
                <w:color w:val="auto"/>
                <w:sz w:val="24"/>
                <w:highlight w:val="none"/>
                <w:lang w:bidi="ar"/>
              </w:rPr>
              <w:t>s</w:t>
            </w:r>
            <w:r>
              <w:rPr>
                <w:rFonts w:hint="eastAsia" w:cs="宋体"/>
                <w:color w:val="auto"/>
                <w:sz w:val="24"/>
                <w:highlight w:val="none"/>
                <w:lang w:bidi="ar"/>
              </w:rPr>
              <w:t>；</w:t>
            </w:r>
          </w:p>
          <w:p w14:paraId="37F39126">
            <w:pPr>
              <w:spacing w:line="360" w:lineRule="auto"/>
              <w:ind w:firstLine="1200" w:firstLineChars="500"/>
              <w:rPr>
                <w:color w:val="auto"/>
                <w:sz w:val="24"/>
                <w:highlight w:val="none"/>
              </w:rPr>
            </w:pPr>
            <w:r>
              <w:rPr>
                <w:color w:val="auto"/>
                <w:sz w:val="24"/>
                <w:highlight w:val="none"/>
                <w:lang w:bidi="ar"/>
              </w:rPr>
              <w:t>ti—</w:t>
            </w:r>
            <w:r>
              <w:rPr>
                <w:rFonts w:hint="eastAsia" w:cs="宋体"/>
                <w:color w:val="auto"/>
                <w:sz w:val="24"/>
                <w:highlight w:val="none"/>
                <w:lang w:bidi="ar"/>
              </w:rPr>
              <w:t>在</w:t>
            </w:r>
            <w:r>
              <w:rPr>
                <w:color w:val="auto"/>
                <w:sz w:val="24"/>
                <w:highlight w:val="none"/>
                <w:lang w:bidi="ar"/>
              </w:rPr>
              <w:t>T</w:t>
            </w:r>
            <w:r>
              <w:rPr>
                <w:rFonts w:hint="eastAsia" w:cs="宋体"/>
                <w:color w:val="auto"/>
                <w:sz w:val="24"/>
                <w:highlight w:val="none"/>
                <w:lang w:bidi="ar"/>
              </w:rPr>
              <w:t>时间内</w:t>
            </w:r>
            <w:r>
              <w:rPr>
                <w:color w:val="auto"/>
                <w:sz w:val="24"/>
                <w:highlight w:val="none"/>
                <w:lang w:bidi="ar"/>
              </w:rPr>
              <w:t>i</w:t>
            </w:r>
            <w:r>
              <w:rPr>
                <w:rFonts w:hint="eastAsia" w:cs="宋体"/>
                <w:color w:val="auto"/>
                <w:sz w:val="24"/>
                <w:highlight w:val="none"/>
                <w:lang w:bidi="ar"/>
              </w:rPr>
              <w:t>声源工作时间，</w:t>
            </w:r>
            <w:r>
              <w:rPr>
                <w:color w:val="auto"/>
                <w:sz w:val="24"/>
                <w:highlight w:val="none"/>
                <w:lang w:bidi="ar"/>
              </w:rPr>
              <w:t>s</w:t>
            </w:r>
            <w:r>
              <w:rPr>
                <w:rFonts w:hint="eastAsia" w:cs="宋体"/>
                <w:color w:val="auto"/>
                <w:sz w:val="24"/>
                <w:highlight w:val="none"/>
                <w:lang w:bidi="ar"/>
              </w:rPr>
              <w:t>；</w:t>
            </w:r>
          </w:p>
          <w:p w14:paraId="0A99C5CD">
            <w:pPr>
              <w:spacing w:line="360" w:lineRule="auto"/>
              <w:ind w:firstLine="1200" w:firstLineChars="500"/>
              <w:rPr>
                <w:color w:val="auto"/>
                <w:sz w:val="24"/>
                <w:highlight w:val="none"/>
              </w:rPr>
            </w:pPr>
            <w:r>
              <w:rPr>
                <w:color w:val="auto"/>
                <w:sz w:val="24"/>
                <w:highlight w:val="none"/>
                <w:lang w:bidi="ar"/>
              </w:rPr>
              <w:t>T—</w:t>
            </w:r>
            <w:r>
              <w:rPr>
                <w:rFonts w:hint="eastAsia" w:cs="宋体"/>
                <w:color w:val="auto"/>
                <w:sz w:val="24"/>
                <w:highlight w:val="none"/>
                <w:lang w:bidi="ar"/>
              </w:rPr>
              <w:t>用于计算等效声级的时间，</w:t>
            </w:r>
            <w:r>
              <w:rPr>
                <w:color w:val="auto"/>
                <w:sz w:val="24"/>
                <w:highlight w:val="none"/>
                <w:lang w:bidi="ar"/>
              </w:rPr>
              <w:t>s</w:t>
            </w:r>
            <w:r>
              <w:rPr>
                <w:rFonts w:hint="eastAsia" w:cs="宋体"/>
                <w:color w:val="auto"/>
                <w:sz w:val="24"/>
                <w:highlight w:val="none"/>
                <w:lang w:bidi="ar"/>
              </w:rPr>
              <w:t>；</w:t>
            </w:r>
          </w:p>
          <w:p w14:paraId="2FF5B72C">
            <w:pPr>
              <w:spacing w:line="360" w:lineRule="auto"/>
              <w:ind w:firstLine="1200" w:firstLineChars="500"/>
              <w:rPr>
                <w:color w:val="auto"/>
                <w:sz w:val="24"/>
                <w:highlight w:val="none"/>
              </w:rPr>
            </w:pPr>
            <w:r>
              <w:rPr>
                <w:color w:val="auto"/>
                <w:sz w:val="24"/>
                <w:highlight w:val="none"/>
                <w:lang w:bidi="ar"/>
              </w:rPr>
              <w:t>N—</w:t>
            </w:r>
            <w:r>
              <w:rPr>
                <w:rFonts w:hint="eastAsia" w:cs="宋体"/>
                <w:color w:val="auto"/>
                <w:sz w:val="24"/>
                <w:highlight w:val="none"/>
                <w:lang w:bidi="ar"/>
              </w:rPr>
              <w:t>室外声源个数；</w:t>
            </w:r>
          </w:p>
          <w:p w14:paraId="754E499D">
            <w:pPr>
              <w:spacing w:line="360" w:lineRule="auto"/>
              <w:ind w:firstLine="1200" w:firstLineChars="500"/>
              <w:rPr>
                <w:color w:val="auto"/>
                <w:sz w:val="24"/>
                <w:highlight w:val="none"/>
              </w:rPr>
            </w:pPr>
            <w:r>
              <w:rPr>
                <w:color w:val="auto"/>
                <w:sz w:val="24"/>
                <w:highlight w:val="none"/>
                <w:lang w:bidi="ar"/>
              </w:rPr>
              <w:t>M—</w:t>
            </w:r>
            <w:r>
              <w:rPr>
                <w:rFonts w:hint="eastAsia" w:cs="宋体"/>
                <w:color w:val="auto"/>
                <w:sz w:val="24"/>
                <w:highlight w:val="none"/>
                <w:lang w:bidi="ar"/>
              </w:rPr>
              <w:t>等效室外声源个数。</w:t>
            </w:r>
          </w:p>
          <w:p w14:paraId="142A0C08">
            <w:pPr>
              <w:spacing w:line="360" w:lineRule="auto"/>
              <w:ind w:firstLine="480" w:firstLineChars="200"/>
              <w:rPr>
                <w:color w:val="auto"/>
                <w:sz w:val="24"/>
                <w:highlight w:val="none"/>
              </w:rPr>
            </w:pPr>
            <w:r>
              <w:rPr>
                <w:rFonts w:hint="eastAsia" w:cs="宋体"/>
                <w:color w:val="auto"/>
                <w:sz w:val="24"/>
                <w:highlight w:val="none"/>
                <w:lang w:bidi="ar"/>
              </w:rPr>
              <w:t>（</w:t>
            </w:r>
            <w:r>
              <w:rPr>
                <w:rFonts w:hint="eastAsia"/>
                <w:color w:val="auto"/>
                <w:sz w:val="24"/>
                <w:highlight w:val="none"/>
                <w:lang w:val="en-US" w:eastAsia="zh-CN" w:bidi="ar"/>
              </w:rPr>
              <w:t>3</w:t>
            </w:r>
            <w:r>
              <w:rPr>
                <w:rFonts w:hint="eastAsia" w:cs="宋体"/>
                <w:color w:val="auto"/>
                <w:sz w:val="24"/>
                <w:highlight w:val="none"/>
                <w:lang w:bidi="ar"/>
              </w:rPr>
              <w:t>）声影响预测分析</w:t>
            </w:r>
          </w:p>
          <w:p w14:paraId="0EDCDD19">
            <w:pPr>
              <w:spacing w:line="360" w:lineRule="auto"/>
              <w:ind w:firstLine="480" w:firstLineChars="200"/>
              <w:rPr>
                <w:color w:val="auto"/>
                <w:sz w:val="24"/>
                <w:highlight w:val="none"/>
              </w:rPr>
            </w:pPr>
            <w:r>
              <w:rPr>
                <w:rFonts w:hint="eastAsia" w:cs="宋体"/>
                <w:color w:val="auto"/>
                <w:sz w:val="24"/>
                <w:highlight w:val="none"/>
                <w:lang w:bidi="ar"/>
              </w:rPr>
              <w:t>根据本项目厂区布置图和周围现状，本次噪声衰减仅考虑距离衰减量，不考虑空气吸收、车间外屏障衰减。项目生产期间昼、夜间对厂界的声级预测结果见表</w:t>
            </w:r>
            <w:r>
              <w:rPr>
                <w:color w:val="auto"/>
                <w:sz w:val="24"/>
                <w:highlight w:val="none"/>
                <w:lang w:bidi="ar"/>
              </w:rPr>
              <w:t>4-</w:t>
            </w:r>
            <w:r>
              <w:rPr>
                <w:rFonts w:hint="eastAsia"/>
                <w:color w:val="auto"/>
                <w:sz w:val="24"/>
                <w:highlight w:val="none"/>
                <w:lang w:val="en-US" w:eastAsia="zh-CN" w:bidi="ar"/>
              </w:rPr>
              <w:t>13</w:t>
            </w:r>
            <w:r>
              <w:rPr>
                <w:rFonts w:hint="eastAsia" w:cs="宋体"/>
                <w:color w:val="auto"/>
                <w:sz w:val="24"/>
                <w:highlight w:val="none"/>
                <w:lang w:bidi="ar"/>
              </w:rPr>
              <w:t>。</w:t>
            </w:r>
          </w:p>
          <w:p w14:paraId="00790455">
            <w:pPr>
              <w:pStyle w:val="32"/>
              <w:bidi w:val="0"/>
              <w:rPr>
                <w:rFonts w:hint="eastAsia"/>
                <w:color w:val="auto"/>
                <w:highlight w:val="none"/>
              </w:rPr>
            </w:pPr>
          </w:p>
          <w:p w14:paraId="0450C3F3">
            <w:pPr>
              <w:pStyle w:val="32"/>
              <w:bidi w:val="0"/>
              <w:rPr>
                <w:rFonts w:hint="eastAsia"/>
                <w:color w:val="auto"/>
                <w:highlight w:val="none"/>
                <w:lang w:val="en-US" w:eastAsia="zh-CN"/>
              </w:rPr>
            </w:pPr>
            <w:r>
              <w:rPr>
                <w:rFonts w:hint="eastAsia"/>
                <w:color w:val="auto"/>
                <w:highlight w:val="none"/>
              </w:rPr>
              <w:t>表</w:t>
            </w:r>
            <w:r>
              <w:rPr>
                <w:color w:val="auto"/>
                <w:highlight w:val="none"/>
              </w:rPr>
              <w:t>4-</w:t>
            </w:r>
            <w:r>
              <w:rPr>
                <w:rFonts w:hint="eastAsia"/>
                <w:color w:val="auto"/>
                <w:highlight w:val="none"/>
                <w:lang w:val="en-US" w:eastAsia="zh-CN"/>
              </w:rPr>
              <w:t xml:space="preserve">13    </w:t>
            </w:r>
            <w:r>
              <w:rPr>
                <w:rFonts w:hint="eastAsia"/>
                <w:color w:val="auto"/>
                <w:highlight w:val="none"/>
              </w:rPr>
              <w:t>项目主要设备噪声预测结果一览表</w:t>
            </w:r>
            <w:r>
              <w:rPr>
                <w:rFonts w:hint="eastAsia"/>
                <w:color w:val="auto"/>
                <w:highlight w:val="none"/>
                <w:lang w:val="en-US" w:eastAsia="zh-CN"/>
              </w:rPr>
              <w:t>单位：dB(A)</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2"/>
              <w:gridCol w:w="1541"/>
              <w:gridCol w:w="1472"/>
              <w:gridCol w:w="1463"/>
              <w:gridCol w:w="1468"/>
            </w:tblGrid>
            <w:tr w14:paraId="0361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vMerge w:val="restart"/>
                  <w:tcBorders>
                    <w:left w:val="single" w:color="auto" w:sz="4" w:space="0"/>
                    <w:right w:val="single" w:color="auto" w:sz="4" w:space="0"/>
                  </w:tcBorders>
                  <w:noWrap w:val="0"/>
                  <w:vAlign w:val="center"/>
                </w:tcPr>
                <w:p w14:paraId="1BFB8D46">
                  <w:pPr>
                    <w:pStyle w:val="49"/>
                    <w:bidi w:val="0"/>
                    <w:rPr>
                      <w:rFonts w:hint="eastAsia" w:eastAsia="宋体"/>
                      <w:b/>
                      <w:bCs/>
                      <w:color w:val="auto"/>
                      <w:highlight w:val="none"/>
                      <w:lang w:val="en-US" w:eastAsia="zh-CN"/>
                    </w:rPr>
                  </w:pPr>
                  <w:r>
                    <w:rPr>
                      <w:rFonts w:hint="eastAsia"/>
                      <w:b/>
                      <w:bCs/>
                      <w:color w:val="auto"/>
                      <w:highlight w:val="none"/>
                    </w:rPr>
                    <w:t>预测点</w:t>
                  </w:r>
                  <w:r>
                    <w:rPr>
                      <w:rFonts w:hint="eastAsia"/>
                      <w:b/>
                      <w:bCs/>
                      <w:color w:val="auto"/>
                      <w:highlight w:val="none"/>
                      <w:lang w:val="en-US" w:eastAsia="zh-CN"/>
                    </w:rPr>
                    <w:t>位</w:t>
                  </w:r>
                </w:p>
              </w:tc>
              <w:tc>
                <w:tcPr>
                  <w:tcW w:w="971" w:type="pct"/>
                  <w:tcBorders>
                    <w:top w:val="single" w:color="auto" w:sz="4" w:space="0"/>
                    <w:left w:val="single" w:color="auto" w:sz="4" w:space="0"/>
                    <w:bottom w:val="single" w:color="auto" w:sz="4" w:space="0"/>
                    <w:right w:val="single" w:color="auto" w:sz="4" w:space="0"/>
                  </w:tcBorders>
                  <w:noWrap w:val="0"/>
                  <w:vAlign w:val="center"/>
                </w:tcPr>
                <w:p w14:paraId="7C9EF0D0">
                  <w:pPr>
                    <w:pStyle w:val="49"/>
                    <w:bidi w:val="0"/>
                    <w:rPr>
                      <w:rFonts w:hint="eastAsia"/>
                      <w:b/>
                      <w:bCs/>
                      <w:color w:val="auto"/>
                      <w:highlight w:val="none"/>
                    </w:rPr>
                  </w:pPr>
                  <w:r>
                    <w:rPr>
                      <w:rFonts w:hint="eastAsia"/>
                      <w:b/>
                      <w:bCs/>
                      <w:color w:val="auto"/>
                      <w:highlight w:val="none"/>
                    </w:rPr>
                    <w:t>贡献值</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00F56378">
                  <w:pPr>
                    <w:pStyle w:val="49"/>
                    <w:bidi w:val="0"/>
                    <w:rPr>
                      <w:rFonts w:hint="eastAsia"/>
                      <w:b/>
                      <w:bCs/>
                      <w:color w:val="auto"/>
                      <w:highlight w:val="none"/>
                    </w:rPr>
                  </w:pPr>
                  <w:r>
                    <w:rPr>
                      <w:rFonts w:hint="eastAsia"/>
                      <w:b/>
                      <w:bCs/>
                      <w:color w:val="auto"/>
                      <w:highlight w:val="none"/>
                    </w:rPr>
                    <w:t>背景值</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4A0502A7">
                  <w:pPr>
                    <w:pStyle w:val="49"/>
                    <w:bidi w:val="0"/>
                    <w:rPr>
                      <w:rFonts w:hint="eastAsia"/>
                      <w:b/>
                      <w:bCs/>
                      <w:color w:val="auto"/>
                      <w:highlight w:val="none"/>
                    </w:rPr>
                  </w:pPr>
                  <w:r>
                    <w:rPr>
                      <w:rFonts w:hint="eastAsia"/>
                      <w:b/>
                      <w:bCs/>
                      <w:color w:val="auto"/>
                      <w:highlight w:val="none"/>
                    </w:rPr>
                    <w:t>预测值</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7BE4FB94">
                  <w:pPr>
                    <w:pStyle w:val="49"/>
                    <w:bidi w:val="0"/>
                    <w:rPr>
                      <w:rFonts w:hint="eastAsia"/>
                      <w:b/>
                      <w:bCs/>
                      <w:color w:val="auto"/>
                      <w:highlight w:val="none"/>
                    </w:rPr>
                  </w:pPr>
                  <w:r>
                    <w:rPr>
                      <w:rFonts w:hint="eastAsia"/>
                      <w:b/>
                      <w:bCs/>
                      <w:color w:val="auto"/>
                      <w:highlight w:val="none"/>
                    </w:rPr>
                    <w:t>达标情况</w:t>
                  </w:r>
                </w:p>
              </w:tc>
            </w:tr>
            <w:tr w14:paraId="21281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vMerge w:val="continue"/>
                  <w:tcBorders>
                    <w:top w:val="single" w:color="auto" w:sz="4" w:space="0"/>
                    <w:left w:val="single" w:color="auto" w:sz="4" w:space="0"/>
                    <w:bottom w:val="single" w:color="auto" w:sz="4" w:space="0"/>
                    <w:right w:val="single" w:color="auto" w:sz="4" w:space="0"/>
                  </w:tcBorders>
                  <w:noWrap w:val="0"/>
                  <w:vAlign w:val="center"/>
                </w:tcPr>
                <w:p w14:paraId="5C8E5824">
                  <w:pPr>
                    <w:pStyle w:val="49"/>
                    <w:bidi w:val="0"/>
                    <w:rPr>
                      <w:color w:val="auto"/>
                      <w:highlight w:val="none"/>
                    </w:rPr>
                  </w:pPr>
                </w:p>
              </w:tc>
              <w:tc>
                <w:tcPr>
                  <w:tcW w:w="971" w:type="pct"/>
                  <w:tcBorders>
                    <w:top w:val="single" w:color="auto" w:sz="4" w:space="0"/>
                    <w:left w:val="single" w:color="auto" w:sz="4" w:space="0"/>
                    <w:bottom w:val="single" w:color="auto" w:sz="4" w:space="0"/>
                    <w:right w:val="single" w:color="auto" w:sz="4" w:space="0"/>
                  </w:tcBorders>
                  <w:noWrap w:val="0"/>
                  <w:vAlign w:val="center"/>
                </w:tcPr>
                <w:p w14:paraId="7A6E083A">
                  <w:pPr>
                    <w:pStyle w:val="49"/>
                    <w:bidi w:val="0"/>
                    <w:rPr>
                      <w:b/>
                      <w:bCs/>
                      <w:color w:val="auto"/>
                      <w:highlight w:val="none"/>
                    </w:rPr>
                  </w:pPr>
                  <w:r>
                    <w:rPr>
                      <w:rFonts w:hint="eastAsia"/>
                      <w:b/>
                      <w:bCs/>
                      <w:color w:val="auto"/>
                      <w:highlight w:val="none"/>
                    </w:rPr>
                    <w:t>昼间/夜间</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207184A">
                  <w:pPr>
                    <w:pStyle w:val="49"/>
                    <w:bidi w:val="0"/>
                    <w:rPr>
                      <w:b/>
                      <w:bCs/>
                      <w:color w:val="auto"/>
                      <w:highlight w:val="none"/>
                    </w:rPr>
                  </w:pPr>
                  <w:r>
                    <w:rPr>
                      <w:rFonts w:hint="eastAsia"/>
                      <w:b/>
                      <w:bCs/>
                      <w:color w:val="auto"/>
                      <w:highlight w:val="none"/>
                    </w:rPr>
                    <w:t>昼间/夜间</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525E03A5">
                  <w:pPr>
                    <w:pStyle w:val="49"/>
                    <w:bidi w:val="0"/>
                    <w:rPr>
                      <w:b/>
                      <w:bCs/>
                      <w:color w:val="auto"/>
                      <w:highlight w:val="none"/>
                    </w:rPr>
                  </w:pPr>
                  <w:r>
                    <w:rPr>
                      <w:rFonts w:hint="eastAsia"/>
                      <w:b/>
                      <w:bCs/>
                      <w:color w:val="auto"/>
                      <w:highlight w:val="none"/>
                    </w:rPr>
                    <w:t>昼间/夜间</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76159630">
                  <w:pPr>
                    <w:pStyle w:val="49"/>
                    <w:bidi w:val="0"/>
                    <w:rPr>
                      <w:b/>
                      <w:bCs/>
                      <w:color w:val="auto"/>
                      <w:highlight w:val="none"/>
                    </w:rPr>
                  </w:pPr>
                  <w:r>
                    <w:rPr>
                      <w:rFonts w:hint="eastAsia"/>
                      <w:b/>
                      <w:bCs/>
                      <w:color w:val="auto"/>
                      <w:highlight w:val="none"/>
                    </w:rPr>
                    <w:t>昼间/夜间</w:t>
                  </w:r>
                </w:p>
              </w:tc>
            </w:tr>
            <w:tr w14:paraId="628BF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tcBorders>
                    <w:top w:val="single" w:color="auto" w:sz="4" w:space="0"/>
                    <w:left w:val="single" w:color="auto" w:sz="4" w:space="0"/>
                    <w:bottom w:val="single" w:color="auto" w:sz="4" w:space="0"/>
                    <w:right w:val="single" w:color="auto" w:sz="4" w:space="0"/>
                  </w:tcBorders>
                  <w:noWrap w:val="0"/>
                  <w:vAlign w:val="center"/>
                </w:tcPr>
                <w:p w14:paraId="66A182D4">
                  <w:pPr>
                    <w:pStyle w:val="49"/>
                    <w:bidi w:val="0"/>
                    <w:rPr>
                      <w:color w:val="auto"/>
                      <w:highlight w:val="none"/>
                    </w:rPr>
                  </w:pPr>
                  <w:r>
                    <w:rPr>
                      <w:rFonts w:hint="eastAsia"/>
                      <w:color w:val="auto"/>
                      <w:highlight w:val="none"/>
                    </w:rPr>
                    <w:t>北侧</w:t>
                  </w:r>
                </w:p>
              </w:tc>
              <w:tc>
                <w:tcPr>
                  <w:tcW w:w="971" w:type="pct"/>
                  <w:tcBorders>
                    <w:top w:val="single" w:color="auto" w:sz="4" w:space="0"/>
                    <w:left w:val="single" w:color="auto" w:sz="4" w:space="0"/>
                    <w:bottom w:val="single" w:color="auto" w:sz="4" w:space="0"/>
                    <w:right w:val="single" w:color="auto" w:sz="4" w:space="0"/>
                  </w:tcBorders>
                  <w:noWrap w:val="0"/>
                  <w:vAlign w:val="center"/>
                </w:tcPr>
                <w:p w14:paraId="638EE642">
                  <w:pPr>
                    <w:pStyle w:val="49"/>
                    <w:bidi w:val="0"/>
                    <w:rPr>
                      <w:rFonts w:hint="default" w:eastAsia="宋体"/>
                      <w:color w:val="auto"/>
                      <w:highlight w:val="none"/>
                      <w:lang w:val="en-US" w:eastAsia="zh-CN"/>
                    </w:rPr>
                  </w:pPr>
                  <w:r>
                    <w:rPr>
                      <w:rFonts w:hint="eastAsia"/>
                      <w:color w:val="auto"/>
                      <w:highlight w:val="none"/>
                      <w:lang w:val="en-US" w:eastAsia="zh-CN"/>
                    </w:rPr>
                    <w:t>41.1</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359642BA">
                  <w:pPr>
                    <w:pStyle w:val="49"/>
                    <w:bidi w:val="0"/>
                    <w:rPr>
                      <w:color w:val="auto"/>
                      <w:highlight w:val="none"/>
                    </w:rPr>
                  </w:pPr>
                  <w:r>
                    <w:rPr>
                      <w:color w:val="auto"/>
                      <w:highlight w:val="none"/>
                    </w:rPr>
                    <w:t>/</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57999025">
                  <w:pPr>
                    <w:pStyle w:val="49"/>
                    <w:bidi w:val="0"/>
                    <w:rPr>
                      <w:rFonts w:hint="default" w:eastAsia="宋体"/>
                      <w:color w:val="auto"/>
                      <w:highlight w:val="none"/>
                      <w:lang w:val="en-US" w:eastAsia="zh-CN"/>
                    </w:rPr>
                  </w:pPr>
                  <w:r>
                    <w:rPr>
                      <w:rFonts w:hint="eastAsia"/>
                      <w:color w:val="auto"/>
                      <w:highlight w:val="none"/>
                      <w:lang w:val="en-US" w:eastAsia="zh-CN"/>
                    </w:rPr>
                    <w:t>41.1</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21BF649D">
                  <w:pPr>
                    <w:pStyle w:val="49"/>
                    <w:bidi w:val="0"/>
                    <w:rPr>
                      <w:color w:val="auto"/>
                      <w:highlight w:val="none"/>
                    </w:rPr>
                  </w:pPr>
                  <w:r>
                    <w:rPr>
                      <w:rFonts w:hint="eastAsia"/>
                      <w:color w:val="auto"/>
                      <w:highlight w:val="none"/>
                    </w:rPr>
                    <w:t>达标</w:t>
                  </w:r>
                </w:p>
              </w:tc>
            </w:tr>
            <w:tr w14:paraId="21B7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tcBorders>
                    <w:top w:val="single" w:color="auto" w:sz="4" w:space="0"/>
                    <w:left w:val="single" w:color="auto" w:sz="4" w:space="0"/>
                    <w:bottom w:val="single" w:color="auto" w:sz="4" w:space="0"/>
                    <w:right w:val="single" w:color="auto" w:sz="4" w:space="0"/>
                  </w:tcBorders>
                  <w:noWrap w:val="0"/>
                  <w:vAlign w:val="center"/>
                </w:tcPr>
                <w:p w14:paraId="21D46A56">
                  <w:pPr>
                    <w:pStyle w:val="49"/>
                    <w:bidi w:val="0"/>
                    <w:rPr>
                      <w:color w:val="auto"/>
                      <w:highlight w:val="none"/>
                    </w:rPr>
                  </w:pPr>
                  <w:r>
                    <w:rPr>
                      <w:rFonts w:hint="eastAsia"/>
                      <w:color w:val="auto"/>
                      <w:highlight w:val="none"/>
                    </w:rPr>
                    <w:t>南侧</w:t>
                  </w:r>
                </w:p>
              </w:tc>
              <w:tc>
                <w:tcPr>
                  <w:tcW w:w="971" w:type="pct"/>
                  <w:tcBorders>
                    <w:top w:val="single" w:color="auto" w:sz="4" w:space="0"/>
                    <w:left w:val="single" w:color="auto" w:sz="4" w:space="0"/>
                    <w:bottom w:val="single" w:color="auto" w:sz="4" w:space="0"/>
                    <w:right w:val="single" w:color="auto" w:sz="4" w:space="0"/>
                  </w:tcBorders>
                  <w:noWrap w:val="0"/>
                  <w:vAlign w:val="center"/>
                </w:tcPr>
                <w:p w14:paraId="762CE728">
                  <w:pPr>
                    <w:pStyle w:val="49"/>
                    <w:bidi w:val="0"/>
                    <w:rPr>
                      <w:rFonts w:hint="default" w:eastAsia="宋体"/>
                      <w:color w:val="auto"/>
                      <w:highlight w:val="none"/>
                      <w:lang w:val="en-US" w:eastAsia="zh-CN"/>
                    </w:rPr>
                  </w:pPr>
                  <w:r>
                    <w:rPr>
                      <w:rFonts w:hint="eastAsia"/>
                      <w:color w:val="auto"/>
                      <w:highlight w:val="none"/>
                      <w:lang w:val="en-US" w:eastAsia="zh-CN"/>
                    </w:rPr>
                    <w:t>40.8</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3786DF89">
                  <w:pPr>
                    <w:pStyle w:val="49"/>
                    <w:bidi w:val="0"/>
                    <w:rPr>
                      <w:color w:val="auto"/>
                      <w:highlight w:val="none"/>
                    </w:rPr>
                  </w:pPr>
                  <w:r>
                    <w:rPr>
                      <w:color w:val="auto"/>
                      <w:highlight w:val="none"/>
                    </w:rPr>
                    <w:t>/</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277E433E">
                  <w:pPr>
                    <w:pStyle w:val="49"/>
                    <w:bidi w:val="0"/>
                    <w:rPr>
                      <w:rFonts w:hint="default" w:eastAsia="宋体"/>
                      <w:color w:val="auto"/>
                      <w:highlight w:val="none"/>
                      <w:lang w:val="en-US" w:eastAsia="zh-CN"/>
                    </w:rPr>
                  </w:pPr>
                  <w:r>
                    <w:rPr>
                      <w:rFonts w:hint="eastAsia"/>
                      <w:color w:val="auto"/>
                      <w:highlight w:val="none"/>
                      <w:lang w:val="en-US" w:eastAsia="zh-CN"/>
                    </w:rPr>
                    <w:t>40.8</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030C8C5D">
                  <w:pPr>
                    <w:pStyle w:val="49"/>
                    <w:bidi w:val="0"/>
                    <w:rPr>
                      <w:color w:val="auto"/>
                      <w:highlight w:val="none"/>
                    </w:rPr>
                  </w:pPr>
                  <w:r>
                    <w:rPr>
                      <w:rFonts w:hint="eastAsia"/>
                      <w:color w:val="auto"/>
                      <w:highlight w:val="none"/>
                    </w:rPr>
                    <w:t>达标</w:t>
                  </w:r>
                </w:p>
              </w:tc>
            </w:tr>
            <w:tr w14:paraId="7E4D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tcBorders>
                    <w:top w:val="single" w:color="auto" w:sz="4" w:space="0"/>
                    <w:left w:val="single" w:color="auto" w:sz="4" w:space="0"/>
                    <w:bottom w:val="single" w:color="auto" w:sz="4" w:space="0"/>
                    <w:right w:val="single" w:color="auto" w:sz="4" w:space="0"/>
                  </w:tcBorders>
                  <w:noWrap w:val="0"/>
                  <w:vAlign w:val="center"/>
                </w:tcPr>
                <w:p w14:paraId="6231F4D3">
                  <w:pPr>
                    <w:pStyle w:val="49"/>
                    <w:bidi w:val="0"/>
                    <w:rPr>
                      <w:color w:val="auto"/>
                      <w:highlight w:val="none"/>
                    </w:rPr>
                  </w:pPr>
                  <w:r>
                    <w:rPr>
                      <w:rFonts w:hint="eastAsia"/>
                      <w:color w:val="auto"/>
                      <w:highlight w:val="none"/>
                    </w:rPr>
                    <w:t>西侧</w:t>
                  </w:r>
                </w:p>
              </w:tc>
              <w:tc>
                <w:tcPr>
                  <w:tcW w:w="971" w:type="pct"/>
                  <w:tcBorders>
                    <w:top w:val="single" w:color="auto" w:sz="4" w:space="0"/>
                    <w:left w:val="single" w:color="auto" w:sz="4" w:space="0"/>
                    <w:bottom w:val="single" w:color="auto" w:sz="4" w:space="0"/>
                    <w:right w:val="single" w:color="auto" w:sz="4" w:space="0"/>
                  </w:tcBorders>
                  <w:noWrap w:val="0"/>
                  <w:vAlign w:val="center"/>
                </w:tcPr>
                <w:p w14:paraId="2D15440C">
                  <w:pPr>
                    <w:pStyle w:val="49"/>
                    <w:bidi w:val="0"/>
                    <w:rPr>
                      <w:color w:val="auto"/>
                      <w:highlight w:val="none"/>
                    </w:rPr>
                  </w:pPr>
                  <w:r>
                    <w:rPr>
                      <w:color w:val="auto"/>
                      <w:highlight w:val="none"/>
                    </w:rPr>
                    <w:t>43.2</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4D5AB8DB">
                  <w:pPr>
                    <w:pStyle w:val="49"/>
                    <w:bidi w:val="0"/>
                    <w:rPr>
                      <w:color w:val="auto"/>
                      <w:highlight w:val="none"/>
                    </w:rPr>
                  </w:pPr>
                  <w:r>
                    <w:rPr>
                      <w:color w:val="auto"/>
                      <w:highlight w:val="none"/>
                    </w:rPr>
                    <w:t>/</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2D17D4EF">
                  <w:pPr>
                    <w:pStyle w:val="49"/>
                    <w:bidi w:val="0"/>
                    <w:rPr>
                      <w:color w:val="auto"/>
                      <w:highlight w:val="none"/>
                    </w:rPr>
                  </w:pPr>
                  <w:r>
                    <w:rPr>
                      <w:color w:val="auto"/>
                      <w:highlight w:val="none"/>
                    </w:rPr>
                    <w:t>43.2</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4841EF01">
                  <w:pPr>
                    <w:pStyle w:val="49"/>
                    <w:bidi w:val="0"/>
                    <w:rPr>
                      <w:color w:val="auto"/>
                      <w:highlight w:val="none"/>
                    </w:rPr>
                  </w:pPr>
                  <w:r>
                    <w:rPr>
                      <w:rFonts w:hint="eastAsia"/>
                      <w:color w:val="auto"/>
                      <w:highlight w:val="none"/>
                    </w:rPr>
                    <w:t>达标</w:t>
                  </w:r>
                </w:p>
              </w:tc>
            </w:tr>
            <w:tr w14:paraId="7059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tcBorders>
                    <w:top w:val="single" w:color="auto" w:sz="4" w:space="0"/>
                    <w:left w:val="single" w:color="auto" w:sz="4" w:space="0"/>
                    <w:bottom w:val="single" w:color="auto" w:sz="4" w:space="0"/>
                    <w:right w:val="single" w:color="auto" w:sz="4" w:space="0"/>
                  </w:tcBorders>
                  <w:noWrap w:val="0"/>
                  <w:vAlign w:val="center"/>
                </w:tcPr>
                <w:p w14:paraId="3C500C94">
                  <w:pPr>
                    <w:pStyle w:val="49"/>
                    <w:bidi w:val="0"/>
                    <w:rPr>
                      <w:color w:val="auto"/>
                      <w:highlight w:val="none"/>
                    </w:rPr>
                  </w:pPr>
                  <w:r>
                    <w:rPr>
                      <w:rFonts w:hint="eastAsia"/>
                      <w:color w:val="auto"/>
                      <w:highlight w:val="none"/>
                    </w:rPr>
                    <w:t>东侧</w:t>
                  </w:r>
                </w:p>
              </w:tc>
              <w:tc>
                <w:tcPr>
                  <w:tcW w:w="971" w:type="pct"/>
                  <w:tcBorders>
                    <w:top w:val="single" w:color="auto" w:sz="4" w:space="0"/>
                    <w:left w:val="single" w:color="auto" w:sz="4" w:space="0"/>
                    <w:bottom w:val="single" w:color="auto" w:sz="4" w:space="0"/>
                    <w:right w:val="single" w:color="auto" w:sz="4" w:space="0"/>
                  </w:tcBorders>
                  <w:noWrap w:val="0"/>
                  <w:vAlign w:val="center"/>
                </w:tcPr>
                <w:p w14:paraId="280273FD">
                  <w:pPr>
                    <w:pStyle w:val="49"/>
                    <w:bidi w:val="0"/>
                    <w:rPr>
                      <w:color w:val="auto"/>
                      <w:highlight w:val="none"/>
                    </w:rPr>
                  </w:pPr>
                  <w:r>
                    <w:rPr>
                      <w:color w:val="auto"/>
                      <w:highlight w:val="none"/>
                    </w:rPr>
                    <w:t>42.0</w:t>
                  </w:r>
                </w:p>
              </w:tc>
              <w:tc>
                <w:tcPr>
                  <w:tcW w:w="927" w:type="pct"/>
                  <w:tcBorders>
                    <w:top w:val="single" w:color="auto" w:sz="4" w:space="0"/>
                    <w:left w:val="single" w:color="auto" w:sz="4" w:space="0"/>
                    <w:bottom w:val="single" w:color="auto" w:sz="4" w:space="0"/>
                    <w:right w:val="single" w:color="auto" w:sz="4" w:space="0"/>
                  </w:tcBorders>
                  <w:noWrap w:val="0"/>
                  <w:vAlign w:val="center"/>
                </w:tcPr>
                <w:p w14:paraId="6441BAEF">
                  <w:pPr>
                    <w:pStyle w:val="49"/>
                    <w:bidi w:val="0"/>
                    <w:rPr>
                      <w:color w:val="auto"/>
                      <w:highlight w:val="none"/>
                    </w:rPr>
                  </w:pPr>
                  <w:r>
                    <w:rPr>
                      <w:color w:val="auto"/>
                      <w:highlight w:val="none"/>
                    </w:rPr>
                    <w:t>/</w:t>
                  </w:r>
                </w:p>
              </w:tc>
              <w:tc>
                <w:tcPr>
                  <w:tcW w:w="922" w:type="pct"/>
                  <w:tcBorders>
                    <w:top w:val="single" w:color="auto" w:sz="4" w:space="0"/>
                    <w:left w:val="single" w:color="auto" w:sz="4" w:space="0"/>
                    <w:bottom w:val="single" w:color="auto" w:sz="4" w:space="0"/>
                    <w:right w:val="single" w:color="auto" w:sz="4" w:space="0"/>
                  </w:tcBorders>
                  <w:noWrap w:val="0"/>
                  <w:vAlign w:val="center"/>
                </w:tcPr>
                <w:p w14:paraId="31CCA2C2">
                  <w:pPr>
                    <w:pStyle w:val="49"/>
                    <w:bidi w:val="0"/>
                    <w:rPr>
                      <w:color w:val="auto"/>
                      <w:highlight w:val="none"/>
                    </w:rPr>
                  </w:pPr>
                  <w:r>
                    <w:rPr>
                      <w:color w:val="auto"/>
                      <w:highlight w:val="none"/>
                    </w:rPr>
                    <w:t>42.0</w:t>
                  </w:r>
                </w:p>
              </w:tc>
              <w:tc>
                <w:tcPr>
                  <w:tcW w:w="925" w:type="pct"/>
                  <w:tcBorders>
                    <w:top w:val="single" w:color="auto" w:sz="4" w:space="0"/>
                    <w:left w:val="single" w:color="auto" w:sz="4" w:space="0"/>
                    <w:bottom w:val="single" w:color="auto" w:sz="4" w:space="0"/>
                    <w:right w:val="single" w:color="auto" w:sz="4" w:space="0"/>
                  </w:tcBorders>
                  <w:noWrap w:val="0"/>
                  <w:vAlign w:val="center"/>
                </w:tcPr>
                <w:p w14:paraId="46F15D0F">
                  <w:pPr>
                    <w:pStyle w:val="49"/>
                    <w:bidi w:val="0"/>
                    <w:rPr>
                      <w:color w:val="auto"/>
                      <w:highlight w:val="none"/>
                    </w:rPr>
                  </w:pPr>
                  <w:r>
                    <w:rPr>
                      <w:rFonts w:hint="eastAsia"/>
                      <w:color w:val="auto"/>
                      <w:highlight w:val="none"/>
                    </w:rPr>
                    <w:t>达标</w:t>
                  </w:r>
                </w:p>
              </w:tc>
            </w:tr>
            <w:tr w14:paraId="60303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55" w:type="pct"/>
                  <w:tcBorders>
                    <w:top w:val="single" w:color="auto" w:sz="4" w:space="0"/>
                    <w:left w:val="single" w:color="auto" w:sz="4" w:space="0"/>
                    <w:bottom w:val="single" w:color="auto" w:sz="4" w:space="0"/>
                    <w:right w:val="single" w:color="auto" w:sz="4" w:space="0"/>
                  </w:tcBorders>
                  <w:noWrap w:val="0"/>
                  <w:vAlign w:val="center"/>
                </w:tcPr>
                <w:p w14:paraId="4B10179A">
                  <w:pPr>
                    <w:pStyle w:val="49"/>
                    <w:bidi w:val="0"/>
                    <w:rPr>
                      <w:color w:val="auto"/>
                      <w:highlight w:val="none"/>
                    </w:rPr>
                  </w:pPr>
                  <w:r>
                    <w:rPr>
                      <w:rFonts w:hint="eastAsia"/>
                      <w:color w:val="auto"/>
                      <w:highlight w:val="none"/>
                    </w:rPr>
                    <w:t>标准值（</w:t>
                  </w:r>
                  <w:r>
                    <w:rPr>
                      <w:color w:val="auto"/>
                      <w:highlight w:val="none"/>
                    </w:rPr>
                    <w:t>A</w:t>
                  </w:r>
                  <w:r>
                    <w:rPr>
                      <w:rFonts w:hint="eastAsia"/>
                      <w:color w:val="auto"/>
                      <w:highlight w:val="none"/>
                    </w:rPr>
                    <w:t>）</w:t>
                  </w:r>
                </w:p>
              </w:tc>
              <w:tc>
                <w:tcPr>
                  <w:tcW w:w="3745" w:type="pct"/>
                  <w:gridSpan w:val="4"/>
                  <w:tcBorders>
                    <w:top w:val="single" w:color="auto" w:sz="4" w:space="0"/>
                    <w:left w:val="single" w:color="auto" w:sz="4" w:space="0"/>
                    <w:bottom w:val="single" w:color="auto" w:sz="4" w:space="0"/>
                    <w:right w:val="single" w:color="auto" w:sz="4" w:space="0"/>
                  </w:tcBorders>
                  <w:noWrap w:val="0"/>
                  <w:vAlign w:val="center"/>
                </w:tcPr>
                <w:p w14:paraId="667ABEF7">
                  <w:pPr>
                    <w:pStyle w:val="49"/>
                    <w:bidi w:val="0"/>
                    <w:rPr>
                      <w:color w:val="auto"/>
                      <w:highlight w:val="none"/>
                    </w:rPr>
                  </w:pPr>
                  <w:r>
                    <w:rPr>
                      <w:rFonts w:hint="eastAsia"/>
                      <w:color w:val="auto"/>
                      <w:highlight w:val="none"/>
                    </w:rPr>
                    <w:t>《工业企业厂界环境噪声排放标准》（</w:t>
                  </w:r>
                  <w:r>
                    <w:rPr>
                      <w:color w:val="auto"/>
                      <w:highlight w:val="none"/>
                    </w:rPr>
                    <w:t>GB12348-2008</w:t>
                  </w:r>
                  <w:r>
                    <w:rPr>
                      <w:rFonts w:hint="eastAsia"/>
                      <w:color w:val="auto"/>
                      <w:highlight w:val="none"/>
                    </w:rPr>
                    <w:t>）：</w:t>
                  </w:r>
                  <w:r>
                    <w:rPr>
                      <w:color w:val="auto"/>
                      <w:highlight w:val="none"/>
                    </w:rPr>
                    <w:t>2</w:t>
                  </w:r>
                  <w:r>
                    <w:rPr>
                      <w:rFonts w:hint="eastAsia"/>
                      <w:color w:val="auto"/>
                      <w:highlight w:val="none"/>
                    </w:rPr>
                    <w:t>类：昼间：</w:t>
                  </w:r>
                  <w:r>
                    <w:rPr>
                      <w:color w:val="auto"/>
                      <w:highlight w:val="none"/>
                    </w:rPr>
                    <w:t>60</w:t>
                  </w:r>
                  <w:r>
                    <w:rPr>
                      <w:rFonts w:hint="eastAsia"/>
                      <w:color w:val="auto"/>
                      <w:highlight w:val="none"/>
                    </w:rPr>
                    <w:t>、</w:t>
                  </w:r>
                  <w:r>
                    <w:rPr>
                      <w:color w:val="auto"/>
                      <w:highlight w:val="none"/>
                    </w:rPr>
                    <w:t>夜间</w:t>
                  </w:r>
                  <w:r>
                    <w:rPr>
                      <w:rFonts w:hint="eastAsia"/>
                      <w:color w:val="auto"/>
                      <w:highlight w:val="none"/>
                    </w:rPr>
                    <w:t>：50。</w:t>
                  </w:r>
                </w:p>
              </w:tc>
            </w:tr>
          </w:tbl>
          <w:p w14:paraId="495704FA">
            <w:pPr>
              <w:pStyle w:val="32"/>
              <w:bidi w:val="0"/>
              <w:rPr>
                <w:rFonts w:hint="eastAsia"/>
                <w:color w:val="auto"/>
                <w:highlight w:val="none"/>
                <w:lang w:val="en-US" w:eastAsia="zh-CN"/>
              </w:rPr>
            </w:pPr>
            <w:r>
              <w:rPr>
                <w:rFonts w:hint="eastAsia"/>
                <w:color w:val="auto"/>
                <w:highlight w:val="none"/>
                <w:lang w:val="en-US" w:eastAsia="zh-CN"/>
              </w:rPr>
              <w:t>表4-14     声环境敏感点发表分析单位：dB(A)</w:t>
            </w:r>
          </w:p>
          <w:tbl>
            <w:tblPr>
              <w:tblStyle w:val="26"/>
              <w:tblW w:w="7936" w:type="dxa"/>
              <w:tblInd w:w="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668"/>
              <w:gridCol w:w="668"/>
              <w:gridCol w:w="668"/>
              <w:gridCol w:w="669"/>
              <w:gridCol w:w="11"/>
              <w:gridCol w:w="658"/>
              <w:gridCol w:w="669"/>
              <w:gridCol w:w="669"/>
              <w:gridCol w:w="669"/>
              <w:gridCol w:w="669"/>
              <w:gridCol w:w="668"/>
            </w:tblGrid>
            <w:tr w14:paraId="5A0F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trPr>
              <w:tc>
                <w:tcPr>
                  <w:tcW w:w="1250" w:type="dxa"/>
                  <w:vMerge w:val="restart"/>
                  <w:tcBorders>
                    <w:tl2br w:val="nil"/>
                    <w:tr2bl w:val="nil"/>
                  </w:tcBorders>
                  <w:noWrap w:val="0"/>
                  <w:vAlign w:val="center"/>
                </w:tcPr>
                <w:p w14:paraId="1C79F456">
                  <w:pPr>
                    <w:pStyle w:val="49"/>
                    <w:bidi w:val="0"/>
                    <w:jc w:val="center"/>
                    <w:rPr>
                      <w:rFonts w:hint="default"/>
                      <w:b/>
                      <w:bCs/>
                      <w:color w:val="auto"/>
                      <w:highlight w:val="none"/>
                      <w:lang w:val="en-US" w:eastAsia="zh-CN"/>
                    </w:rPr>
                  </w:pPr>
                  <w:r>
                    <w:rPr>
                      <w:rFonts w:hint="eastAsia"/>
                      <w:b/>
                      <w:bCs/>
                      <w:color w:val="auto"/>
                      <w:highlight w:val="none"/>
                      <w:lang w:val="en-US" w:eastAsia="zh-CN"/>
                    </w:rPr>
                    <w:t>点位</w:t>
                  </w:r>
                </w:p>
              </w:tc>
              <w:tc>
                <w:tcPr>
                  <w:tcW w:w="1336" w:type="dxa"/>
                  <w:gridSpan w:val="2"/>
                  <w:tcBorders>
                    <w:tl2br w:val="nil"/>
                    <w:tr2bl w:val="nil"/>
                  </w:tcBorders>
                  <w:noWrap w:val="0"/>
                  <w:vAlign w:val="center"/>
                </w:tcPr>
                <w:p w14:paraId="6949FEAB">
                  <w:pPr>
                    <w:pStyle w:val="49"/>
                    <w:bidi w:val="0"/>
                    <w:rPr>
                      <w:rFonts w:hint="default"/>
                      <w:b/>
                      <w:bCs/>
                      <w:color w:val="auto"/>
                      <w:highlight w:val="none"/>
                    </w:rPr>
                  </w:pPr>
                  <w:r>
                    <w:rPr>
                      <w:rFonts w:hint="default"/>
                      <w:b/>
                      <w:bCs/>
                      <w:color w:val="auto"/>
                      <w:highlight w:val="none"/>
                    </w:rPr>
                    <w:t>贡献值</w:t>
                  </w:r>
                </w:p>
              </w:tc>
              <w:tc>
                <w:tcPr>
                  <w:tcW w:w="1348" w:type="dxa"/>
                  <w:gridSpan w:val="3"/>
                  <w:tcBorders>
                    <w:tl2br w:val="nil"/>
                    <w:tr2bl w:val="nil"/>
                  </w:tcBorders>
                  <w:noWrap w:val="0"/>
                  <w:vAlign w:val="center"/>
                </w:tcPr>
                <w:p w14:paraId="5F5EC179">
                  <w:pPr>
                    <w:pStyle w:val="49"/>
                    <w:bidi w:val="0"/>
                    <w:rPr>
                      <w:rFonts w:hint="default"/>
                      <w:b/>
                      <w:bCs/>
                      <w:color w:val="auto"/>
                      <w:highlight w:val="none"/>
                    </w:rPr>
                  </w:pPr>
                  <w:r>
                    <w:rPr>
                      <w:rFonts w:hint="default"/>
                      <w:b/>
                      <w:bCs/>
                      <w:color w:val="auto"/>
                      <w:highlight w:val="none"/>
                      <w:lang w:eastAsia="zh-CN"/>
                    </w:rPr>
                    <w:t>背景值</w:t>
                  </w:r>
                </w:p>
              </w:tc>
              <w:tc>
                <w:tcPr>
                  <w:tcW w:w="1327" w:type="dxa"/>
                  <w:gridSpan w:val="2"/>
                  <w:tcBorders>
                    <w:tl2br w:val="nil"/>
                    <w:tr2bl w:val="nil"/>
                  </w:tcBorders>
                  <w:noWrap w:val="0"/>
                  <w:vAlign w:val="center"/>
                </w:tcPr>
                <w:p w14:paraId="4EB801F5">
                  <w:pPr>
                    <w:pStyle w:val="49"/>
                    <w:bidi w:val="0"/>
                    <w:rPr>
                      <w:rFonts w:hint="default"/>
                      <w:b/>
                      <w:bCs/>
                      <w:color w:val="auto"/>
                      <w:highlight w:val="none"/>
                      <w:lang w:eastAsia="zh-CN"/>
                    </w:rPr>
                  </w:pPr>
                  <w:r>
                    <w:rPr>
                      <w:rFonts w:hint="default"/>
                      <w:b/>
                      <w:bCs/>
                      <w:color w:val="auto"/>
                      <w:highlight w:val="none"/>
                      <w:lang w:eastAsia="zh-CN"/>
                    </w:rPr>
                    <w:t>预测值</w:t>
                  </w:r>
                </w:p>
              </w:tc>
              <w:tc>
                <w:tcPr>
                  <w:tcW w:w="1338" w:type="dxa"/>
                  <w:gridSpan w:val="2"/>
                  <w:tcBorders>
                    <w:tl2br w:val="nil"/>
                    <w:tr2bl w:val="nil"/>
                  </w:tcBorders>
                  <w:noWrap w:val="0"/>
                  <w:vAlign w:val="center"/>
                </w:tcPr>
                <w:p w14:paraId="5E405503">
                  <w:pPr>
                    <w:pStyle w:val="49"/>
                    <w:bidi w:val="0"/>
                    <w:rPr>
                      <w:rFonts w:hint="default"/>
                      <w:b/>
                      <w:bCs/>
                      <w:color w:val="auto"/>
                      <w:highlight w:val="none"/>
                    </w:rPr>
                  </w:pPr>
                  <w:r>
                    <w:rPr>
                      <w:rFonts w:hint="default"/>
                      <w:b/>
                      <w:bCs/>
                      <w:color w:val="auto"/>
                      <w:highlight w:val="none"/>
                    </w:rPr>
                    <w:t>标准值</w:t>
                  </w:r>
                </w:p>
              </w:tc>
              <w:tc>
                <w:tcPr>
                  <w:tcW w:w="1337" w:type="dxa"/>
                  <w:gridSpan w:val="2"/>
                  <w:tcBorders>
                    <w:tl2br w:val="nil"/>
                    <w:tr2bl w:val="nil"/>
                  </w:tcBorders>
                  <w:noWrap w:val="0"/>
                  <w:vAlign w:val="center"/>
                </w:tcPr>
                <w:p w14:paraId="15867E72">
                  <w:pPr>
                    <w:pStyle w:val="49"/>
                    <w:bidi w:val="0"/>
                    <w:rPr>
                      <w:rFonts w:hint="default"/>
                      <w:b/>
                      <w:bCs/>
                      <w:color w:val="auto"/>
                      <w:highlight w:val="none"/>
                    </w:rPr>
                  </w:pPr>
                  <w:r>
                    <w:rPr>
                      <w:rFonts w:hint="default"/>
                      <w:b/>
                      <w:bCs/>
                      <w:color w:val="auto"/>
                      <w:highlight w:val="none"/>
                    </w:rPr>
                    <w:t>达标情况</w:t>
                  </w:r>
                </w:p>
              </w:tc>
            </w:tr>
            <w:tr w14:paraId="4B59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blHeader/>
              </w:trPr>
              <w:tc>
                <w:tcPr>
                  <w:tcW w:w="1250" w:type="dxa"/>
                  <w:vMerge w:val="continue"/>
                  <w:tcBorders>
                    <w:tl2br w:val="nil"/>
                    <w:tr2bl w:val="nil"/>
                  </w:tcBorders>
                  <w:noWrap w:val="0"/>
                  <w:vAlign w:val="center"/>
                </w:tcPr>
                <w:p w14:paraId="7F3175B1">
                  <w:pPr>
                    <w:pStyle w:val="49"/>
                    <w:bidi w:val="0"/>
                    <w:rPr>
                      <w:rFonts w:hint="default"/>
                      <w:b/>
                      <w:bCs/>
                      <w:color w:val="auto"/>
                      <w:highlight w:val="none"/>
                    </w:rPr>
                  </w:pPr>
                </w:p>
              </w:tc>
              <w:tc>
                <w:tcPr>
                  <w:tcW w:w="668" w:type="dxa"/>
                  <w:tcBorders>
                    <w:tl2br w:val="nil"/>
                    <w:tr2bl w:val="nil"/>
                  </w:tcBorders>
                  <w:noWrap w:val="0"/>
                  <w:vAlign w:val="center"/>
                </w:tcPr>
                <w:p w14:paraId="5A5DADF1">
                  <w:pPr>
                    <w:pStyle w:val="49"/>
                    <w:bidi w:val="0"/>
                    <w:rPr>
                      <w:rFonts w:hint="default"/>
                      <w:b/>
                      <w:bCs/>
                      <w:color w:val="auto"/>
                      <w:highlight w:val="none"/>
                    </w:rPr>
                  </w:pPr>
                  <w:r>
                    <w:rPr>
                      <w:rFonts w:hint="default"/>
                      <w:b/>
                      <w:bCs/>
                      <w:color w:val="auto"/>
                      <w:highlight w:val="none"/>
                    </w:rPr>
                    <w:t>昼间</w:t>
                  </w:r>
                </w:p>
              </w:tc>
              <w:tc>
                <w:tcPr>
                  <w:tcW w:w="668" w:type="dxa"/>
                  <w:tcBorders>
                    <w:tl2br w:val="nil"/>
                    <w:tr2bl w:val="nil"/>
                  </w:tcBorders>
                  <w:noWrap w:val="0"/>
                  <w:vAlign w:val="center"/>
                </w:tcPr>
                <w:p w14:paraId="4FCC9BE8">
                  <w:pPr>
                    <w:pStyle w:val="49"/>
                    <w:bidi w:val="0"/>
                    <w:rPr>
                      <w:rFonts w:hint="default"/>
                      <w:b/>
                      <w:bCs/>
                      <w:color w:val="auto"/>
                      <w:highlight w:val="none"/>
                    </w:rPr>
                  </w:pPr>
                  <w:r>
                    <w:rPr>
                      <w:rFonts w:hint="default"/>
                      <w:b/>
                      <w:bCs/>
                      <w:color w:val="auto"/>
                      <w:highlight w:val="none"/>
                    </w:rPr>
                    <w:t>夜间</w:t>
                  </w:r>
                </w:p>
              </w:tc>
              <w:tc>
                <w:tcPr>
                  <w:tcW w:w="668" w:type="dxa"/>
                  <w:tcBorders>
                    <w:tl2br w:val="nil"/>
                    <w:tr2bl w:val="nil"/>
                  </w:tcBorders>
                  <w:noWrap w:val="0"/>
                  <w:vAlign w:val="center"/>
                </w:tcPr>
                <w:p w14:paraId="790B8D1E">
                  <w:pPr>
                    <w:pStyle w:val="49"/>
                    <w:bidi w:val="0"/>
                    <w:rPr>
                      <w:rFonts w:hint="default"/>
                      <w:b/>
                      <w:bCs/>
                      <w:color w:val="auto"/>
                      <w:highlight w:val="none"/>
                    </w:rPr>
                  </w:pPr>
                  <w:r>
                    <w:rPr>
                      <w:rFonts w:hint="default"/>
                      <w:b/>
                      <w:bCs/>
                      <w:color w:val="auto"/>
                      <w:highlight w:val="none"/>
                    </w:rPr>
                    <w:t>昼间</w:t>
                  </w:r>
                </w:p>
              </w:tc>
              <w:tc>
                <w:tcPr>
                  <w:tcW w:w="669" w:type="dxa"/>
                  <w:tcBorders>
                    <w:tl2br w:val="nil"/>
                    <w:tr2bl w:val="nil"/>
                  </w:tcBorders>
                  <w:noWrap w:val="0"/>
                  <w:vAlign w:val="center"/>
                </w:tcPr>
                <w:p w14:paraId="557FBB1E">
                  <w:pPr>
                    <w:pStyle w:val="49"/>
                    <w:bidi w:val="0"/>
                    <w:rPr>
                      <w:rFonts w:hint="default"/>
                      <w:b/>
                      <w:bCs/>
                      <w:color w:val="auto"/>
                      <w:highlight w:val="none"/>
                    </w:rPr>
                  </w:pPr>
                  <w:r>
                    <w:rPr>
                      <w:rFonts w:hint="default"/>
                      <w:b/>
                      <w:bCs/>
                      <w:color w:val="auto"/>
                      <w:highlight w:val="none"/>
                    </w:rPr>
                    <w:t>夜间</w:t>
                  </w:r>
                </w:p>
              </w:tc>
              <w:tc>
                <w:tcPr>
                  <w:tcW w:w="669" w:type="dxa"/>
                  <w:gridSpan w:val="2"/>
                  <w:tcBorders>
                    <w:tl2br w:val="nil"/>
                    <w:tr2bl w:val="nil"/>
                  </w:tcBorders>
                  <w:noWrap w:val="0"/>
                  <w:vAlign w:val="center"/>
                </w:tcPr>
                <w:p w14:paraId="467D6D5F">
                  <w:pPr>
                    <w:pStyle w:val="49"/>
                    <w:bidi w:val="0"/>
                    <w:rPr>
                      <w:rFonts w:hint="default"/>
                      <w:b/>
                      <w:bCs/>
                      <w:color w:val="auto"/>
                      <w:highlight w:val="none"/>
                    </w:rPr>
                  </w:pPr>
                  <w:r>
                    <w:rPr>
                      <w:rFonts w:hint="default"/>
                      <w:b/>
                      <w:bCs/>
                      <w:color w:val="auto"/>
                      <w:highlight w:val="none"/>
                    </w:rPr>
                    <w:t>昼间</w:t>
                  </w:r>
                </w:p>
              </w:tc>
              <w:tc>
                <w:tcPr>
                  <w:tcW w:w="669" w:type="dxa"/>
                  <w:tcBorders>
                    <w:tl2br w:val="nil"/>
                    <w:tr2bl w:val="nil"/>
                  </w:tcBorders>
                  <w:noWrap w:val="0"/>
                  <w:vAlign w:val="center"/>
                </w:tcPr>
                <w:p w14:paraId="1F4B2E8E">
                  <w:pPr>
                    <w:pStyle w:val="49"/>
                    <w:bidi w:val="0"/>
                    <w:rPr>
                      <w:rFonts w:hint="default"/>
                      <w:b/>
                      <w:bCs/>
                      <w:color w:val="auto"/>
                      <w:highlight w:val="none"/>
                    </w:rPr>
                  </w:pPr>
                  <w:r>
                    <w:rPr>
                      <w:rFonts w:hint="default"/>
                      <w:b/>
                      <w:bCs/>
                      <w:color w:val="auto"/>
                      <w:highlight w:val="none"/>
                    </w:rPr>
                    <w:t>夜间</w:t>
                  </w:r>
                </w:p>
              </w:tc>
              <w:tc>
                <w:tcPr>
                  <w:tcW w:w="669" w:type="dxa"/>
                  <w:tcBorders>
                    <w:tl2br w:val="nil"/>
                    <w:tr2bl w:val="nil"/>
                  </w:tcBorders>
                  <w:noWrap w:val="0"/>
                  <w:vAlign w:val="center"/>
                </w:tcPr>
                <w:p w14:paraId="7B6F8357">
                  <w:pPr>
                    <w:pStyle w:val="49"/>
                    <w:bidi w:val="0"/>
                    <w:rPr>
                      <w:rFonts w:hint="default"/>
                      <w:b/>
                      <w:bCs/>
                      <w:color w:val="auto"/>
                      <w:highlight w:val="none"/>
                    </w:rPr>
                  </w:pPr>
                  <w:r>
                    <w:rPr>
                      <w:rFonts w:hint="default"/>
                      <w:b/>
                      <w:bCs/>
                      <w:color w:val="auto"/>
                      <w:highlight w:val="none"/>
                    </w:rPr>
                    <w:t>昼间</w:t>
                  </w:r>
                </w:p>
              </w:tc>
              <w:tc>
                <w:tcPr>
                  <w:tcW w:w="669" w:type="dxa"/>
                  <w:tcBorders>
                    <w:tl2br w:val="nil"/>
                    <w:tr2bl w:val="nil"/>
                  </w:tcBorders>
                  <w:noWrap w:val="0"/>
                  <w:vAlign w:val="center"/>
                </w:tcPr>
                <w:p w14:paraId="56D7639A">
                  <w:pPr>
                    <w:pStyle w:val="49"/>
                    <w:bidi w:val="0"/>
                    <w:rPr>
                      <w:rFonts w:hint="default"/>
                      <w:b/>
                      <w:bCs/>
                      <w:color w:val="auto"/>
                      <w:highlight w:val="none"/>
                    </w:rPr>
                  </w:pPr>
                  <w:r>
                    <w:rPr>
                      <w:rFonts w:hint="default"/>
                      <w:b/>
                      <w:bCs/>
                      <w:color w:val="auto"/>
                      <w:highlight w:val="none"/>
                    </w:rPr>
                    <w:t>夜间</w:t>
                  </w:r>
                </w:p>
              </w:tc>
              <w:tc>
                <w:tcPr>
                  <w:tcW w:w="669" w:type="dxa"/>
                  <w:tcBorders>
                    <w:tl2br w:val="nil"/>
                    <w:tr2bl w:val="nil"/>
                  </w:tcBorders>
                  <w:noWrap w:val="0"/>
                  <w:vAlign w:val="center"/>
                </w:tcPr>
                <w:p w14:paraId="56C65E2F">
                  <w:pPr>
                    <w:pStyle w:val="49"/>
                    <w:bidi w:val="0"/>
                    <w:rPr>
                      <w:rFonts w:hint="default"/>
                      <w:b/>
                      <w:bCs/>
                      <w:color w:val="auto"/>
                      <w:highlight w:val="none"/>
                    </w:rPr>
                  </w:pPr>
                  <w:r>
                    <w:rPr>
                      <w:rFonts w:hint="default"/>
                      <w:b/>
                      <w:bCs/>
                      <w:color w:val="auto"/>
                      <w:highlight w:val="none"/>
                    </w:rPr>
                    <w:t>昼间</w:t>
                  </w:r>
                </w:p>
              </w:tc>
              <w:tc>
                <w:tcPr>
                  <w:tcW w:w="668" w:type="dxa"/>
                  <w:tcBorders>
                    <w:tl2br w:val="nil"/>
                    <w:tr2bl w:val="nil"/>
                  </w:tcBorders>
                  <w:noWrap w:val="0"/>
                  <w:vAlign w:val="center"/>
                </w:tcPr>
                <w:p w14:paraId="757B457C">
                  <w:pPr>
                    <w:pStyle w:val="49"/>
                    <w:bidi w:val="0"/>
                    <w:rPr>
                      <w:rFonts w:hint="default"/>
                      <w:b/>
                      <w:bCs/>
                      <w:color w:val="auto"/>
                      <w:highlight w:val="none"/>
                    </w:rPr>
                  </w:pPr>
                  <w:r>
                    <w:rPr>
                      <w:rFonts w:hint="default"/>
                      <w:b/>
                      <w:bCs/>
                      <w:color w:val="auto"/>
                      <w:highlight w:val="none"/>
                    </w:rPr>
                    <w:t>夜间</w:t>
                  </w:r>
                </w:p>
              </w:tc>
            </w:tr>
            <w:tr w14:paraId="06F7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250" w:type="dxa"/>
                  <w:tcBorders>
                    <w:tl2br w:val="nil"/>
                    <w:tr2bl w:val="nil"/>
                  </w:tcBorders>
                  <w:noWrap w:val="0"/>
                  <w:vAlign w:val="center"/>
                </w:tcPr>
                <w:p w14:paraId="6A32D347">
                  <w:pPr>
                    <w:pStyle w:val="49"/>
                    <w:keepNext w:val="0"/>
                    <w:keepLines w:val="0"/>
                    <w:pageBreakBefore w:val="0"/>
                    <w:widowControl w:val="0"/>
                    <w:kinsoku/>
                    <w:wordWrap/>
                    <w:overflowPunct/>
                    <w:topLinePunct w:val="0"/>
                    <w:autoSpaceDE/>
                    <w:autoSpaceDN/>
                    <w:bidi w:val="0"/>
                    <w:adjustRightInd w:val="0"/>
                    <w:snapToGrid w:val="0"/>
                    <w:ind w:left="-105" w:leftChars="-50"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全丰村散户</w:t>
                  </w:r>
                </w:p>
              </w:tc>
              <w:tc>
                <w:tcPr>
                  <w:tcW w:w="668" w:type="dxa"/>
                  <w:tcBorders>
                    <w:tl2br w:val="nil"/>
                    <w:tr2bl w:val="nil"/>
                  </w:tcBorders>
                  <w:noWrap w:val="0"/>
                  <w:vAlign w:val="center"/>
                </w:tcPr>
                <w:p w14:paraId="04CBD988">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27.7</w:t>
                  </w:r>
                </w:p>
              </w:tc>
              <w:tc>
                <w:tcPr>
                  <w:tcW w:w="668" w:type="dxa"/>
                  <w:tcBorders>
                    <w:tl2br w:val="nil"/>
                    <w:tr2bl w:val="nil"/>
                  </w:tcBorders>
                  <w:noWrap w:val="0"/>
                  <w:vAlign w:val="center"/>
                </w:tcPr>
                <w:p w14:paraId="49F44BF7">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27.7</w:t>
                  </w:r>
                </w:p>
              </w:tc>
              <w:tc>
                <w:tcPr>
                  <w:tcW w:w="668" w:type="dxa"/>
                  <w:tcBorders>
                    <w:tl2br w:val="nil"/>
                    <w:tr2bl w:val="nil"/>
                  </w:tcBorders>
                  <w:noWrap w:val="0"/>
                  <w:vAlign w:val="center"/>
                </w:tcPr>
                <w:p w14:paraId="73286EF3">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43</w:t>
                  </w:r>
                </w:p>
              </w:tc>
              <w:tc>
                <w:tcPr>
                  <w:tcW w:w="669" w:type="dxa"/>
                  <w:tcBorders>
                    <w:tl2br w:val="nil"/>
                    <w:tr2bl w:val="nil"/>
                  </w:tcBorders>
                  <w:noWrap w:val="0"/>
                  <w:vAlign w:val="center"/>
                </w:tcPr>
                <w:p w14:paraId="35AE9A8C">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hAnsi="Times New Roman" w:cs="Times New Roman"/>
                      <w:color w:val="auto"/>
                      <w:kern w:val="0"/>
                      <w:sz w:val="21"/>
                      <w:szCs w:val="20"/>
                      <w:highlight w:val="none"/>
                      <w:lang w:val="en-US" w:eastAsia="zh-CN" w:bidi="ar-SA"/>
                    </w:rPr>
                    <w:t>44</w:t>
                  </w:r>
                </w:p>
              </w:tc>
              <w:tc>
                <w:tcPr>
                  <w:tcW w:w="669" w:type="dxa"/>
                  <w:gridSpan w:val="2"/>
                  <w:tcBorders>
                    <w:tl2br w:val="nil"/>
                    <w:tr2bl w:val="nil"/>
                  </w:tcBorders>
                  <w:noWrap w:val="0"/>
                  <w:vAlign w:val="center"/>
                </w:tcPr>
                <w:p w14:paraId="023AFFCD">
                  <w:pPr>
                    <w:pStyle w:val="49"/>
                    <w:bidi w:val="0"/>
                    <w:rPr>
                      <w:rFonts w:hint="default"/>
                      <w:color w:val="auto"/>
                      <w:highlight w:val="none"/>
                      <w:lang w:val="en-US" w:eastAsia="zh-CN"/>
                    </w:rPr>
                  </w:pPr>
                  <w:r>
                    <w:rPr>
                      <w:rFonts w:hint="eastAsia"/>
                      <w:color w:val="auto"/>
                      <w:highlight w:val="none"/>
                      <w:lang w:val="en-US" w:eastAsia="zh-CN"/>
                    </w:rPr>
                    <w:t>43.1</w:t>
                  </w:r>
                </w:p>
              </w:tc>
              <w:tc>
                <w:tcPr>
                  <w:tcW w:w="669" w:type="dxa"/>
                  <w:tcBorders>
                    <w:tl2br w:val="nil"/>
                    <w:tr2bl w:val="nil"/>
                  </w:tcBorders>
                  <w:noWrap w:val="0"/>
                  <w:vAlign w:val="center"/>
                </w:tcPr>
                <w:p w14:paraId="18FD22BE">
                  <w:pPr>
                    <w:pStyle w:val="49"/>
                    <w:bidi w:val="0"/>
                    <w:rPr>
                      <w:rFonts w:hint="default"/>
                      <w:color w:val="auto"/>
                      <w:highlight w:val="none"/>
                      <w:lang w:val="en-US" w:eastAsia="zh-CN"/>
                    </w:rPr>
                  </w:pPr>
                  <w:r>
                    <w:rPr>
                      <w:rFonts w:hint="eastAsia"/>
                      <w:color w:val="auto"/>
                      <w:highlight w:val="none"/>
                      <w:lang w:val="en-US" w:eastAsia="zh-CN"/>
                    </w:rPr>
                    <w:t>44.1</w:t>
                  </w:r>
                </w:p>
              </w:tc>
              <w:tc>
                <w:tcPr>
                  <w:tcW w:w="669" w:type="dxa"/>
                  <w:tcBorders>
                    <w:tl2br w:val="nil"/>
                    <w:tr2bl w:val="nil"/>
                  </w:tcBorders>
                  <w:noWrap w:val="0"/>
                  <w:vAlign w:val="center"/>
                </w:tcPr>
                <w:p w14:paraId="793C769B">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default"/>
                      <w:color w:val="auto"/>
                      <w:highlight w:val="none"/>
                    </w:rPr>
                    <w:t>≤6</w:t>
                  </w:r>
                  <w:r>
                    <w:rPr>
                      <w:rFonts w:hint="eastAsia"/>
                      <w:color w:val="auto"/>
                      <w:highlight w:val="none"/>
                      <w:lang w:val="en-US" w:eastAsia="zh-CN"/>
                    </w:rPr>
                    <w:t>0</w:t>
                  </w:r>
                </w:p>
              </w:tc>
              <w:tc>
                <w:tcPr>
                  <w:tcW w:w="669" w:type="dxa"/>
                  <w:tcBorders>
                    <w:tl2br w:val="nil"/>
                    <w:tr2bl w:val="nil"/>
                  </w:tcBorders>
                  <w:noWrap w:val="0"/>
                  <w:vAlign w:val="center"/>
                </w:tcPr>
                <w:p w14:paraId="49B24EDC">
                  <w:pPr>
                    <w:pStyle w:val="49"/>
                    <w:bidi w:val="0"/>
                    <w:ind w:left="0" w:leftChars="0" w:firstLine="0" w:firstLineChars="0"/>
                    <w:rPr>
                      <w:rFonts w:hint="default" w:ascii="Times New Roman" w:hAnsi="Times New Roman" w:eastAsia="宋体" w:cs="Times New Roman"/>
                      <w:color w:val="auto"/>
                      <w:kern w:val="0"/>
                      <w:sz w:val="21"/>
                      <w:szCs w:val="20"/>
                      <w:highlight w:val="none"/>
                      <w:lang w:val="en-US" w:eastAsia="zh-CN" w:bidi="ar-SA"/>
                    </w:rPr>
                  </w:pPr>
                  <w:r>
                    <w:rPr>
                      <w:rFonts w:hint="default"/>
                      <w:color w:val="auto"/>
                      <w:highlight w:val="none"/>
                    </w:rPr>
                    <w:t>≤5</w:t>
                  </w:r>
                  <w:r>
                    <w:rPr>
                      <w:rFonts w:hint="eastAsia"/>
                      <w:color w:val="auto"/>
                      <w:highlight w:val="none"/>
                      <w:lang w:val="en-US" w:eastAsia="zh-CN"/>
                    </w:rPr>
                    <w:t>0</w:t>
                  </w:r>
                </w:p>
              </w:tc>
              <w:tc>
                <w:tcPr>
                  <w:tcW w:w="669" w:type="dxa"/>
                  <w:tcBorders>
                    <w:tl2br w:val="nil"/>
                    <w:tr2bl w:val="nil"/>
                  </w:tcBorders>
                  <w:noWrap w:val="0"/>
                  <w:vAlign w:val="center"/>
                </w:tcPr>
                <w:p w14:paraId="0EF1B4DF">
                  <w:pPr>
                    <w:pStyle w:val="49"/>
                    <w:bidi w:val="0"/>
                    <w:rPr>
                      <w:rFonts w:hint="default"/>
                      <w:color w:val="auto"/>
                      <w:highlight w:val="none"/>
                    </w:rPr>
                  </w:pPr>
                  <w:r>
                    <w:rPr>
                      <w:rFonts w:hint="default"/>
                      <w:color w:val="auto"/>
                      <w:highlight w:val="none"/>
                    </w:rPr>
                    <w:t>达标</w:t>
                  </w:r>
                </w:p>
              </w:tc>
              <w:tc>
                <w:tcPr>
                  <w:tcW w:w="668" w:type="dxa"/>
                  <w:tcBorders>
                    <w:tl2br w:val="nil"/>
                    <w:tr2bl w:val="nil"/>
                  </w:tcBorders>
                  <w:noWrap w:val="0"/>
                  <w:vAlign w:val="center"/>
                </w:tcPr>
                <w:p w14:paraId="1081ABB6">
                  <w:pPr>
                    <w:pStyle w:val="49"/>
                    <w:bidi w:val="0"/>
                    <w:rPr>
                      <w:rFonts w:hint="default"/>
                      <w:color w:val="auto"/>
                      <w:highlight w:val="none"/>
                    </w:rPr>
                  </w:pPr>
                  <w:r>
                    <w:rPr>
                      <w:rFonts w:hint="default"/>
                      <w:color w:val="auto"/>
                      <w:highlight w:val="none"/>
                    </w:rPr>
                    <w:t>达标</w:t>
                  </w:r>
                </w:p>
              </w:tc>
            </w:tr>
          </w:tbl>
          <w:p w14:paraId="6D6A5BFA">
            <w:pPr>
              <w:pStyle w:val="11"/>
              <w:bidi w:val="0"/>
              <w:rPr>
                <w:rFonts w:hint="default"/>
                <w:color w:val="auto"/>
                <w:highlight w:val="none"/>
              </w:rPr>
            </w:pPr>
            <w:r>
              <w:rPr>
                <w:rFonts w:hint="default"/>
                <w:color w:val="auto"/>
                <w:highlight w:val="none"/>
              </w:rPr>
              <w:t>经预测，</w:t>
            </w:r>
            <w:r>
              <w:rPr>
                <w:rFonts w:hint="eastAsia"/>
                <w:color w:val="auto"/>
                <w:highlight w:val="none"/>
                <w:lang w:eastAsia="zh-CN"/>
              </w:rPr>
              <w:t>各</w:t>
            </w:r>
            <w:r>
              <w:rPr>
                <w:rFonts w:hint="default"/>
                <w:color w:val="auto"/>
                <w:highlight w:val="none"/>
              </w:rPr>
              <w:t>厂界噪声</w:t>
            </w:r>
            <w:r>
              <w:rPr>
                <w:rFonts w:hint="eastAsia"/>
                <w:color w:val="auto"/>
                <w:highlight w:val="none"/>
                <w:lang w:eastAsia="zh-CN"/>
              </w:rPr>
              <w:t>预测值</w:t>
            </w:r>
            <w:r>
              <w:rPr>
                <w:rFonts w:hint="default"/>
                <w:color w:val="auto"/>
                <w:highlight w:val="none"/>
              </w:rPr>
              <w:t>满足《工业企业厂界环境噪声排放标准》（GB12348-2008）</w:t>
            </w:r>
            <w:r>
              <w:rPr>
                <w:rFonts w:hint="eastAsia"/>
                <w:color w:val="auto"/>
                <w:highlight w:val="none"/>
                <w:lang w:val="en-US" w:eastAsia="zh-CN"/>
              </w:rPr>
              <w:t>2</w:t>
            </w:r>
            <w:r>
              <w:rPr>
                <w:rFonts w:hint="default"/>
                <w:color w:val="auto"/>
                <w:highlight w:val="none"/>
              </w:rPr>
              <w:t>类标准限值</w:t>
            </w:r>
            <w:r>
              <w:rPr>
                <w:rFonts w:hint="eastAsia"/>
                <w:color w:val="auto"/>
                <w:highlight w:val="none"/>
                <w:lang w:eastAsia="zh-CN"/>
              </w:rPr>
              <w:t>；敏感点噪声预测值满足</w:t>
            </w:r>
            <w:r>
              <w:rPr>
                <w:rFonts w:hint="default"/>
                <w:color w:val="auto"/>
                <w:highlight w:val="none"/>
              </w:rPr>
              <w:t>《声环境质量标准》</w:t>
            </w:r>
            <w:r>
              <w:rPr>
                <w:rFonts w:hint="default"/>
                <w:color w:val="auto"/>
                <w:highlight w:val="none"/>
                <w:lang w:eastAsia="zh-CN"/>
              </w:rPr>
              <w:t>（</w:t>
            </w:r>
            <w:r>
              <w:rPr>
                <w:rFonts w:hint="default"/>
                <w:color w:val="auto"/>
                <w:highlight w:val="none"/>
              </w:rPr>
              <w:t>GB3096-2008</w:t>
            </w:r>
            <w:r>
              <w:rPr>
                <w:rFonts w:hint="default"/>
                <w:color w:val="auto"/>
                <w:highlight w:val="none"/>
                <w:lang w:eastAsia="zh-CN"/>
              </w:rPr>
              <w:t>）</w:t>
            </w:r>
            <w:r>
              <w:rPr>
                <w:rFonts w:hint="eastAsia"/>
                <w:color w:val="auto"/>
                <w:highlight w:val="none"/>
                <w:lang w:val="en-US" w:eastAsia="zh-CN"/>
              </w:rPr>
              <w:t>2类区标准限值，</w:t>
            </w:r>
            <w:r>
              <w:rPr>
                <w:rFonts w:hint="default"/>
                <w:color w:val="auto"/>
                <w:highlight w:val="none"/>
              </w:rPr>
              <w:t>项目产生的噪声对周围环境影响</w:t>
            </w:r>
            <w:r>
              <w:rPr>
                <w:rFonts w:hint="default"/>
                <w:color w:val="auto"/>
                <w:highlight w:val="none"/>
                <w:lang w:eastAsia="zh-CN"/>
              </w:rPr>
              <w:t>较小</w:t>
            </w:r>
            <w:r>
              <w:rPr>
                <w:rFonts w:hint="default"/>
                <w:color w:val="auto"/>
                <w:highlight w:val="none"/>
              </w:rPr>
              <w:t>。</w:t>
            </w:r>
          </w:p>
          <w:p w14:paraId="69292F64">
            <w:pPr>
              <w:adjustRightInd w:val="0"/>
              <w:snapToGrid w:val="0"/>
              <w:spacing w:line="360" w:lineRule="auto"/>
              <w:ind w:firstLine="480"/>
              <w:rPr>
                <w:color w:val="auto"/>
                <w:sz w:val="24"/>
                <w:szCs w:val="32"/>
                <w:highlight w:val="none"/>
              </w:rPr>
            </w:pPr>
            <w:r>
              <w:rPr>
                <w:color w:val="auto"/>
                <w:sz w:val="24"/>
                <w:szCs w:val="32"/>
                <w:highlight w:val="none"/>
              </w:rPr>
              <w:t>（</w:t>
            </w:r>
            <w:r>
              <w:rPr>
                <w:rFonts w:hint="eastAsia"/>
                <w:color w:val="auto"/>
                <w:sz w:val="24"/>
                <w:szCs w:val="32"/>
                <w:highlight w:val="none"/>
              </w:rPr>
              <w:t>3</w:t>
            </w:r>
            <w:r>
              <w:rPr>
                <w:color w:val="auto"/>
                <w:sz w:val="24"/>
                <w:szCs w:val="32"/>
                <w:highlight w:val="none"/>
              </w:rPr>
              <w:t>）污染防治措施</w:t>
            </w:r>
          </w:p>
          <w:p w14:paraId="7A4DDA8A">
            <w:pPr>
              <w:spacing w:line="360" w:lineRule="auto"/>
              <w:ind w:firstLine="480" w:firstLineChars="200"/>
              <w:rPr>
                <w:rFonts w:cs="宋体"/>
                <w:color w:val="auto"/>
                <w:sz w:val="24"/>
                <w:highlight w:val="none"/>
                <w:lang w:bidi="ar"/>
              </w:rPr>
            </w:pPr>
            <w:r>
              <w:rPr>
                <w:color w:val="auto"/>
                <w:sz w:val="24"/>
                <w:szCs w:val="32"/>
                <w:highlight w:val="none"/>
              </w:rPr>
              <w:t>为了确保厂界噪声达到相应的标准和员工的健康，仍要注意做好吸声、隔声、消声等处理</w:t>
            </w:r>
            <w:r>
              <w:rPr>
                <w:rFonts w:cs="宋体"/>
                <w:color w:val="auto"/>
                <w:sz w:val="24"/>
                <w:highlight w:val="none"/>
                <w:lang w:bidi="ar"/>
              </w:rPr>
              <w:t>措施</w:t>
            </w:r>
            <w:r>
              <w:rPr>
                <w:rFonts w:hint="eastAsia" w:cs="宋体"/>
                <w:color w:val="auto"/>
                <w:sz w:val="24"/>
                <w:highlight w:val="none"/>
                <w:lang w:eastAsia="zh-CN" w:bidi="ar"/>
              </w:rPr>
              <w:t>，</w:t>
            </w:r>
            <w:r>
              <w:rPr>
                <w:rFonts w:hint="eastAsia" w:cs="宋体"/>
                <w:color w:val="auto"/>
                <w:sz w:val="24"/>
                <w:highlight w:val="none"/>
                <w:lang w:bidi="ar"/>
              </w:rPr>
              <w:t>同时兼顾陕西汉中朱鹮国家级自然保护区鸟类保护需求，具体如下：</w:t>
            </w:r>
          </w:p>
          <w:p w14:paraId="21451D1C">
            <w:pPr>
              <w:spacing w:line="360" w:lineRule="auto"/>
              <w:ind w:firstLine="480" w:firstLineChars="200"/>
              <w:rPr>
                <w:rFonts w:hint="eastAsia" w:cs="宋体"/>
                <w:color w:val="auto"/>
                <w:sz w:val="24"/>
                <w:highlight w:val="none"/>
                <w:lang w:bidi="ar"/>
              </w:rPr>
            </w:pPr>
            <w:r>
              <w:rPr>
                <w:rFonts w:hint="eastAsia" w:cs="宋体"/>
                <w:color w:val="auto"/>
                <w:sz w:val="24"/>
                <w:highlight w:val="none"/>
                <w:lang w:bidi="ar"/>
              </w:rPr>
              <w:t>①厂区设施合理布局，将主要噪声设备尽可能</w:t>
            </w:r>
            <w:r>
              <w:rPr>
                <w:rFonts w:hint="eastAsia" w:cs="宋体"/>
                <w:color w:val="auto"/>
                <w:sz w:val="24"/>
                <w:highlight w:val="none"/>
                <w:lang w:eastAsia="zh-CN" w:bidi="ar"/>
              </w:rPr>
              <w:t>地</w:t>
            </w:r>
            <w:r>
              <w:rPr>
                <w:rFonts w:hint="eastAsia" w:cs="宋体"/>
                <w:color w:val="auto"/>
                <w:sz w:val="24"/>
                <w:highlight w:val="none"/>
                <w:lang w:bidi="ar"/>
              </w:rPr>
              <w:t>布置在厂区中央部分</w:t>
            </w:r>
            <w:r>
              <w:rPr>
                <w:rFonts w:hint="eastAsia" w:cs="宋体"/>
                <w:color w:val="auto"/>
                <w:sz w:val="24"/>
                <w:highlight w:val="none"/>
                <w:lang w:val="en-US" w:eastAsia="zh-CN" w:bidi="ar"/>
              </w:rPr>
              <w:t>或是厂房内</w:t>
            </w:r>
            <w:r>
              <w:rPr>
                <w:rFonts w:hint="eastAsia" w:cs="宋体"/>
                <w:color w:val="auto"/>
                <w:sz w:val="24"/>
                <w:highlight w:val="none"/>
                <w:lang w:bidi="ar"/>
              </w:rPr>
              <w:t>，确保噪声设备与厂界之间有一定的衰减距离。</w:t>
            </w:r>
          </w:p>
          <w:p w14:paraId="09DB7AC2">
            <w:pPr>
              <w:spacing w:line="360" w:lineRule="auto"/>
              <w:ind w:firstLine="480" w:firstLineChars="200"/>
              <w:rPr>
                <w:rFonts w:hint="eastAsia" w:cs="宋体"/>
                <w:color w:val="auto"/>
                <w:sz w:val="24"/>
                <w:highlight w:val="none"/>
                <w:lang w:bidi="ar"/>
              </w:rPr>
            </w:pPr>
            <w:r>
              <w:rPr>
                <w:rFonts w:hint="eastAsia" w:cs="宋体"/>
                <w:color w:val="auto"/>
                <w:sz w:val="24"/>
                <w:highlight w:val="none"/>
                <w:lang w:bidi="ar"/>
              </w:rPr>
              <w:t>②建设单位在设备选型时优先选用了低噪声设备，并采用加大减震基础，安装减震装置，在设备安装及设备连接处可采用减震垫或柔性接头等降噪、减振措施。</w:t>
            </w:r>
          </w:p>
          <w:p w14:paraId="49750CC9">
            <w:pPr>
              <w:spacing w:line="360" w:lineRule="auto"/>
              <w:ind w:firstLine="480" w:firstLineChars="200"/>
              <w:rPr>
                <w:rFonts w:hint="eastAsia" w:cs="宋体"/>
                <w:color w:val="auto"/>
                <w:sz w:val="24"/>
                <w:highlight w:val="none"/>
                <w:lang w:bidi="ar"/>
              </w:rPr>
            </w:pPr>
            <w:r>
              <w:rPr>
                <w:rFonts w:hint="eastAsia" w:cs="宋体"/>
                <w:color w:val="auto"/>
                <w:sz w:val="24"/>
                <w:highlight w:val="none"/>
                <w:lang w:bidi="ar"/>
              </w:rPr>
              <w:t>③加强设备的巡检和维护，定期加注润滑油，防止因机械摩擦产生噪声。</w:t>
            </w:r>
          </w:p>
          <w:p w14:paraId="52A4993C">
            <w:pPr>
              <w:spacing w:line="360" w:lineRule="auto"/>
              <w:ind w:firstLine="480" w:firstLineChars="200"/>
              <w:rPr>
                <w:rFonts w:ascii="宋体" w:hAnsi="宋体" w:eastAsia="宋体" w:cs="宋体"/>
                <w:color w:val="auto"/>
                <w:sz w:val="24"/>
                <w:szCs w:val="24"/>
                <w:highlight w:val="none"/>
              </w:rPr>
            </w:pPr>
            <w:r>
              <w:rPr>
                <w:rFonts w:hint="eastAsia" w:cs="宋体"/>
                <w:color w:val="auto"/>
                <w:sz w:val="24"/>
                <w:highlight w:val="none"/>
                <w:lang w:bidi="ar"/>
              </w:rPr>
              <w:t>④加强对运输车辆的管理，要求其在厂内行驶车速不得超过10km/h，</w:t>
            </w:r>
            <w:r>
              <w:rPr>
                <w:rFonts w:ascii="宋体" w:hAnsi="宋体" w:eastAsia="宋体" w:cs="宋体"/>
                <w:color w:val="auto"/>
                <w:sz w:val="24"/>
                <w:szCs w:val="24"/>
                <w:highlight w:val="none"/>
              </w:rPr>
              <w:t>车辆途经靠近保护区路段禁止鸣笛、禁止猛踩油门，低速平稳通行，同步减少交通噪声与扬尘对外扩散。</w:t>
            </w:r>
          </w:p>
          <w:p w14:paraId="76459F2B">
            <w:pPr>
              <w:spacing w:line="360" w:lineRule="auto"/>
              <w:ind w:firstLine="480" w:firstLineChars="200"/>
              <w:rPr>
                <w:rFonts w:cs="宋体"/>
                <w:color w:val="auto"/>
                <w:sz w:val="24"/>
                <w:highlight w:val="none"/>
                <w:lang w:bidi="ar"/>
              </w:rPr>
            </w:pPr>
            <w:r>
              <w:rPr>
                <w:rFonts w:hint="eastAsia" w:cs="宋体"/>
                <w:color w:val="auto"/>
                <w:sz w:val="24"/>
                <w:highlight w:val="none"/>
                <w:lang w:bidi="ar"/>
              </w:rPr>
              <w:t>在采取上述综合降噪措施后，项目运营设备噪声源强可得到有效削减，厂界噪声稳定达标，噪声向外扩散强度低、持续性干扰弱，不会对陕西汉中朱鹮国家级自然保护区内朱鹮正常栖息、觅食活动造成不利影响</w:t>
            </w:r>
            <w:r>
              <w:rPr>
                <w:rFonts w:cs="宋体"/>
                <w:color w:val="auto"/>
                <w:sz w:val="24"/>
                <w:highlight w:val="none"/>
                <w:lang w:bidi="ar"/>
              </w:rPr>
              <w:t>。</w:t>
            </w:r>
          </w:p>
          <w:p w14:paraId="4402C165">
            <w:pPr>
              <w:widowControl/>
              <w:adjustRightInd w:val="0"/>
              <w:snapToGrid w:val="0"/>
              <w:spacing w:line="360" w:lineRule="auto"/>
              <w:ind w:firstLine="480" w:firstLineChars="200"/>
              <w:rPr>
                <w:b w:val="0"/>
                <w:bCs w:val="0"/>
                <w:color w:val="auto"/>
                <w:sz w:val="24"/>
                <w:highlight w:val="none"/>
              </w:rPr>
            </w:pPr>
            <w:r>
              <w:rPr>
                <w:rFonts w:hint="eastAsia"/>
                <w:b w:val="0"/>
                <w:bCs w:val="0"/>
                <w:color w:val="auto"/>
                <w:sz w:val="24"/>
                <w:highlight w:val="none"/>
                <w:lang w:eastAsia="zh-CN"/>
              </w:rPr>
              <w:t>（</w:t>
            </w:r>
            <w:r>
              <w:rPr>
                <w:rFonts w:hint="eastAsia"/>
                <w:b w:val="0"/>
                <w:bCs w:val="0"/>
                <w:color w:val="auto"/>
                <w:sz w:val="24"/>
                <w:highlight w:val="none"/>
                <w:lang w:val="en-US" w:eastAsia="zh-CN"/>
              </w:rPr>
              <w:t>4</w:t>
            </w:r>
            <w:r>
              <w:rPr>
                <w:rFonts w:hint="eastAsia"/>
                <w:b w:val="0"/>
                <w:bCs w:val="0"/>
                <w:color w:val="auto"/>
                <w:sz w:val="24"/>
                <w:highlight w:val="none"/>
                <w:lang w:eastAsia="zh-CN"/>
              </w:rPr>
              <w:t>）</w:t>
            </w:r>
            <w:r>
              <w:rPr>
                <w:b w:val="0"/>
                <w:bCs w:val="0"/>
                <w:color w:val="auto"/>
                <w:sz w:val="24"/>
                <w:highlight w:val="none"/>
              </w:rPr>
              <w:t>噪声监测要求</w:t>
            </w:r>
          </w:p>
          <w:p w14:paraId="0046C9B6">
            <w:pPr>
              <w:adjustRightInd w:val="0"/>
              <w:snapToGrid w:val="0"/>
              <w:spacing w:line="360" w:lineRule="auto"/>
              <w:ind w:firstLine="480" w:firstLineChars="200"/>
              <w:rPr>
                <w:color w:val="auto"/>
                <w:szCs w:val="20"/>
                <w:highlight w:val="none"/>
              </w:rPr>
            </w:pPr>
            <w:r>
              <w:rPr>
                <w:color w:val="auto"/>
                <w:sz w:val="24"/>
                <w:highlight w:val="none"/>
              </w:rPr>
              <w:t>根据《排污单位自行监测技术指南总则》（HJ819-2017）和</w:t>
            </w:r>
            <w:r>
              <w:rPr>
                <w:rFonts w:hint="eastAsia"/>
                <w:color w:val="auto"/>
                <w:sz w:val="24"/>
                <w:highlight w:val="none"/>
                <w:lang w:eastAsia="zh-CN"/>
              </w:rPr>
              <w:t>《排污许可证申请与核发技术规范废弃资源加工工业》（HJ1034-2019）</w:t>
            </w:r>
            <w:r>
              <w:rPr>
                <w:color w:val="auto"/>
                <w:sz w:val="24"/>
                <w:highlight w:val="none"/>
              </w:rPr>
              <w:t>，本项目运营期</w:t>
            </w:r>
            <w:r>
              <w:rPr>
                <w:rFonts w:hint="eastAsia"/>
                <w:color w:val="auto"/>
                <w:sz w:val="24"/>
                <w:highlight w:val="none"/>
              </w:rPr>
              <w:t>噪声</w:t>
            </w:r>
            <w:r>
              <w:rPr>
                <w:color w:val="auto"/>
                <w:sz w:val="24"/>
                <w:highlight w:val="none"/>
              </w:rPr>
              <w:t>监测要求见表</w:t>
            </w:r>
            <w:r>
              <w:rPr>
                <w:rFonts w:hint="eastAsia"/>
                <w:color w:val="auto"/>
                <w:sz w:val="24"/>
                <w:highlight w:val="none"/>
              </w:rPr>
              <w:t>4-1</w:t>
            </w:r>
            <w:r>
              <w:rPr>
                <w:rFonts w:hint="eastAsia"/>
                <w:color w:val="auto"/>
                <w:sz w:val="24"/>
                <w:highlight w:val="none"/>
                <w:lang w:val="en-US" w:eastAsia="zh-CN"/>
              </w:rPr>
              <w:t>5</w:t>
            </w:r>
            <w:r>
              <w:rPr>
                <w:color w:val="auto"/>
                <w:sz w:val="24"/>
                <w:highlight w:val="none"/>
              </w:rPr>
              <w:t>。</w:t>
            </w:r>
          </w:p>
          <w:p w14:paraId="3336FC85">
            <w:pPr>
              <w:pStyle w:val="32"/>
              <w:bidi w:val="0"/>
              <w:rPr>
                <w:color w:val="auto"/>
                <w:highlight w:val="none"/>
              </w:rPr>
            </w:pPr>
            <w:r>
              <w:rPr>
                <w:color w:val="auto"/>
                <w:highlight w:val="none"/>
              </w:rPr>
              <w:t>表4-</w:t>
            </w:r>
            <w:r>
              <w:rPr>
                <w:rFonts w:hint="eastAsia"/>
                <w:color w:val="auto"/>
                <w:highlight w:val="none"/>
                <w:lang w:val="en-US" w:eastAsia="zh-CN"/>
              </w:rPr>
              <w:t xml:space="preserve">15     </w:t>
            </w:r>
            <w:r>
              <w:rPr>
                <w:color w:val="auto"/>
                <w:highlight w:val="none"/>
              </w:rPr>
              <w:t>项目运营期噪声监测要求</w:t>
            </w:r>
          </w:p>
          <w:tbl>
            <w:tblPr>
              <w:tblStyle w:val="2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939"/>
              <w:gridCol w:w="1609"/>
              <w:gridCol w:w="1140"/>
              <w:gridCol w:w="3439"/>
            </w:tblGrid>
            <w:tr w14:paraId="7E7D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8" w:type="pct"/>
                  <w:noWrap w:val="0"/>
                  <w:vAlign w:val="center"/>
                </w:tcPr>
                <w:p w14:paraId="39161BFC">
                  <w:pPr>
                    <w:pStyle w:val="66"/>
                    <w:spacing w:after="0" w:line="240" w:lineRule="auto"/>
                    <w:ind w:firstLine="0" w:firstLineChars="0"/>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监测类别</w:t>
                  </w:r>
                </w:p>
              </w:tc>
              <w:tc>
                <w:tcPr>
                  <w:tcW w:w="592" w:type="pct"/>
                  <w:noWrap w:val="0"/>
                  <w:vAlign w:val="center"/>
                </w:tcPr>
                <w:p w14:paraId="0C272225">
                  <w:pPr>
                    <w:pStyle w:val="66"/>
                    <w:spacing w:after="0" w:line="240" w:lineRule="auto"/>
                    <w:ind w:firstLine="0" w:firstLineChars="0"/>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监测项目</w:t>
                  </w:r>
                </w:p>
              </w:tc>
              <w:tc>
                <w:tcPr>
                  <w:tcW w:w="1014" w:type="pct"/>
                  <w:noWrap w:val="0"/>
                  <w:vAlign w:val="center"/>
                </w:tcPr>
                <w:p w14:paraId="3BE17458">
                  <w:pPr>
                    <w:pStyle w:val="66"/>
                    <w:spacing w:after="0" w:line="240" w:lineRule="auto"/>
                    <w:ind w:firstLine="0" w:firstLineChars="0"/>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监测点位</w:t>
                  </w:r>
                </w:p>
              </w:tc>
              <w:tc>
                <w:tcPr>
                  <w:tcW w:w="718" w:type="pct"/>
                  <w:noWrap w:val="0"/>
                  <w:vAlign w:val="center"/>
                </w:tcPr>
                <w:p w14:paraId="43499113">
                  <w:pPr>
                    <w:pStyle w:val="66"/>
                    <w:spacing w:after="0" w:line="240" w:lineRule="auto"/>
                    <w:ind w:firstLine="0" w:firstLineChars="0"/>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监测频次</w:t>
                  </w:r>
                </w:p>
              </w:tc>
              <w:tc>
                <w:tcPr>
                  <w:tcW w:w="2168" w:type="pct"/>
                  <w:noWrap w:val="0"/>
                  <w:vAlign w:val="center"/>
                </w:tcPr>
                <w:p w14:paraId="45338D8C">
                  <w:pPr>
                    <w:pStyle w:val="66"/>
                    <w:tabs>
                      <w:tab w:val="left" w:pos="318"/>
                      <w:tab w:val="center" w:pos="1619"/>
                    </w:tabs>
                    <w:spacing w:after="0" w:line="240" w:lineRule="auto"/>
                    <w:ind w:firstLine="0" w:firstLineChars="0"/>
                    <w:rPr>
                      <w:rFonts w:ascii="Times New Roman" w:hAnsi="Times New Roman" w:eastAsia="宋体"/>
                      <w:b/>
                      <w:bCs/>
                      <w:color w:val="auto"/>
                      <w:sz w:val="21"/>
                      <w:szCs w:val="21"/>
                      <w:highlight w:val="none"/>
                    </w:rPr>
                  </w:pPr>
                  <w:r>
                    <w:rPr>
                      <w:rFonts w:ascii="Times New Roman" w:hAnsi="Times New Roman" w:eastAsia="宋体"/>
                      <w:b/>
                      <w:bCs/>
                      <w:color w:val="auto"/>
                      <w:sz w:val="21"/>
                      <w:szCs w:val="21"/>
                      <w:highlight w:val="none"/>
                    </w:rPr>
                    <w:t>执行标准</w:t>
                  </w:r>
                </w:p>
              </w:tc>
            </w:tr>
            <w:tr w14:paraId="0064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8" w:type="pct"/>
                  <w:noWrap w:val="0"/>
                  <w:vAlign w:val="center"/>
                </w:tcPr>
                <w:p w14:paraId="62139A35">
                  <w:pPr>
                    <w:pStyle w:val="66"/>
                    <w:spacing w:after="0" w:line="240" w:lineRule="auto"/>
                    <w:ind w:firstLine="0" w:firstLineChars="0"/>
                    <w:rPr>
                      <w:rFonts w:ascii="Times New Roman" w:hAnsi="Times New Roman" w:eastAsia="宋体"/>
                      <w:color w:val="auto"/>
                      <w:kern w:val="24"/>
                      <w:sz w:val="21"/>
                      <w:szCs w:val="21"/>
                      <w:highlight w:val="none"/>
                    </w:rPr>
                  </w:pPr>
                  <w:r>
                    <w:rPr>
                      <w:rFonts w:ascii="Times New Roman" w:hAnsi="Times New Roman" w:eastAsia="宋体"/>
                      <w:color w:val="auto"/>
                      <w:kern w:val="24"/>
                      <w:sz w:val="21"/>
                      <w:szCs w:val="21"/>
                      <w:highlight w:val="none"/>
                    </w:rPr>
                    <w:t>噪声</w:t>
                  </w:r>
                </w:p>
              </w:tc>
              <w:tc>
                <w:tcPr>
                  <w:tcW w:w="592" w:type="pct"/>
                  <w:noWrap w:val="0"/>
                  <w:vAlign w:val="center"/>
                </w:tcPr>
                <w:p w14:paraId="7F520433">
                  <w:pPr>
                    <w:pStyle w:val="66"/>
                    <w:spacing w:after="0" w:line="240" w:lineRule="auto"/>
                    <w:ind w:firstLine="0" w:firstLineChars="0"/>
                    <w:rPr>
                      <w:rFonts w:ascii="Times New Roman" w:hAnsi="Times New Roman" w:eastAsia="宋体"/>
                      <w:color w:val="auto"/>
                      <w:kern w:val="24"/>
                      <w:sz w:val="21"/>
                      <w:szCs w:val="21"/>
                      <w:highlight w:val="none"/>
                    </w:rPr>
                  </w:pPr>
                  <w:r>
                    <w:rPr>
                      <w:rFonts w:ascii="Times New Roman" w:hAnsi="Times New Roman" w:eastAsia="宋体"/>
                      <w:color w:val="auto"/>
                      <w:kern w:val="24"/>
                      <w:sz w:val="21"/>
                      <w:szCs w:val="21"/>
                      <w:highlight w:val="none"/>
                    </w:rPr>
                    <w:t>Leq（A）</w:t>
                  </w:r>
                </w:p>
              </w:tc>
              <w:tc>
                <w:tcPr>
                  <w:tcW w:w="1014" w:type="pct"/>
                  <w:noWrap w:val="0"/>
                  <w:vAlign w:val="center"/>
                </w:tcPr>
                <w:p w14:paraId="2BF685BE">
                  <w:pPr>
                    <w:pStyle w:val="66"/>
                    <w:spacing w:after="0" w:line="240" w:lineRule="auto"/>
                    <w:ind w:firstLine="0" w:firstLineChars="0"/>
                    <w:rPr>
                      <w:rFonts w:ascii="Times New Roman" w:hAnsi="Times New Roman" w:eastAsia="宋体"/>
                      <w:color w:val="auto"/>
                      <w:kern w:val="24"/>
                      <w:sz w:val="21"/>
                      <w:szCs w:val="21"/>
                      <w:highlight w:val="none"/>
                    </w:rPr>
                  </w:pPr>
                  <w:r>
                    <w:rPr>
                      <w:rFonts w:ascii="Times New Roman" w:hAnsi="Times New Roman" w:eastAsia="宋体"/>
                      <w:color w:val="auto"/>
                      <w:kern w:val="24"/>
                      <w:sz w:val="21"/>
                      <w:szCs w:val="21"/>
                      <w:highlight w:val="none"/>
                    </w:rPr>
                    <w:t>厂界四周各设</w:t>
                  </w:r>
                  <w:r>
                    <w:rPr>
                      <w:rFonts w:hint="eastAsia" w:ascii="Times New Roman" w:hAnsi="Times New Roman" w:eastAsia="宋体"/>
                      <w:color w:val="auto"/>
                      <w:kern w:val="24"/>
                      <w:sz w:val="21"/>
                      <w:szCs w:val="21"/>
                      <w:highlight w:val="none"/>
                    </w:rPr>
                    <w:t>1</w:t>
                  </w:r>
                  <w:r>
                    <w:rPr>
                      <w:rFonts w:ascii="Times New Roman" w:hAnsi="Times New Roman" w:eastAsia="宋体"/>
                      <w:color w:val="auto"/>
                      <w:kern w:val="24"/>
                      <w:sz w:val="21"/>
                      <w:szCs w:val="21"/>
                      <w:highlight w:val="none"/>
                    </w:rPr>
                    <w:t>个监测点位</w:t>
                  </w:r>
                </w:p>
              </w:tc>
              <w:tc>
                <w:tcPr>
                  <w:tcW w:w="718" w:type="pct"/>
                  <w:noWrap w:val="0"/>
                  <w:vAlign w:val="center"/>
                </w:tcPr>
                <w:p w14:paraId="4082C305">
                  <w:pPr>
                    <w:pStyle w:val="66"/>
                    <w:spacing w:after="0" w:line="240" w:lineRule="auto"/>
                    <w:ind w:firstLine="0" w:firstLineChars="0"/>
                    <w:rPr>
                      <w:rFonts w:ascii="Times New Roman" w:hAnsi="Times New Roman" w:eastAsia="宋体"/>
                      <w:color w:val="auto"/>
                      <w:kern w:val="24"/>
                      <w:sz w:val="21"/>
                      <w:szCs w:val="21"/>
                      <w:highlight w:val="none"/>
                    </w:rPr>
                  </w:pPr>
                  <w:r>
                    <w:rPr>
                      <w:rFonts w:ascii="Times New Roman" w:hAnsi="Times New Roman" w:eastAsia="宋体"/>
                      <w:color w:val="auto"/>
                      <w:kern w:val="24"/>
                      <w:sz w:val="21"/>
                      <w:szCs w:val="21"/>
                      <w:highlight w:val="none"/>
                    </w:rPr>
                    <w:t>1次/季度</w:t>
                  </w:r>
                </w:p>
              </w:tc>
              <w:tc>
                <w:tcPr>
                  <w:tcW w:w="2168" w:type="pct"/>
                  <w:noWrap w:val="0"/>
                  <w:vAlign w:val="center"/>
                </w:tcPr>
                <w:p w14:paraId="634197BA">
                  <w:pPr>
                    <w:pStyle w:val="66"/>
                    <w:spacing w:after="0" w:line="240" w:lineRule="auto"/>
                    <w:ind w:firstLine="0" w:firstLineChars="0"/>
                    <w:rPr>
                      <w:rFonts w:ascii="Times New Roman" w:hAnsi="Times New Roman" w:eastAsia="宋体"/>
                      <w:color w:val="auto"/>
                      <w:kern w:val="24"/>
                      <w:sz w:val="21"/>
                      <w:szCs w:val="21"/>
                      <w:highlight w:val="none"/>
                    </w:rPr>
                  </w:pPr>
                  <w:r>
                    <w:rPr>
                      <w:rFonts w:ascii="Times New Roman" w:hAnsi="Times New Roman" w:eastAsia="宋体"/>
                      <w:color w:val="auto"/>
                      <w:kern w:val="24"/>
                      <w:sz w:val="21"/>
                      <w:szCs w:val="21"/>
                      <w:highlight w:val="none"/>
                    </w:rPr>
                    <w:t>《工业企业厂界环境噪声排放标准》（GB12348-2008）中2类标准</w:t>
                  </w:r>
                </w:p>
              </w:tc>
            </w:tr>
          </w:tbl>
          <w:p w14:paraId="765721E5">
            <w:pPr>
              <w:pStyle w:val="11"/>
              <w:numPr>
                <w:ilvl w:val="0"/>
                <w:numId w:val="11"/>
              </w:numPr>
              <w:bidi w:val="0"/>
              <w:rPr>
                <w:rFonts w:hint="eastAsia"/>
                <w:b/>
                <w:bCs/>
                <w:color w:val="auto"/>
                <w:highlight w:val="none"/>
                <w:lang w:val="en-US" w:eastAsia="zh-CN"/>
              </w:rPr>
            </w:pPr>
            <w:r>
              <w:rPr>
                <w:rFonts w:hint="eastAsia"/>
                <w:b/>
                <w:bCs/>
                <w:color w:val="auto"/>
                <w:highlight w:val="none"/>
                <w:lang w:val="en-US" w:eastAsia="zh-CN"/>
              </w:rPr>
              <w:t>运营期固体废物环境影响和处理处置措施</w:t>
            </w:r>
          </w:p>
          <w:p w14:paraId="19554799">
            <w:pPr>
              <w:pStyle w:val="11"/>
              <w:numPr>
                <w:ilvl w:val="0"/>
                <w:numId w:val="12"/>
              </w:numPr>
              <w:bidi w:val="0"/>
              <w:rPr>
                <w:rFonts w:hint="eastAsia"/>
                <w:color w:val="auto"/>
                <w:highlight w:val="none"/>
                <w:lang w:val="en-US" w:eastAsia="zh-CN"/>
              </w:rPr>
            </w:pPr>
            <w:r>
              <w:rPr>
                <w:rFonts w:hint="eastAsia"/>
                <w:color w:val="auto"/>
                <w:highlight w:val="none"/>
                <w:lang w:val="en-US" w:eastAsia="zh-CN"/>
              </w:rPr>
              <w:t>固废产生及处置情况</w:t>
            </w:r>
          </w:p>
          <w:p w14:paraId="0FFBDA3B">
            <w:pPr>
              <w:pStyle w:val="11"/>
              <w:bidi w:val="0"/>
              <w:rPr>
                <w:rFonts w:hint="eastAsia"/>
                <w:color w:val="auto"/>
                <w:highlight w:val="none"/>
                <w:lang w:val="en-US" w:eastAsia="zh-CN"/>
              </w:rPr>
            </w:pPr>
            <w:r>
              <w:rPr>
                <w:rFonts w:hint="eastAsia"/>
                <w:color w:val="auto"/>
                <w:highlight w:val="none"/>
                <w:lang w:val="en-US" w:eastAsia="zh-CN"/>
              </w:rPr>
              <w:t>①生活垃圾</w:t>
            </w:r>
          </w:p>
          <w:p w14:paraId="4812BEAB">
            <w:pPr>
              <w:adjustRightInd w:val="0"/>
              <w:snapToGrid w:val="0"/>
              <w:spacing w:line="360" w:lineRule="auto"/>
              <w:ind w:firstLine="480" w:firstLineChars="200"/>
              <w:rPr>
                <w:color w:val="auto"/>
                <w:sz w:val="24"/>
                <w:highlight w:val="none"/>
              </w:rPr>
            </w:pPr>
            <w:r>
              <w:rPr>
                <w:color w:val="auto"/>
                <w:sz w:val="24"/>
                <w:highlight w:val="none"/>
              </w:rPr>
              <w:t>职工定员</w:t>
            </w:r>
            <w:r>
              <w:rPr>
                <w:rFonts w:hint="eastAsia"/>
                <w:color w:val="auto"/>
                <w:sz w:val="24"/>
                <w:highlight w:val="none"/>
                <w:lang w:val="en-US" w:eastAsia="zh-CN"/>
              </w:rPr>
              <w:t>12</w:t>
            </w:r>
            <w:r>
              <w:rPr>
                <w:color w:val="auto"/>
                <w:sz w:val="24"/>
                <w:highlight w:val="none"/>
              </w:rPr>
              <w:t>人，生活垃圾产生量按0.5kg/</w:t>
            </w:r>
            <w:r>
              <w:rPr>
                <w:rFonts w:hint="eastAsia"/>
                <w:color w:val="auto"/>
                <w:sz w:val="24"/>
                <w:highlight w:val="none"/>
              </w:rPr>
              <w:t>（</w:t>
            </w:r>
            <w:r>
              <w:rPr>
                <w:color w:val="auto"/>
                <w:sz w:val="24"/>
                <w:highlight w:val="none"/>
              </w:rPr>
              <w:t>人·d</w:t>
            </w:r>
            <w:r>
              <w:rPr>
                <w:rFonts w:hint="eastAsia"/>
                <w:color w:val="auto"/>
                <w:sz w:val="24"/>
                <w:highlight w:val="none"/>
              </w:rPr>
              <w:t>）</w:t>
            </w:r>
            <w:r>
              <w:rPr>
                <w:color w:val="auto"/>
                <w:sz w:val="24"/>
                <w:highlight w:val="none"/>
              </w:rPr>
              <w:t>计算，则生活垃圾产生量为1.</w:t>
            </w:r>
            <w:r>
              <w:rPr>
                <w:rFonts w:hint="eastAsia"/>
                <w:color w:val="auto"/>
                <w:sz w:val="24"/>
                <w:highlight w:val="none"/>
                <w:lang w:val="en-US" w:eastAsia="zh-CN"/>
              </w:rPr>
              <w:t>8</w:t>
            </w:r>
            <w:r>
              <w:rPr>
                <w:color w:val="auto"/>
                <w:sz w:val="24"/>
                <w:highlight w:val="none"/>
              </w:rPr>
              <w:t>t/a。场内设垃圾收集桶，生活垃圾定点收集后由环卫清运</w:t>
            </w:r>
            <w:r>
              <w:rPr>
                <w:rFonts w:hint="eastAsia" w:ascii="MS Mincho" w:hAnsi="MS Mincho" w:eastAsia="MS Mincho" w:cs="MS Mincho"/>
                <w:color w:val="auto"/>
                <w:sz w:val="24"/>
                <w:highlight w:val="none"/>
              </w:rPr>
              <w:t>｡</w:t>
            </w:r>
          </w:p>
          <w:p w14:paraId="4941F96A">
            <w:pPr>
              <w:pStyle w:val="11"/>
              <w:bidi w:val="0"/>
              <w:rPr>
                <w:rFonts w:ascii="宋体" w:hAnsi="宋体" w:eastAsia="宋体" w:cs="宋体"/>
                <w:color w:val="auto"/>
                <w:sz w:val="24"/>
                <w:szCs w:val="24"/>
                <w:highlight w:val="none"/>
              </w:rPr>
            </w:pPr>
            <w:r>
              <w:rPr>
                <w:rFonts w:hint="eastAsia"/>
                <w:color w:val="auto"/>
                <w:highlight w:val="none"/>
                <w:lang w:val="en-US" w:eastAsia="zh-CN"/>
              </w:rPr>
              <w:t>②</w:t>
            </w:r>
            <w:r>
              <w:rPr>
                <w:rFonts w:ascii="宋体" w:hAnsi="宋体" w:eastAsia="宋体" w:cs="宋体"/>
                <w:color w:val="auto"/>
                <w:sz w:val="24"/>
                <w:szCs w:val="24"/>
                <w:highlight w:val="none"/>
              </w:rPr>
              <w:t>炭化炉渣</w:t>
            </w:r>
          </w:p>
          <w:p w14:paraId="1AE939AD">
            <w:pPr>
              <w:pStyle w:val="11"/>
              <w:bidi w:val="0"/>
              <w:rPr>
                <w:rFonts w:hint="default"/>
                <w:color w:val="auto"/>
                <w:highlight w:val="none"/>
                <w:lang w:val="en-US" w:eastAsia="zh-CN"/>
              </w:rPr>
            </w:pPr>
            <w:r>
              <w:rPr>
                <w:rFonts w:hint="default"/>
                <w:color w:val="auto"/>
                <w:highlight w:val="none"/>
                <w:lang w:val="en-US" w:eastAsia="zh-CN"/>
              </w:rPr>
              <w:t>本项目秸秆</w:t>
            </w:r>
            <w:r>
              <w:rPr>
                <w:rFonts w:hint="eastAsia"/>
                <w:color w:val="auto"/>
                <w:highlight w:val="none"/>
                <w:lang w:val="en-US" w:eastAsia="zh-CN"/>
              </w:rPr>
              <w:t>年</w:t>
            </w:r>
            <w:r>
              <w:rPr>
                <w:rFonts w:hint="default"/>
                <w:color w:val="auto"/>
                <w:highlight w:val="none"/>
                <w:lang w:val="en-US" w:eastAsia="zh-CN"/>
              </w:rPr>
              <w:t>处理</w:t>
            </w:r>
            <w:r>
              <w:rPr>
                <w:rFonts w:hint="eastAsia"/>
                <w:color w:val="auto"/>
                <w:highlight w:val="none"/>
                <w:lang w:val="en-US" w:eastAsia="zh-CN"/>
              </w:rPr>
              <w:t>20000t，</w:t>
            </w:r>
            <w:r>
              <w:rPr>
                <w:rFonts w:hint="default"/>
                <w:color w:val="auto"/>
                <w:highlight w:val="none"/>
                <w:lang w:val="en-US" w:eastAsia="zh-CN"/>
              </w:rPr>
              <w:t>秸秆</w:t>
            </w:r>
            <w:r>
              <w:rPr>
                <w:rFonts w:hint="eastAsia"/>
                <w:color w:val="auto"/>
                <w:highlight w:val="none"/>
                <w:lang w:val="en-US" w:eastAsia="zh-CN"/>
              </w:rPr>
              <w:t>高温</w:t>
            </w:r>
            <w:r>
              <w:rPr>
                <w:rFonts w:hint="default"/>
                <w:color w:val="auto"/>
                <w:highlight w:val="none"/>
                <w:lang w:val="en-US" w:eastAsia="zh-CN"/>
              </w:rPr>
              <w:t>炭化过程中秸秆内含矿物质经高温炭化形成炉底灰渣，类比同类秸秆炭化项目产污系数，</w:t>
            </w:r>
            <w:r>
              <w:rPr>
                <w:rFonts w:hint="eastAsia"/>
                <w:color w:val="auto"/>
                <w:highlight w:val="none"/>
                <w:lang w:val="en-US" w:eastAsia="zh-CN"/>
              </w:rPr>
              <w:t>沉降</w:t>
            </w:r>
            <w:r>
              <w:rPr>
                <w:rFonts w:hint="default"/>
                <w:color w:val="auto"/>
                <w:highlight w:val="none"/>
                <w:lang w:val="en-US" w:eastAsia="zh-CN"/>
              </w:rPr>
              <w:t>灰渣</w:t>
            </w:r>
            <w:r>
              <w:rPr>
                <w:rFonts w:hint="eastAsia"/>
                <w:color w:val="auto"/>
                <w:highlight w:val="none"/>
                <w:lang w:val="en-US" w:eastAsia="zh-CN"/>
              </w:rPr>
              <w:t>按原料量的0.2%进行计算。</w:t>
            </w:r>
            <w:r>
              <w:rPr>
                <w:rFonts w:hint="default"/>
                <w:color w:val="auto"/>
                <w:highlight w:val="none"/>
                <w:lang w:val="en-US" w:eastAsia="zh-CN"/>
              </w:rPr>
              <w:t>炭化炉</w:t>
            </w:r>
            <w:r>
              <w:rPr>
                <w:rFonts w:hint="eastAsia"/>
                <w:color w:val="auto"/>
                <w:highlight w:val="none"/>
                <w:lang w:val="en-US" w:eastAsia="zh-CN"/>
              </w:rPr>
              <w:t>会灰</w:t>
            </w:r>
            <w:r>
              <w:rPr>
                <w:rFonts w:hint="default"/>
                <w:color w:val="auto"/>
                <w:highlight w:val="none"/>
                <w:lang w:val="en-US" w:eastAsia="zh-CN"/>
              </w:rPr>
              <w:t>渣产生量</w:t>
            </w:r>
            <w:r>
              <w:rPr>
                <w:rFonts w:hint="eastAsia"/>
                <w:color w:val="auto"/>
                <w:highlight w:val="none"/>
                <w:lang w:val="en-US" w:eastAsia="zh-CN"/>
              </w:rPr>
              <w:t>为40</w:t>
            </w:r>
            <w:r>
              <w:rPr>
                <w:rFonts w:hint="default"/>
                <w:color w:val="auto"/>
                <w:highlight w:val="none"/>
                <w:lang w:val="en-US" w:eastAsia="zh-CN"/>
              </w:rPr>
              <w:t xml:space="preserve"> t/a，</w:t>
            </w:r>
            <w:r>
              <w:rPr>
                <w:rFonts w:hint="eastAsia"/>
                <w:color w:val="auto"/>
                <w:highlight w:val="none"/>
                <w:lang w:val="en-US" w:eastAsia="zh-CN"/>
              </w:rPr>
              <w:t>定期</w:t>
            </w:r>
            <w:r>
              <w:rPr>
                <w:rFonts w:hint="default"/>
                <w:color w:val="auto"/>
                <w:highlight w:val="none"/>
                <w:lang w:val="en-US" w:eastAsia="zh-CN"/>
              </w:rPr>
              <w:t>收集</w:t>
            </w:r>
            <w:r>
              <w:rPr>
                <w:rFonts w:hint="eastAsia"/>
                <w:color w:val="auto"/>
                <w:highlight w:val="none"/>
                <w:lang w:val="en-US" w:eastAsia="zh-CN"/>
              </w:rPr>
              <w:t>后，可回用于生产。</w:t>
            </w:r>
          </w:p>
          <w:p w14:paraId="5DA5A209">
            <w:pPr>
              <w:pStyle w:val="11"/>
              <w:bidi w:val="0"/>
              <w:rPr>
                <w:rFonts w:hint="default"/>
                <w:color w:val="auto"/>
                <w:highlight w:val="none"/>
                <w:lang w:val="en-US" w:eastAsia="zh-CN"/>
              </w:rPr>
            </w:pPr>
            <w:r>
              <w:rPr>
                <w:rFonts w:hint="eastAsia"/>
                <w:color w:val="auto"/>
                <w:highlight w:val="none"/>
                <w:lang w:val="en-US" w:eastAsia="zh-CN"/>
              </w:rPr>
              <w:t>④收集粉尘</w:t>
            </w:r>
          </w:p>
          <w:p w14:paraId="3FA5B02A">
            <w:pPr>
              <w:pStyle w:val="11"/>
              <w:bidi w:val="0"/>
              <w:rPr>
                <w:rFonts w:hint="default"/>
                <w:color w:val="auto"/>
                <w:highlight w:val="none"/>
                <w:lang w:val="en-US" w:eastAsia="zh-CN"/>
              </w:rPr>
            </w:pPr>
            <w:r>
              <w:rPr>
                <w:rFonts w:hint="default"/>
                <w:color w:val="auto"/>
                <w:highlight w:val="none"/>
                <w:lang w:val="en-US" w:eastAsia="zh-CN"/>
              </w:rPr>
              <w:t>根据工程分析可知，本项目布袋除尘器收集的粉尘量为</w:t>
            </w:r>
            <w:r>
              <w:rPr>
                <w:rFonts w:hint="eastAsia"/>
                <w:color w:val="auto"/>
                <w:highlight w:val="none"/>
                <w:lang w:val="en-US" w:eastAsia="zh-CN"/>
              </w:rPr>
              <w:t>21.54t/a</w:t>
            </w:r>
            <w:r>
              <w:rPr>
                <w:rFonts w:hint="default"/>
                <w:color w:val="auto"/>
                <w:highlight w:val="none"/>
                <w:lang w:val="en-US" w:eastAsia="zh-CN"/>
              </w:rPr>
              <w:t>，经收集</w:t>
            </w:r>
            <w:r>
              <w:rPr>
                <w:rFonts w:hint="eastAsia"/>
                <w:color w:val="auto"/>
                <w:highlight w:val="none"/>
                <w:lang w:val="en-US" w:eastAsia="zh-CN"/>
              </w:rPr>
              <w:t>分类暂存于一般固废暂存间，可回用于生产</w:t>
            </w:r>
            <w:r>
              <w:rPr>
                <w:rFonts w:hint="default"/>
                <w:color w:val="auto"/>
                <w:highlight w:val="none"/>
                <w:lang w:val="en-US" w:eastAsia="zh-CN"/>
              </w:rPr>
              <w:t>。</w:t>
            </w:r>
          </w:p>
          <w:p w14:paraId="0A845834">
            <w:pPr>
              <w:pStyle w:val="11"/>
              <w:bidi w:val="0"/>
              <w:rPr>
                <w:rFonts w:hint="eastAsia"/>
                <w:color w:val="auto"/>
                <w:highlight w:val="none"/>
                <w:lang w:val="en-US" w:eastAsia="zh-CN"/>
              </w:rPr>
            </w:pPr>
            <w:r>
              <w:rPr>
                <w:rFonts w:hint="eastAsia"/>
                <w:color w:val="auto"/>
                <w:highlight w:val="none"/>
                <w:lang w:val="en-US" w:eastAsia="zh-CN"/>
              </w:rPr>
              <w:t>⑤废包装材料</w:t>
            </w:r>
          </w:p>
          <w:p w14:paraId="52FD742D">
            <w:pPr>
              <w:pStyle w:val="11"/>
              <w:bidi w:val="0"/>
              <w:rPr>
                <w:rFonts w:hint="default"/>
                <w:color w:val="auto"/>
                <w:highlight w:val="none"/>
                <w:lang w:val="en-US" w:eastAsia="zh-CN"/>
              </w:rPr>
            </w:pPr>
            <w:r>
              <w:rPr>
                <w:rFonts w:hint="eastAsia"/>
                <w:color w:val="auto"/>
                <w:highlight w:val="none"/>
                <w:lang w:val="en-US" w:eastAsia="zh-CN"/>
              </w:rPr>
              <w:t>项目运营过程中，包装秸秆炭会有一定的废弃包装材料产生，根据企业提供相关资料，年产生废包装材料0.5t，</w:t>
            </w:r>
            <w:r>
              <w:rPr>
                <w:rFonts w:hint="default"/>
                <w:color w:val="auto"/>
                <w:highlight w:val="none"/>
                <w:lang w:val="en-US" w:eastAsia="zh-CN"/>
              </w:rPr>
              <w:t>经收集</w:t>
            </w:r>
            <w:r>
              <w:rPr>
                <w:rFonts w:hint="eastAsia"/>
                <w:color w:val="auto"/>
                <w:highlight w:val="none"/>
                <w:lang w:val="en-US" w:eastAsia="zh-CN"/>
              </w:rPr>
              <w:t>分类暂存于一般固废暂存间，外收综合利用</w:t>
            </w:r>
            <w:r>
              <w:rPr>
                <w:rFonts w:hint="default"/>
                <w:color w:val="auto"/>
                <w:highlight w:val="none"/>
                <w:lang w:val="en-US" w:eastAsia="zh-CN"/>
              </w:rPr>
              <w:t>。</w:t>
            </w:r>
          </w:p>
          <w:p w14:paraId="06C8A261">
            <w:pPr>
              <w:pStyle w:val="11"/>
              <w:bidi w:val="0"/>
              <w:rPr>
                <w:rFonts w:hint="eastAsia"/>
                <w:color w:val="auto"/>
                <w:highlight w:val="none"/>
                <w:lang w:val="en-US" w:eastAsia="zh-CN"/>
              </w:rPr>
            </w:pPr>
            <w:r>
              <w:rPr>
                <w:rFonts w:hint="eastAsia"/>
                <w:color w:val="auto"/>
                <w:highlight w:val="none"/>
                <w:lang w:val="en-US" w:eastAsia="zh-CN"/>
              </w:rPr>
              <w:t>⑥废包装桶</w:t>
            </w:r>
          </w:p>
          <w:p w14:paraId="6A766254">
            <w:pPr>
              <w:pStyle w:val="11"/>
              <w:bidi w:val="0"/>
              <w:rPr>
                <w:rFonts w:hint="default"/>
                <w:color w:val="auto"/>
                <w:highlight w:val="none"/>
                <w:lang w:val="en-US" w:eastAsia="zh-CN"/>
              </w:rPr>
            </w:pPr>
            <w:r>
              <w:rPr>
                <w:rFonts w:hint="eastAsia"/>
                <w:color w:val="auto"/>
                <w:highlight w:val="none"/>
                <w:lang w:val="en-US" w:eastAsia="zh-CN"/>
              </w:rPr>
              <w:t>项目使用的机油的包装桶，根据《国家危险废物名录》（2025年版）属于危废，废物代码为</w:t>
            </w:r>
            <w:r>
              <w:rPr>
                <w:rFonts w:hint="default"/>
                <w:color w:val="auto"/>
                <w:highlight w:val="none"/>
                <w:lang w:val="en-US" w:eastAsia="zh-CN"/>
              </w:rPr>
              <w:t>HW49-900-041-49</w:t>
            </w:r>
            <w:r>
              <w:rPr>
                <w:rFonts w:hint="eastAsia"/>
                <w:color w:val="auto"/>
                <w:highlight w:val="none"/>
                <w:lang w:val="en-US" w:eastAsia="zh-CN"/>
              </w:rPr>
              <w:t>，产生量约为0.01t/a。</w:t>
            </w:r>
          </w:p>
          <w:p w14:paraId="62F1FDF3">
            <w:pPr>
              <w:pStyle w:val="11"/>
              <w:bidi w:val="0"/>
              <w:rPr>
                <w:rFonts w:hint="eastAsia"/>
                <w:color w:val="auto"/>
                <w:highlight w:val="none"/>
                <w:lang w:val="en-US" w:eastAsia="zh-CN"/>
              </w:rPr>
            </w:pPr>
            <w:r>
              <w:rPr>
                <w:rFonts w:hint="eastAsia"/>
                <w:color w:val="auto"/>
                <w:highlight w:val="none"/>
                <w:lang w:val="en-US" w:eastAsia="zh-CN"/>
              </w:rPr>
              <w:t>⑦废机油</w:t>
            </w:r>
          </w:p>
          <w:p w14:paraId="18D4A3E6">
            <w:pPr>
              <w:pStyle w:val="11"/>
              <w:bidi w:val="0"/>
              <w:rPr>
                <w:rFonts w:hint="eastAsia"/>
                <w:color w:val="auto"/>
                <w:highlight w:val="none"/>
                <w:lang w:val="en-US" w:eastAsia="zh-CN"/>
              </w:rPr>
            </w:pPr>
            <w:r>
              <w:rPr>
                <w:rFonts w:hint="eastAsia"/>
                <w:color w:val="auto"/>
                <w:highlight w:val="none"/>
                <w:lang w:val="en-US" w:eastAsia="zh-CN"/>
              </w:rPr>
              <w:t>项目设备维修检修过程中会产生少量废机油等，根据建设单位提供资料，废机油产生量约0.02t/a，属于HW08类危险废物，废物代码为HW08-900-214-08。由专用容器收集后暂存于危废贮存库，定期交由有资质单位处置。</w:t>
            </w:r>
          </w:p>
          <w:p w14:paraId="1D627BE2">
            <w:pPr>
              <w:pStyle w:val="11"/>
              <w:bidi w:val="0"/>
              <w:rPr>
                <w:rFonts w:hint="eastAsia"/>
                <w:color w:val="auto"/>
                <w:highlight w:val="none"/>
                <w:lang w:val="en-US" w:eastAsia="zh-CN"/>
              </w:rPr>
            </w:pPr>
            <w:r>
              <w:rPr>
                <w:rFonts w:hint="eastAsia"/>
                <w:color w:val="auto"/>
                <w:highlight w:val="none"/>
                <w:lang w:val="en-US" w:eastAsia="zh-CN"/>
              </w:rPr>
              <w:t>⑧废含油纱布及手套</w:t>
            </w:r>
          </w:p>
          <w:p w14:paraId="3CD580F5">
            <w:pPr>
              <w:pStyle w:val="11"/>
              <w:bidi w:val="0"/>
              <w:rPr>
                <w:rFonts w:hint="eastAsia"/>
                <w:color w:val="auto"/>
                <w:highlight w:val="none"/>
                <w:lang w:val="en-US" w:eastAsia="zh-CN"/>
              </w:rPr>
            </w:pPr>
            <w:r>
              <w:rPr>
                <w:rFonts w:hint="eastAsia"/>
                <w:color w:val="auto"/>
                <w:highlight w:val="none"/>
                <w:lang w:val="en-US" w:eastAsia="zh-CN"/>
              </w:rPr>
              <w:t>项目设备维修检修以及运行过程中会产生废含油纱布及手套，根据《国家危险废物名录》（2025年版）属于危废，废物代码为</w:t>
            </w:r>
            <w:r>
              <w:rPr>
                <w:rFonts w:hint="default"/>
                <w:color w:val="auto"/>
                <w:highlight w:val="none"/>
                <w:lang w:val="en-US" w:eastAsia="zh-CN"/>
              </w:rPr>
              <w:t>HW49-900-041-49</w:t>
            </w:r>
            <w:r>
              <w:rPr>
                <w:rFonts w:hint="eastAsia"/>
                <w:color w:val="auto"/>
                <w:highlight w:val="none"/>
                <w:lang w:val="en-US" w:eastAsia="zh-CN"/>
              </w:rPr>
              <w:t>，产生量约为0.01t/a。</w:t>
            </w:r>
          </w:p>
          <w:p w14:paraId="0E3A7E33">
            <w:pPr>
              <w:pStyle w:val="57"/>
              <w:rPr>
                <w:rFonts w:hint="eastAsia"/>
                <w:color w:val="auto"/>
                <w:highlight w:val="none"/>
                <w:lang w:val="en-US" w:eastAsia="zh-CN"/>
              </w:rPr>
            </w:pPr>
            <w:r>
              <w:rPr>
                <w:color w:val="auto"/>
                <w:highlight w:val="none"/>
              </w:rPr>
              <w:t>本项目的危废集中收集，暂存于危废</w:t>
            </w:r>
            <w:r>
              <w:rPr>
                <w:rFonts w:hint="eastAsia"/>
                <w:color w:val="auto"/>
                <w:highlight w:val="none"/>
                <w:lang w:val="en-US" w:eastAsia="zh-CN"/>
              </w:rPr>
              <w:t>贮存库</w:t>
            </w:r>
            <w:r>
              <w:rPr>
                <w:color w:val="auto"/>
                <w:highlight w:val="none"/>
              </w:rPr>
              <w:t>，及时交由有资质的单位</w:t>
            </w:r>
            <w:r>
              <w:rPr>
                <w:rFonts w:hint="eastAsia"/>
                <w:color w:val="auto"/>
                <w:highlight w:val="none"/>
              </w:rPr>
              <w:t>处置。</w:t>
            </w:r>
            <w:r>
              <w:rPr>
                <w:rFonts w:hint="eastAsia"/>
                <w:color w:val="auto"/>
                <w:highlight w:val="none"/>
                <w:lang w:val="en-US" w:eastAsia="zh-CN"/>
              </w:rPr>
              <w:t>本项目固体废弃物产排情况见表4-16。</w:t>
            </w:r>
          </w:p>
          <w:p w14:paraId="15269090">
            <w:pPr>
              <w:pStyle w:val="32"/>
              <w:bidi w:val="0"/>
              <w:rPr>
                <w:rFonts w:hint="default"/>
                <w:color w:val="auto"/>
                <w:highlight w:val="none"/>
                <w:lang w:val="en-US" w:eastAsia="zh-CN"/>
              </w:rPr>
            </w:pPr>
            <w:r>
              <w:rPr>
                <w:rFonts w:hint="eastAsia"/>
                <w:color w:val="auto"/>
                <w:highlight w:val="none"/>
                <w:lang w:val="en-US" w:eastAsia="zh-CN"/>
              </w:rPr>
              <w:t>表4-16     项目固废产排一览表</w:t>
            </w:r>
          </w:p>
          <w:tbl>
            <w:tblPr>
              <w:tblStyle w:val="27"/>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2040"/>
              <w:gridCol w:w="1545"/>
              <w:gridCol w:w="2101"/>
              <w:gridCol w:w="1590"/>
            </w:tblGrid>
            <w:tr w14:paraId="393D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0" w:type="dxa"/>
                  <w:vAlign w:val="center"/>
                </w:tcPr>
                <w:p w14:paraId="3DE72348">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b/>
                      <w:bCs w:val="0"/>
                      <w:color w:val="auto"/>
                      <w:highlight w:val="none"/>
                      <w:lang w:val="en-US" w:eastAsia="zh-CN"/>
                    </w:rPr>
                  </w:pPr>
                  <w:r>
                    <w:rPr>
                      <w:rFonts w:hint="eastAsia"/>
                      <w:b/>
                      <w:bCs w:val="0"/>
                      <w:color w:val="auto"/>
                      <w:highlight w:val="none"/>
                      <w:lang w:val="en-US" w:eastAsia="zh-CN"/>
                    </w:rPr>
                    <w:t>序号</w:t>
                  </w:r>
                </w:p>
              </w:tc>
              <w:tc>
                <w:tcPr>
                  <w:tcW w:w="2040" w:type="dxa"/>
                  <w:vAlign w:val="center"/>
                </w:tcPr>
                <w:p w14:paraId="2D755E5A">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b/>
                      <w:bCs w:val="0"/>
                      <w:color w:val="auto"/>
                      <w:highlight w:val="none"/>
                      <w:lang w:val="en-US" w:eastAsia="zh-CN"/>
                    </w:rPr>
                  </w:pPr>
                  <w:r>
                    <w:rPr>
                      <w:rFonts w:hint="eastAsia"/>
                      <w:b/>
                      <w:bCs w:val="0"/>
                      <w:color w:val="auto"/>
                      <w:highlight w:val="none"/>
                      <w:lang w:val="en-US" w:eastAsia="zh-CN"/>
                    </w:rPr>
                    <w:t>固废名称</w:t>
                  </w:r>
                </w:p>
              </w:tc>
              <w:tc>
                <w:tcPr>
                  <w:tcW w:w="1545" w:type="dxa"/>
                  <w:vAlign w:val="center"/>
                </w:tcPr>
                <w:p w14:paraId="3A785DD7">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b/>
                      <w:bCs w:val="0"/>
                      <w:color w:val="auto"/>
                      <w:highlight w:val="none"/>
                      <w:lang w:val="en-US" w:eastAsia="zh-CN"/>
                    </w:rPr>
                  </w:pPr>
                  <w:r>
                    <w:rPr>
                      <w:rFonts w:hint="eastAsia"/>
                      <w:b/>
                      <w:bCs w:val="0"/>
                      <w:color w:val="auto"/>
                      <w:highlight w:val="none"/>
                      <w:lang w:val="en-US" w:eastAsia="zh-CN"/>
                    </w:rPr>
                    <w:t>产生量（t/a）</w:t>
                  </w:r>
                </w:p>
              </w:tc>
              <w:tc>
                <w:tcPr>
                  <w:tcW w:w="2101" w:type="dxa"/>
                  <w:vAlign w:val="center"/>
                </w:tcPr>
                <w:p w14:paraId="7E839963">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b/>
                      <w:bCs w:val="0"/>
                      <w:color w:val="auto"/>
                      <w:highlight w:val="none"/>
                      <w:lang w:val="en-US" w:eastAsia="zh-CN"/>
                    </w:rPr>
                  </w:pPr>
                  <w:r>
                    <w:rPr>
                      <w:rFonts w:hint="eastAsia"/>
                      <w:b/>
                      <w:bCs w:val="0"/>
                      <w:color w:val="auto"/>
                      <w:highlight w:val="none"/>
                      <w:lang w:val="en-US" w:eastAsia="zh-CN"/>
                    </w:rPr>
                    <w:t>固废类别</w:t>
                  </w:r>
                </w:p>
              </w:tc>
              <w:tc>
                <w:tcPr>
                  <w:tcW w:w="1590" w:type="dxa"/>
                  <w:vAlign w:val="center"/>
                </w:tcPr>
                <w:p w14:paraId="60F2539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b/>
                      <w:bCs w:val="0"/>
                      <w:color w:val="auto"/>
                      <w:highlight w:val="none"/>
                      <w:lang w:val="en-US" w:eastAsia="zh-CN"/>
                    </w:rPr>
                  </w:pPr>
                  <w:r>
                    <w:rPr>
                      <w:rFonts w:hint="eastAsia"/>
                      <w:b/>
                      <w:bCs w:val="0"/>
                      <w:color w:val="auto"/>
                      <w:highlight w:val="none"/>
                      <w:lang w:val="en-US" w:eastAsia="zh-CN"/>
                    </w:rPr>
                    <w:t>处置措施</w:t>
                  </w:r>
                </w:p>
              </w:tc>
            </w:tr>
            <w:tr w14:paraId="5733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6F8F91B0">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1</w:t>
                  </w:r>
                </w:p>
              </w:tc>
              <w:tc>
                <w:tcPr>
                  <w:tcW w:w="2040" w:type="dxa"/>
                  <w:vAlign w:val="center"/>
                </w:tcPr>
                <w:p w14:paraId="56046EA4">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生活垃圾</w:t>
                  </w:r>
                </w:p>
              </w:tc>
              <w:tc>
                <w:tcPr>
                  <w:tcW w:w="1545" w:type="dxa"/>
                  <w:vAlign w:val="center"/>
                </w:tcPr>
                <w:p w14:paraId="4108CA3A">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1.8</w:t>
                  </w:r>
                </w:p>
              </w:tc>
              <w:tc>
                <w:tcPr>
                  <w:tcW w:w="2101" w:type="dxa"/>
                  <w:vAlign w:val="center"/>
                </w:tcPr>
                <w:p w14:paraId="34F23FE5">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w:t>
                  </w:r>
                </w:p>
              </w:tc>
              <w:tc>
                <w:tcPr>
                  <w:tcW w:w="1590" w:type="dxa"/>
                  <w:vAlign w:val="center"/>
                </w:tcPr>
                <w:p w14:paraId="3EC04585">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设置垃圾分类回收桶收集，由环卫部门定期清理</w:t>
                  </w:r>
                </w:p>
              </w:tc>
            </w:tr>
            <w:tr w14:paraId="054A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7079765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2</w:t>
                  </w:r>
                </w:p>
              </w:tc>
              <w:tc>
                <w:tcPr>
                  <w:tcW w:w="2040" w:type="dxa"/>
                  <w:vAlign w:val="center"/>
                </w:tcPr>
                <w:p w14:paraId="48054DD2">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炭化炉灰渣</w:t>
                  </w:r>
                </w:p>
              </w:tc>
              <w:tc>
                <w:tcPr>
                  <w:tcW w:w="1545" w:type="dxa"/>
                  <w:vAlign w:val="center"/>
                </w:tcPr>
                <w:p w14:paraId="16FB58A1">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40</w:t>
                  </w:r>
                </w:p>
              </w:tc>
              <w:tc>
                <w:tcPr>
                  <w:tcW w:w="2101" w:type="dxa"/>
                  <w:vMerge w:val="restart"/>
                  <w:vAlign w:val="center"/>
                </w:tcPr>
                <w:p w14:paraId="49828637">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一般固废</w:t>
                  </w:r>
                </w:p>
              </w:tc>
              <w:tc>
                <w:tcPr>
                  <w:tcW w:w="1590" w:type="dxa"/>
                  <w:vMerge w:val="restart"/>
                  <w:vAlign w:val="center"/>
                </w:tcPr>
                <w:p w14:paraId="01FC2605">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定期清理后，回用于生产</w:t>
                  </w:r>
                </w:p>
              </w:tc>
            </w:tr>
            <w:tr w14:paraId="4531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62D8D5F8">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3</w:t>
                  </w:r>
                </w:p>
              </w:tc>
              <w:tc>
                <w:tcPr>
                  <w:tcW w:w="2040" w:type="dxa"/>
                  <w:vAlign w:val="center"/>
                </w:tcPr>
                <w:p w14:paraId="0DFCA7CA">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收集粉尘</w:t>
                  </w:r>
                </w:p>
              </w:tc>
              <w:tc>
                <w:tcPr>
                  <w:tcW w:w="1545" w:type="dxa"/>
                  <w:vAlign w:val="center"/>
                </w:tcPr>
                <w:p w14:paraId="63A6A6BC">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21.54</w:t>
                  </w:r>
                </w:p>
              </w:tc>
              <w:tc>
                <w:tcPr>
                  <w:tcW w:w="2101" w:type="dxa"/>
                  <w:vMerge w:val="continue"/>
                  <w:vAlign w:val="center"/>
                </w:tcPr>
                <w:p w14:paraId="13135AB5">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p>
              </w:tc>
              <w:tc>
                <w:tcPr>
                  <w:tcW w:w="1590" w:type="dxa"/>
                  <w:vMerge w:val="continue"/>
                  <w:vAlign w:val="center"/>
                </w:tcPr>
                <w:p w14:paraId="0CC0D69F">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p>
              </w:tc>
            </w:tr>
            <w:tr w14:paraId="3034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01E59926">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4</w:t>
                  </w:r>
                </w:p>
              </w:tc>
              <w:tc>
                <w:tcPr>
                  <w:tcW w:w="2040" w:type="dxa"/>
                  <w:vAlign w:val="center"/>
                </w:tcPr>
                <w:p w14:paraId="0EA1234B">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废包装材料</w:t>
                  </w:r>
                </w:p>
              </w:tc>
              <w:tc>
                <w:tcPr>
                  <w:tcW w:w="1545" w:type="dxa"/>
                  <w:vAlign w:val="center"/>
                </w:tcPr>
                <w:p w14:paraId="0D3D0950">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0.5</w:t>
                  </w:r>
                </w:p>
              </w:tc>
              <w:tc>
                <w:tcPr>
                  <w:tcW w:w="2101" w:type="dxa"/>
                  <w:vMerge w:val="continue"/>
                  <w:vAlign w:val="center"/>
                </w:tcPr>
                <w:p w14:paraId="616A891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p>
              </w:tc>
              <w:tc>
                <w:tcPr>
                  <w:tcW w:w="1590" w:type="dxa"/>
                  <w:vAlign w:val="center"/>
                </w:tcPr>
                <w:p w14:paraId="1BE14B6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收集后，外售综合利用</w:t>
                  </w:r>
                </w:p>
              </w:tc>
            </w:tr>
            <w:tr w14:paraId="6559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17F37BB8">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5</w:t>
                  </w:r>
                </w:p>
              </w:tc>
              <w:tc>
                <w:tcPr>
                  <w:tcW w:w="2040" w:type="dxa"/>
                  <w:vAlign w:val="center"/>
                </w:tcPr>
                <w:p w14:paraId="1488ABB5">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废包装桶</w:t>
                  </w:r>
                </w:p>
              </w:tc>
              <w:tc>
                <w:tcPr>
                  <w:tcW w:w="1545" w:type="dxa"/>
                  <w:vAlign w:val="center"/>
                </w:tcPr>
                <w:p w14:paraId="069D7629">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0.01</w:t>
                  </w:r>
                </w:p>
              </w:tc>
              <w:tc>
                <w:tcPr>
                  <w:tcW w:w="2101" w:type="dxa"/>
                  <w:vAlign w:val="center"/>
                </w:tcPr>
                <w:p w14:paraId="2CBF874D">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color w:val="auto"/>
                      <w:highlight w:val="none"/>
                      <w:lang w:val="en-US" w:eastAsia="zh-CN"/>
                    </w:rPr>
                    <w:t>HW49</w:t>
                  </w:r>
                  <w:r>
                    <w:rPr>
                      <w:rFonts w:hint="eastAsia"/>
                      <w:color w:val="auto"/>
                      <w:highlight w:val="none"/>
                      <w:lang w:val="en-US" w:eastAsia="zh-CN"/>
                    </w:rPr>
                    <w:t>(</w:t>
                  </w:r>
                  <w:r>
                    <w:rPr>
                      <w:rFonts w:hint="default"/>
                      <w:color w:val="auto"/>
                      <w:highlight w:val="none"/>
                      <w:lang w:val="en-US" w:eastAsia="zh-CN"/>
                    </w:rPr>
                    <w:t>900-041-49</w:t>
                  </w:r>
                  <w:r>
                    <w:rPr>
                      <w:rFonts w:hint="eastAsia"/>
                      <w:color w:val="auto"/>
                      <w:highlight w:val="none"/>
                      <w:lang w:val="en-US" w:eastAsia="zh-CN"/>
                    </w:rPr>
                    <w:t>)</w:t>
                  </w:r>
                </w:p>
              </w:tc>
              <w:tc>
                <w:tcPr>
                  <w:tcW w:w="1590" w:type="dxa"/>
                  <w:vMerge w:val="restart"/>
                  <w:vAlign w:val="center"/>
                </w:tcPr>
                <w:p w14:paraId="58BA9F43">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暂存于危废贮存库，定期交由有相关资质单位处理</w:t>
                  </w:r>
                </w:p>
              </w:tc>
            </w:tr>
            <w:tr w14:paraId="429B4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25788E8D">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6</w:t>
                  </w:r>
                </w:p>
              </w:tc>
              <w:tc>
                <w:tcPr>
                  <w:tcW w:w="2040" w:type="dxa"/>
                  <w:vAlign w:val="center"/>
                </w:tcPr>
                <w:p w14:paraId="23AA00A2">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废机油</w:t>
                  </w:r>
                </w:p>
              </w:tc>
              <w:tc>
                <w:tcPr>
                  <w:tcW w:w="1545" w:type="dxa"/>
                  <w:vAlign w:val="center"/>
                </w:tcPr>
                <w:p w14:paraId="3AD61548">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0.02</w:t>
                  </w:r>
                </w:p>
              </w:tc>
              <w:tc>
                <w:tcPr>
                  <w:tcW w:w="2101" w:type="dxa"/>
                  <w:vAlign w:val="center"/>
                </w:tcPr>
                <w:p w14:paraId="25A1CB8D">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HW08(900-214-08)</w:t>
                  </w:r>
                </w:p>
              </w:tc>
              <w:tc>
                <w:tcPr>
                  <w:tcW w:w="1590" w:type="dxa"/>
                  <w:vMerge w:val="continue"/>
                  <w:vAlign w:val="center"/>
                </w:tcPr>
                <w:p w14:paraId="33D1EB4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p>
              </w:tc>
            </w:tr>
            <w:tr w14:paraId="2C0CE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0" w:type="dxa"/>
                  <w:vAlign w:val="center"/>
                </w:tcPr>
                <w:p w14:paraId="4E3E306E">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r>
                    <w:rPr>
                      <w:rFonts w:hint="eastAsia"/>
                      <w:color w:val="auto"/>
                      <w:highlight w:val="none"/>
                      <w:lang w:val="en-US" w:eastAsia="zh-CN"/>
                    </w:rPr>
                    <w:t>7</w:t>
                  </w:r>
                </w:p>
              </w:tc>
              <w:tc>
                <w:tcPr>
                  <w:tcW w:w="2040" w:type="dxa"/>
                  <w:vAlign w:val="center"/>
                </w:tcPr>
                <w:p w14:paraId="674D3CA6">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废含油纱布及手套</w:t>
                  </w:r>
                </w:p>
              </w:tc>
              <w:tc>
                <w:tcPr>
                  <w:tcW w:w="1545" w:type="dxa"/>
                  <w:vAlign w:val="center"/>
                </w:tcPr>
                <w:p w14:paraId="425D0F84">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0.01</w:t>
                  </w:r>
                </w:p>
              </w:tc>
              <w:tc>
                <w:tcPr>
                  <w:tcW w:w="2101" w:type="dxa"/>
                  <w:vAlign w:val="center"/>
                </w:tcPr>
                <w:p w14:paraId="1132A801">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default"/>
                      <w:color w:val="auto"/>
                      <w:highlight w:val="none"/>
                      <w:lang w:val="en-US" w:eastAsia="zh-CN"/>
                    </w:rPr>
                    <w:t>HW49</w:t>
                  </w:r>
                  <w:r>
                    <w:rPr>
                      <w:rFonts w:hint="eastAsia"/>
                      <w:color w:val="auto"/>
                      <w:highlight w:val="none"/>
                      <w:lang w:val="en-US" w:eastAsia="zh-CN"/>
                    </w:rPr>
                    <w:t>(</w:t>
                  </w:r>
                  <w:r>
                    <w:rPr>
                      <w:rFonts w:hint="default"/>
                      <w:color w:val="auto"/>
                      <w:highlight w:val="none"/>
                      <w:lang w:val="en-US" w:eastAsia="zh-CN"/>
                    </w:rPr>
                    <w:t>900-041-49</w:t>
                  </w:r>
                  <w:r>
                    <w:rPr>
                      <w:rFonts w:hint="eastAsia"/>
                      <w:color w:val="auto"/>
                      <w:highlight w:val="none"/>
                      <w:lang w:val="en-US" w:eastAsia="zh-CN"/>
                    </w:rPr>
                    <w:t>)</w:t>
                  </w:r>
                </w:p>
              </w:tc>
              <w:tc>
                <w:tcPr>
                  <w:tcW w:w="1590" w:type="dxa"/>
                  <w:vMerge w:val="continue"/>
                  <w:vAlign w:val="center"/>
                </w:tcPr>
                <w:p w14:paraId="19DD2546">
                  <w:pPr>
                    <w:pStyle w:val="49"/>
                    <w:keepNext w:val="0"/>
                    <w:keepLines w:val="0"/>
                    <w:pageBreakBefore w:val="0"/>
                    <w:widowControl w:val="0"/>
                    <w:kinsoku/>
                    <w:wordWrap/>
                    <w:overflowPunct/>
                    <w:topLinePunct w:val="0"/>
                    <w:autoSpaceDE/>
                    <w:autoSpaceDN/>
                    <w:bidi w:val="0"/>
                    <w:adjustRightInd w:val="0"/>
                    <w:snapToGrid w:val="0"/>
                    <w:ind w:left="0"/>
                    <w:jc w:val="center"/>
                    <w:textAlignment w:val="auto"/>
                    <w:rPr>
                      <w:rFonts w:hint="default"/>
                      <w:color w:val="auto"/>
                      <w:highlight w:val="none"/>
                      <w:lang w:val="en-US" w:eastAsia="zh-CN"/>
                    </w:rPr>
                  </w:pPr>
                </w:p>
              </w:tc>
            </w:tr>
          </w:tbl>
          <w:p w14:paraId="2B659C49">
            <w:pPr>
              <w:pStyle w:val="11"/>
              <w:numPr>
                <w:ilvl w:val="0"/>
                <w:numId w:val="12"/>
              </w:numPr>
              <w:bidi w:val="0"/>
              <w:rPr>
                <w:rFonts w:hint="default"/>
                <w:color w:val="auto"/>
                <w:highlight w:val="none"/>
                <w:lang w:val="en-US" w:eastAsia="zh-CN"/>
              </w:rPr>
            </w:pPr>
            <w:r>
              <w:rPr>
                <w:rFonts w:hint="eastAsia"/>
                <w:color w:val="auto"/>
                <w:highlight w:val="none"/>
                <w:lang w:val="en-US" w:eastAsia="zh-CN"/>
              </w:rPr>
              <w:t>一般</w:t>
            </w:r>
            <w:r>
              <w:rPr>
                <w:rFonts w:hint="default"/>
                <w:color w:val="auto"/>
                <w:highlight w:val="none"/>
                <w:lang w:val="en-US" w:eastAsia="zh-CN"/>
              </w:rPr>
              <w:t>固体废物处置措施</w:t>
            </w:r>
          </w:p>
          <w:p w14:paraId="69EA06FE">
            <w:pPr>
              <w:pStyle w:val="11"/>
              <w:bidi w:val="0"/>
              <w:rPr>
                <w:rFonts w:hint="default"/>
                <w:color w:val="auto"/>
                <w:highlight w:val="none"/>
                <w:lang w:val="en-US" w:eastAsia="zh-CN"/>
              </w:rPr>
            </w:pPr>
            <w:r>
              <w:rPr>
                <w:rFonts w:hint="default"/>
                <w:color w:val="auto"/>
                <w:highlight w:val="none"/>
                <w:lang w:val="en-US" w:eastAsia="zh-CN"/>
              </w:rPr>
              <w:t>本项目一般工业固废主要包括木焦油、木醋液、废包装材料、</w:t>
            </w:r>
            <w:r>
              <w:rPr>
                <w:rFonts w:hint="eastAsia"/>
                <w:color w:val="auto"/>
                <w:highlight w:val="none"/>
                <w:lang w:val="en-US" w:eastAsia="zh-CN"/>
              </w:rPr>
              <w:t>收集粉尘</w:t>
            </w:r>
            <w:r>
              <w:rPr>
                <w:rFonts w:hint="default"/>
                <w:color w:val="auto"/>
                <w:highlight w:val="none"/>
                <w:lang w:val="en-US" w:eastAsia="zh-CN"/>
              </w:rPr>
              <w:t>等。</w:t>
            </w:r>
            <w:r>
              <w:rPr>
                <w:rFonts w:hint="eastAsia"/>
                <w:color w:val="auto"/>
                <w:highlight w:val="none"/>
                <w:lang w:val="en-US" w:eastAsia="zh-CN"/>
              </w:rPr>
              <w:t>收集粉尘</w:t>
            </w:r>
            <w:r>
              <w:rPr>
                <w:rFonts w:hint="default"/>
                <w:color w:val="auto"/>
                <w:highlight w:val="none"/>
                <w:lang w:val="en-US" w:eastAsia="zh-CN"/>
              </w:rPr>
              <w:t>回用于生产作为原料使用；木焦油、木醋液、废包装经收集后外售综合利用。</w:t>
            </w:r>
          </w:p>
          <w:p w14:paraId="0865A222">
            <w:pPr>
              <w:pStyle w:val="11"/>
              <w:bidi w:val="0"/>
              <w:rPr>
                <w:rFonts w:hint="eastAsia"/>
                <w:color w:val="auto"/>
                <w:highlight w:val="none"/>
                <w:lang w:val="en-US" w:eastAsia="zh-CN"/>
              </w:rPr>
            </w:pPr>
            <w:r>
              <w:rPr>
                <w:rFonts w:hint="eastAsia"/>
                <w:color w:val="auto"/>
                <w:highlight w:val="none"/>
                <w:lang w:val="en-US" w:eastAsia="zh-CN"/>
              </w:rPr>
              <w:t>本项目在炭化车间西南侧设置1座面积约30m²的一般固废暂存间，一般固废暂存间严格执行分类分区存放制度，不同类型一般固废单独划定堆放区域，设置隔离标识，杜绝混堆混放。同时，严格按照标准要求，在暂存间出入口及各分区区域设置规范的环境保护图形标识牌，明确固废类型、贮存要求及管控规范。</w:t>
            </w:r>
          </w:p>
          <w:p w14:paraId="30A22D77">
            <w:pPr>
              <w:pStyle w:val="11"/>
              <w:bidi w:val="0"/>
              <w:rPr>
                <w:rFonts w:hint="eastAsia"/>
                <w:color w:val="auto"/>
                <w:highlight w:val="none"/>
                <w:lang w:val="en-US" w:eastAsia="zh-CN"/>
              </w:rPr>
            </w:pPr>
            <w:r>
              <w:rPr>
                <w:rFonts w:hint="eastAsia"/>
                <w:color w:val="auto"/>
                <w:highlight w:val="none"/>
                <w:lang w:val="en-US" w:eastAsia="zh-CN"/>
              </w:rPr>
              <w:t>同时，规范建立一般固废环境管理台账，详细记录各类一般固废的产生量、收集时间、贮存位置、转运去向、综合利用量等信息，做到台账资料完整、数据真实可追溯，并严格按照生态环境管理要求，按时完成固废贮存、处置情况申报工作，确保一般固体废物全过程合规管控。一般工业固废暂存区应满足如下要求：</w:t>
            </w:r>
          </w:p>
          <w:p w14:paraId="06D11D9C">
            <w:pPr>
              <w:pStyle w:val="11"/>
              <w:bidi w:val="0"/>
              <w:rPr>
                <w:rFonts w:hint="eastAsia"/>
                <w:color w:val="auto"/>
                <w:highlight w:val="none"/>
                <w:lang w:val="en-US" w:eastAsia="zh-CN"/>
              </w:rPr>
            </w:pPr>
            <w:r>
              <w:rPr>
                <w:rFonts w:hint="eastAsia"/>
                <w:color w:val="auto"/>
                <w:highlight w:val="none"/>
                <w:lang w:val="en-US" w:eastAsia="zh-CN"/>
              </w:rPr>
              <w:t>①地面应采取硬化措施并满足承载力要求，必要时采取相应措施防止地基下沉；</w:t>
            </w:r>
          </w:p>
          <w:p w14:paraId="642A3C9F">
            <w:pPr>
              <w:pStyle w:val="11"/>
              <w:bidi w:val="0"/>
              <w:rPr>
                <w:rFonts w:hint="eastAsia"/>
                <w:color w:val="auto"/>
                <w:highlight w:val="none"/>
                <w:lang w:val="en-US" w:eastAsia="zh-CN"/>
              </w:rPr>
            </w:pPr>
            <w:r>
              <w:rPr>
                <w:rFonts w:hint="eastAsia"/>
                <w:color w:val="auto"/>
                <w:highlight w:val="none"/>
                <w:lang w:val="en-US" w:eastAsia="zh-CN"/>
              </w:rPr>
              <w:t>②要求设置必要的防风、防雨、防晒措施，堆放场周边应设置导流渠；</w:t>
            </w:r>
          </w:p>
          <w:p w14:paraId="0554CD83">
            <w:pPr>
              <w:pStyle w:val="11"/>
              <w:bidi w:val="0"/>
              <w:rPr>
                <w:rFonts w:hint="default"/>
                <w:color w:val="auto"/>
                <w:highlight w:val="none"/>
                <w:lang w:val="en-US" w:eastAsia="zh-CN"/>
              </w:rPr>
            </w:pPr>
            <w:r>
              <w:rPr>
                <w:rFonts w:hint="eastAsia"/>
                <w:color w:val="auto"/>
                <w:highlight w:val="none"/>
                <w:lang w:val="en-US" w:eastAsia="zh-CN"/>
              </w:rPr>
              <w:t>③按《环境保护图形标识—固体废物贮存（处置）场》（GB15562.2）及其2023年修改单要求设置环境保护图形标志。</w:t>
            </w:r>
          </w:p>
          <w:p w14:paraId="36C27680">
            <w:pPr>
              <w:pStyle w:val="11"/>
              <w:numPr>
                <w:ilvl w:val="0"/>
                <w:numId w:val="12"/>
              </w:numPr>
              <w:bidi w:val="0"/>
              <w:rPr>
                <w:rFonts w:hint="default"/>
                <w:color w:val="auto"/>
                <w:highlight w:val="none"/>
                <w:lang w:val="en-US" w:eastAsia="zh-CN"/>
              </w:rPr>
            </w:pPr>
            <w:r>
              <w:rPr>
                <w:rFonts w:hint="eastAsia"/>
                <w:color w:val="auto"/>
                <w:highlight w:val="none"/>
                <w:lang w:val="en-US" w:eastAsia="zh-CN"/>
              </w:rPr>
              <w:t>危险废物处置措施</w:t>
            </w:r>
          </w:p>
          <w:p w14:paraId="3FC0B057">
            <w:pPr>
              <w:pStyle w:val="11"/>
              <w:bidi w:val="0"/>
              <w:rPr>
                <w:color w:val="auto"/>
                <w:highlight w:val="none"/>
              </w:rPr>
            </w:pPr>
            <w:r>
              <w:rPr>
                <w:rFonts w:hint="eastAsia"/>
                <w:color w:val="auto"/>
                <w:highlight w:val="none"/>
                <w:lang w:val="en-US" w:eastAsia="zh-CN"/>
              </w:rPr>
              <w:t>拟建项目危险废物主要包括废机油、废包装桶、废含油纱布及手套等。废机油、废包装桶、废含油纱布及手套等经分类收集后暂存于危废贮存点，定期交由危废资质的单位处置。</w:t>
            </w:r>
          </w:p>
          <w:p w14:paraId="75A3B349">
            <w:pPr>
              <w:pStyle w:val="11"/>
              <w:bidi w:val="0"/>
              <w:rPr>
                <w:rFonts w:hint="eastAsia"/>
                <w:color w:val="auto"/>
                <w:highlight w:val="none"/>
                <w:lang w:val="en-US" w:eastAsia="zh-CN"/>
              </w:rPr>
            </w:pPr>
            <w:r>
              <w:rPr>
                <w:rFonts w:hint="default"/>
                <w:color w:val="auto"/>
                <w:highlight w:val="none"/>
                <w:lang w:val="en-US" w:eastAsia="zh-CN"/>
              </w:rPr>
              <w:t>本项目在炭化车间西南侧设危废</w:t>
            </w:r>
            <w:r>
              <w:rPr>
                <w:rFonts w:hint="eastAsia"/>
                <w:color w:val="auto"/>
                <w:highlight w:val="none"/>
                <w:lang w:val="en-US" w:eastAsia="zh-CN"/>
              </w:rPr>
              <w:t>贮存库</w:t>
            </w:r>
            <w:r>
              <w:rPr>
                <w:rFonts w:hint="default"/>
                <w:color w:val="auto"/>
                <w:highlight w:val="none"/>
                <w:lang w:val="en-US" w:eastAsia="zh-CN"/>
              </w:rPr>
              <w:t>1座，面积约10m</w:t>
            </w:r>
            <w:r>
              <w:rPr>
                <w:rFonts w:hint="default"/>
                <w:color w:val="auto"/>
                <w:highlight w:val="none"/>
                <w:vertAlign w:val="superscript"/>
                <w:lang w:val="en-US" w:eastAsia="zh-CN"/>
              </w:rPr>
              <w:t>2</w:t>
            </w:r>
            <w:r>
              <w:rPr>
                <w:rFonts w:hint="default"/>
                <w:color w:val="auto"/>
                <w:highlight w:val="none"/>
                <w:lang w:val="en-US" w:eastAsia="zh-CN"/>
              </w:rPr>
              <w:t>。项目危险废物的暂存应按照危险废物管理和处置要求进行。根据国家《危险废物贮存污染控制标准》（GB18597-2023）、《危险废物识别标志设置技术规范》（HJ1276-2022）和《危险废物污染防治技术政策》中有关规定</w:t>
            </w:r>
            <w:r>
              <w:rPr>
                <w:rFonts w:hint="eastAsia"/>
                <w:color w:val="auto"/>
                <w:highlight w:val="none"/>
                <w:lang w:val="en-US" w:eastAsia="zh-CN"/>
              </w:rPr>
              <w:t>进行建设。</w:t>
            </w:r>
          </w:p>
          <w:p w14:paraId="179BFA66">
            <w:pPr>
              <w:pStyle w:val="11"/>
              <w:bidi w:val="0"/>
              <w:rPr>
                <w:rFonts w:hint="default"/>
                <w:color w:val="auto"/>
                <w:highlight w:val="none"/>
                <w:lang w:val="en-US" w:eastAsia="zh-CN"/>
              </w:rPr>
            </w:pPr>
            <w:r>
              <w:rPr>
                <w:rFonts w:hint="default"/>
                <w:color w:val="auto"/>
                <w:highlight w:val="none"/>
                <w:lang w:val="en-US" w:eastAsia="zh-CN"/>
              </w:rPr>
              <w:t>对危险废物的收集、分类、贮存、运输等环节均应按照《危险废物污染防治技术政策》和《危险废物贮存污染控制标准》（GB18597-2001）及修改单的要求，采取相应的防范措施，对产生的危险废物，实行登记制度，杜绝随意丢弃；根据危险废物的不同特性，设计不同类型符合国家标准的专门容器收集贮存，容器满足不易破损、变形、老化，能有效的防止渗漏、扩散等要求；盛装危险废物的容器必须贴有标签和有关注明；堆放场要具备特殊要求；运输系统安全可靠等。这样，就从隔离控制污染源头、阻断污染途径等方面最大限度地减少了有毒有害物质释放进入地下水和土壤的总量，起到了防范固体废物污染环境的作用。对于危险废物的贮存及转运应做到以下</w:t>
            </w:r>
            <w:r>
              <w:rPr>
                <w:rFonts w:hint="eastAsia"/>
                <w:color w:val="auto"/>
                <w:highlight w:val="none"/>
                <w:lang w:val="en-US" w:eastAsia="zh-CN"/>
              </w:rPr>
              <w:t>几个</w:t>
            </w:r>
            <w:r>
              <w:rPr>
                <w:rFonts w:hint="default"/>
                <w:color w:val="auto"/>
                <w:highlight w:val="none"/>
                <w:lang w:val="en-US" w:eastAsia="zh-CN"/>
              </w:rPr>
              <w:t>方面：</w:t>
            </w:r>
          </w:p>
          <w:p w14:paraId="6972F4D1">
            <w:pPr>
              <w:pStyle w:val="11"/>
              <w:bidi w:val="0"/>
              <w:rPr>
                <w:rFonts w:hint="default"/>
                <w:color w:val="auto"/>
                <w:highlight w:val="none"/>
                <w:lang w:val="en-US" w:eastAsia="zh-CN"/>
              </w:rPr>
            </w:pPr>
            <w:r>
              <w:rPr>
                <w:rFonts w:hint="default"/>
                <w:color w:val="auto"/>
                <w:highlight w:val="none"/>
                <w:lang w:val="en-US" w:eastAsia="zh-CN"/>
              </w:rPr>
              <w:t>①建立岗位责任制和危险废物管理档案，由专人负责危险废物收集和管理工作。</w:t>
            </w:r>
          </w:p>
          <w:p w14:paraId="09F0386E">
            <w:pPr>
              <w:pStyle w:val="11"/>
              <w:bidi w:val="0"/>
              <w:rPr>
                <w:rFonts w:hint="default"/>
                <w:color w:val="auto"/>
                <w:highlight w:val="none"/>
                <w:lang w:val="en-US" w:eastAsia="zh-CN"/>
              </w:rPr>
            </w:pPr>
            <w:r>
              <w:rPr>
                <w:rFonts w:hint="default"/>
                <w:color w:val="auto"/>
                <w:highlight w:val="none"/>
                <w:lang w:val="en-US" w:eastAsia="zh-CN"/>
              </w:rPr>
              <w:t>②危险废物的运输和处置必须委托有资质的单位进行处理，</w:t>
            </w:r>
            <w:r>
              <w:rPr>
                <w:rFonts w:hint="eastAsia"/>
                <w:color w:val="auto"/>
                <w:highlight w:val="none"/>
                <w:lang w:val="en-US" w:eastAsia="zh-CN"/>
              </w:rPr>
              <w:t>并</w:t>
            </w:r>
            <w:r>
              <w:rPr>
                <w:rFonts w:hint="default"/>
                <w:color w:val="auto"/>
                <w:highlight w:val="none"/>
                <w:lang w:val="en-US" w:eastAsia="zh-CN"/>
              </w:rPr>
              <w:t>建立危险废物处置台账。</w:t>
            </w:r>
          </w:p>
          <w:p w14:paraId="7967336B">
            <w:pPr>
              <w:pStyle w:val="11"/>
              <w:bidi w:val="0"/>
              <w:rPr>
                <w:rFonts w:hint="default"/>
                <w:color w:val="auto"/>
                <w:highlight w:val="none"/>
                <w:lang w:val="en-US" w:eastAsia="zh-CN"/>
              </w:rPr>
            </w:pPr>
            <w:r>
              <w:rPr>
                <w:rFonts w:hint="default"/>
                <w:color w:val="auto"/>
                <w:highlight w:val="none"/>
                <w:lang w:val="en-US" w:eastAsia="zh-CN"/>
              </w:rPr>
              <w:t>③危险废物收集后应储存在危险废物库中，必须按国家规定设置统一识别标志。在建设危险废物堆放场所的过程中应满足以下要求：应建有堵截泄漏的裙脚，地面与裙脚要用坚固防渗的材料建造；应有隔离设施、报警装置和防风、防晒、防雨设施，同时其地面须为耐腐蚀的硬化地面，且地面无裂隙；基础防渗层可用厚度在2mm以上的高密度聚乙烯或其他人工防渗材料组成，渗透系数应小于1.0×10</w:t>
            </w:r>
            <w:r>
              <w:rPr>
                <w:rFonts w:hint="default"/>
                <w:color w:val="auto"/>
                <w:highlight w:val="none"/>
                <w:vertAlign w:val="superscript"/>
                <w:lang w:val="en-US" w:eastAsia="zh-CN"/>
              </w:rPr>
              <w:t>-7</w:t>
            </w:r>
            <w:r>
              <w:rPr>
                <w:rFonts w:hint="default"/>
                <w:color w:val="auto"/>
                <w:highlight w:val="none"/>
                <w:lang w:val="en-US" w:eastAsia="zh-CN"/>
              </w:rPr>
              <w:t>cm/s。</w:t>
            </w:r>
          </w:p>
          <w:p w14:paraId="3823E0AC">
            <w:pPr>
              <w:pStyle w:val="11"/>
              <w:bidi w:val="0"/>
              <w:rPr>
                <w:rFonts w:hint="default"/>
                <w:color w:val="auto"/>
                <w:highlight w:val="none"/>
                <w:lang w:val="en-US" w:eastAsia="zh-CN"/>
              </w:rPr>
            </w:pPr>
            <w:r>
              <w:rPr>
                <w:rFonts w:hint="default"/>
                <w:color w:val="auto"/>
                <w:highlight w:val="none"/>
                <w:lang w:val="en-US" w:eastAsia="zh-CN"/>
              </w:rPr>
              <w:t>④采用专用车辆和专用容器运输贮存危险废物，禁止将危险废物混入生活垃圾或其他废物。</w:t>
            </w:r>
          </w:p>
          <w:p w14:paraId="713A778F">
            <w:pPr>
              <w:pStyle w:val="11"/>
              <w:bidi w:val="0"/>
              <w:rPr>
                <w:rFonts w:hint="default"/>
                <w:color w:val="auto"/>
                <w:highlight w:val="none"/>
                <w:lang w:val="en-US" w:eastAsia="zh-CN"/>
              </w:rPr>
            </w:pPr>
            <w:r>
              <w:rPr>
                <w:rFonts w:hint="default"/>
                <w:color w:val="auto"/>
                <w:highlight w:val="none"/>
                <w:lang w:val="en-US" w:eastAsia="zh-CN"/>
              </w:rPr>
              <w:t>⑤在收集、贮存危险废物过程中，发生污染事故或其他突发性污染事件时，必须立即采取措施，消除或减轻污染危害，及时通知可能受到危害的单位和居民，并应于24h内向所在区、市环境保护行政主管部门和有关部门报告，接受调查处理。</w:t>
            </w:r>
          </w:p>
          <w:p w14:paraId="37629C3D">
            <w:pPr>
              <w:pStyle w:val="11"/>
              <w:bidi w:val="0"/>
              <w:rPr>
                <w:rFonts w:hint="default"/>
                <w:color w:val="auto"/>
                <w:highlight w:val="none"/>
                <w:lang w:val="en-US" w:eastAsia="zh-CN"/>
              </w:rPr>
            </w:pPr>
            <w:r>
              <w:rPr>
                <w:rFonts w:hint="default"/>
                <w:color w:val="auto"/>
                <w:highlight w:val="none"/>
                <w:lang w:val="en-US" w:eastAsia="zh-CN"/>
              </w:rPr>
              <w:t>⑥收集、贮存危险废物过程中按危险废物特性进行分类包装。包装容器的外面必须有表示废物形态、性质的明显标志，并向运输者和</w:t>
            </w:r>
            <w:r>
              <w:rPr>
                <w:rFonts w:hint="eastAsia"/>
                <w:color w:val="auto"/>
                <w:highlight w:val="none"/>
                <w:lang w:val="en-US" w:eastAsia="zh-CN"/>
              </w:rPr>
              <w:t>接收者</w:t>
            </w:r>
            <w:r>
              <w:rPr>
                <w:rFonts w:hint="default"/>
                <w:color w:val="auto"/>
                <w:highlight w:val="none"/>
                <w:lang w:val="en-US" w:eastAsia="zh-CN"/>
              </w:rPr>
              <w:t>提供安全保护要求的文字说明。</w:t>
            </w:r>
          </w:p>
          <w:p w14:paraId="14FF6589">
            <w:pPr>
              <w:pStyle w:val="11"/>
              <w:bidi w:val="0"/>
              <w:rPr>
                <w:rFonts w:hint="default"/>
                <w:color w:val="auto"/>
                <w:highlight w:val="none"/>
                <w:lang w:val="en-US" w:eastAsia="zh-CN"/>
              </w:rPr>
            </w:pPr>
            <w:r>
              <w:rPr>
                <w:rFonts w:hint="default"/>
                <w:color w:val="auto"/>
                <w:highlight w:val="none"/>
                <w:lang w:val="en-US" w:eastAsia="zh-CN"/>
              </w:rPr>
              <w:t>⑦危险废物的贮存设施必须符合国家标准和有关规定</w:t>
            </w:r>
            <w:r>
              <w:rPr>
                <w:rFonts w:hint="eastAsia"/>
                <w:color w:val="auto"/>
                <w:highlight w:val="none"/>
                <w:lang w:val="en-US" w:eastAsia="zh-CN"/>
              </w:rPr>
              <w:t>，具</w:t>
            </w:r>
            <w:r>
              <w:rPr>
                <w:rFonts w:hint="default"/>
                <w:color w:val="auto"/>
                <w:highlight w:val="none"/>
                <w:lang w:val="en-US" w:eastAsia="zh-CN"/>
              </w:rPr>
              <w:t>有防渗漏、防雨淋、防流失措施，并必须设置识别危险废物的明显标志。</w:t>
            </w:r>
          </w:p>
          <w:p w14:paraId="6185CFD2">
            <w:pPr>
              <w:pStyle w:val="11"/>
              <w:bidi w:val="0"/>
              <w:rPr>
                <w:rFonts w:hint="default"/>
                <w:color w:val="auto"/>
                <w:highlight w:val="none"/>
                <w:lang w:val="en-US" w:eastAsia="zh-CN"/>
              </w:rPr>
            </w:pPr>
            <w:r>
              <w:rPr>
                <w:rFonts w:hint="default"/>
                <w:color w:val="auto"/>
                <w:highlight w:val="none"/>
                <w:lang w:val="en-US" w:eastAsia="zh-CN"/>
              </w:rPr>
              <w:t>综上所述，本项目固体废物对周围环境的影响较小。</w:t>
            </w:r>
          </w:p>
          <w:p w14:paraId="784ADC59">
            <w:pPr>
              <w:pStyle w:val="11"/>
              <w:numPr>
                <w:ilvl w:val="0"/>
                <w:numId w:val="11"/>
              </w:numPr>
              <w:bidi w:val="0"/>
              <w:rPr>
                <w:rFonts w:hint="default"/>
                <w:b/>
                <w:bCs/>
                <w:color w:val="auto"/>
                <w:highlight w:val="none"/>
                <w:lang w:val="en-US" w:eastAsia="zh-CN"/>
              </w:rPr>
            </w:pPr>
            <w:r>
              <w:rPr>
                <w:rFonts w:hint="eastAsia"/>
                <w:b/>
                <w:bCs/>
                <w:color w:val="auto"/>
                <w:highlight w:val="none"/>
                <w:lang w:val="en-US" w:eastAsia="zh-CN"/>
              </w:rPr>
              <w:t>运营期地下水、土壤环境影响分析</w:t>
            </w:r>
          </w:p>
          <w:p w14:paraId="5D23C1FF">
            <w:pPr>
              <w:pStyle w:val="11"/>
              <w:bidi w:val="0"/>
              <w:rPr>
                <w:rFonts w:hint="default"/>
                <w:color w:val="auto"/>
                <w:highlight w:val="none"/>
                <w:lang w:val="en-US" w:eastAsia="zh-CN"/>
              </w:rPr>
            </w:pPr>
            <w:r>
              <w:rPr>
                <w:rFonts w:hint="default"/>
                <w:color w:val="auto"/>
                <w:highlight w:val="none"/>
                <w:lang w:val="en-US" w:eastAsia="zh-CN"/>
              </w:rPr>
              <w:t>本项目粗木焦油及粗木醋液设计采用储罐储存。正常情况下基本无物料或废水下渗，正常情况下对地下水基本无影响。当液态物料贮存池发生泄漏且围堰内防渗层失效的情况下，可能导致粗木醋液、粗木焦油等物料下渗，将首先渗入防渗层下层土壤，污染土壤，随着污水下渗量的增加，下渗深度也在不断增加，直至达到潜水含水层，污染地下水。</w:t>
            </w:r>
            <w:r>
              <w:rPr>
                <w:rFonts w:hint="eastAsia"/>
                <w:color w:val="auto"/>
                <w:highlight w:val="none"/>
                <w:lang w:val="en-US" w:eastAsia="zh-CN"/>
              </w:rPr>
              <w:t>运营期间污水管道、化粪池或处理设施若发生破裂或渗漏，污染物将直接进入土壤，并可能进一步下渗，污染地下水含水层。</w:t>
            </w:r>
          </w:p>
          <w:p w14:paraId="541D0DE7">
            <w:pPr>
              <w:pStyle w:val="11"/>
              <w:bidi w:val="0"/>
              <w:rPr>
                <w:rFonts w:hint="default"/>
                <w:color w:val="auto"/>
                <w:highlight w:val="none"/>
                <w:lang w:val="en-US" w:eastAsia="zh-CN"/>
              </w:rPr>
            </w:pPr>
            <w:r>
              <w:rPr>
                <w:rFonts w:hint="default"/>
                <w:color w:val="auto"/>
                <w:highlight w:val="none"/>
                <w:lang w:val="en-US" w:eastAsia="zh-CN"/>
              </w:rPr>
              <w:t>（1）源头控制措施</w:t>
            </w:r>
          </w:p>
          <w:p w14:paraId="703BEF73">
            <w:pPr>
              <w:pStyle w:val="11"/>
              <w:bidi w:val="0"/>
              <w:rPr>
                <w:rFonts w:hint="default"/>
                <w:color w:val="auto"/>
                <w:highlight w:val="none"/>
                <w:lang w:val="en-US" w:eastAsia="zh-CN"/>
              </w:rPr>
            </w:pPr>
            <w:r>
              <w:rPr>
                <w:rFonts w:hint="default"/>
                <w:color w:val="auto"/>
                <w:highlight w:val="none"/>
                <w:lang w:val="en-US" w:eastAsia="zh-CN"/>
              </w:rPr>
              <w:t>①严格按照国家相关规范要求，对工艺、管道、设备采取相应的措施，以防止和降低可能污染物的跑、冒、滴、漏，将泄漏的环境风险事故降低到最低程度。</w:t>
            </w:r>
          </w:p>
          <w:p w14:paraId="39B6B629">
            <w:pPr>
              <w:pStyle w:val="11"/>
              <w:bidi w:val="0"/>
              <w:rPr>
                <w:rFonts w:hint="default"/>
                <w:color w:val="auto"/>
                <w:highlight w:val="none"/>
                <w:lang w:val="en-US" w:eastAsia="zh-CN"/>
              </w:rPr>
            </w:pPr>
            <w:r>
              <w:rPr>
                <w:rFonts w:hint="default"/>
                <w:color w:val="auto"/>
                <w:highlight w:val="none"/>
                <w:lang w:val="en-US" w:eastAsia="zh-CN"/>
              </w:rPr>
              <w:t>②当贮存</w:t>
            </w:r>
            <w:r>
              <w:rPr>
                <w:rFonts w:hint="eastAsia"/>
                <w:color w:val="auto"/>
                <w:highlight w:val="none"/>
                <w:lang w:val="en-US" w:eastAsia="zh-CN"/>
              </w:rPr>
              <w:t>罐</w:t>
            </w:r>
            <w:r>
              <w:rPr>
                <w:rFonts w:hint="default"/>
                <w:color w:val="auto"/>
                <w:highlight w:val="none"/>
                <w:lang w:val="en-US" w:eastAsia="zh-CN"/>
              </w:rPr>
              <w:t>发生事故时，泄漏的物料排入围堰，当事故结束后及时进行清理。</w:t>
            </w:r>
          </w:p>
          <w:p w14:paraId="0B5C0B81">
            <w:pPr>
              <w:pStyle w:val="11"/>
              <w:bidi w:val="0"/>
              <w:rPr>
                <w:rFonts w:hint="default"/>
                <w:color w:val="auto"/>
                <w:highlight w:val="none"/>
                <w:lang w:val="en-US" w:eastAsia="zh-CN"/>
              </w:rPr>
            </w:pPr>
            <w:r>
              <w:rPr>
                <w:rFonts w:hint="default"/>
                <w:color w:val="auto"/>
                <w:highlight w:val="none"/>
                <w:lang w:val="en-US" w:eastAsia="zh-CN"/>
              </w:rPr>
              <w:t>③进行质量体系认证，实现“质量、安全、环境”三位一体的全面质量管理目标。建立有关规章制度和岗位责任制。制定风险预警方案，设立应急设施减少环境污染影响。</w:t>
            </w:r>
          </w:p>
          <w:p w14:paraId="3D3073FE">
            <w:pPr>
              <w:pStyle w:val="11"/>
              <w:bidi w:val="0"/>
              <w:rPr>
                <w:rFonts w:hint="default"/>
                <w:color w:val="auto"/>
                <w:highlight w:val="none"/>
                <w:lang w:val="en-US" w:eastAsia="zh-CN"/>
              </w:rPr>
            </w:pPr>
            <w:r>
              <w:rPr>
                <w:rFonts w:hint="default"/>
                <w:color w:val="auto"/>
                <w:highlight w:val="none"/>
                <w:lang w:val="en-US" w:eastAsia="zh-CN"/>
              </w:rPr>
              <w:t>（2）分区控制措施</w:t>
            </w:r>
          </w:p>
          <w:p w14:paraId="0E57ED59">
            <w:pPr>
              <w:pStyle w:val="11"/>
              <w:bidi w:val="0"/>
              <w:rPr>
                <w:rFonts w:hint="default"/>
                <w:color w:val="auto"/>
                <w:highlight w:val="none"/>
                <w:lang w:val="en-US" w:eastAsia="zh-CN"/>
              </w:rPr>
            </w:pPr>
            <w:r>
              <w:rPr>
                <w:rFonts w:hint="default"/>
                <w:color w:val="auto"/>
                <w:highlight w:val="none"/>
                <w:lang w:val="en-US" w:eastAsia="zh-CN"/>
              </w:rPr>
              <w:t>本项目防治地下水污染的措施包括两部分，一是按照相应的标准，在污染区铺设防渗层，以阻止</w:t>
            </w:r>
            <w:r>
              <w:rPr>
                <w:rFonts w:hint="eastAsia"/>
                <w:color w:val="auto"/>
                <w:highlight w:val="none"/>
                <w:lang w:val="en-US" w:eastAsia="zh-CN"/>
              </w:rPr>
              <w:t>泄漏</w:t>
            </w:r>
            <w:r>
              <w:rPr>
                <w:rFonts w:hint="default"/>
                <w:color w:val="auto"/>
                <w:highlight w:val="none"/>
                <w:lang w:val="en-US" w:eastAsia="zh-CN"/>
              </w:rPr>
              <w:t>到地面的污染物进入地下水中；二是在污染区防渗层上设置渗漏污染物收集系统。防渗是控制污染物进一步下渗的重要措施，可以大大降低地下水被污染的风险。根据厂区内各生产、生活单元可能产生污染的地区，划分为重点污染防治区、一般污染防治区和非污染防治区。根据防渗参照的标准和规范，结合施工过程中的可操作性和技术水平，针对不同的防渗区域采用的防渗措施如下。具体设计时可根据实际情况在满足防渗标准的前提下</w:t>
            </w:r>
            <w:r>
              <w:rPr>
                <w:rFonts w:hint="eastAsia"/>
                <w:color w:val="auto"/>
                <w:highlight w:val="none"/>
                <w:lang w:val="en-US" w:eastAsia="zh-CN"/>
              </w:rPr>
              <w:t>做必要的</w:t>
            </w:r>
            <w:r>
              <w:rPr>
                <w:rFonts w:hint="default"/>
                <w:color w:val="auto"/>
                <w:highlight w:val="none"/>
                <w:lang w:val="en-US" w:eastAsia="zh-CN"/>
              </w:rPr>
              <w:t>调整。</w:t>
            </w:r>
          </w:p>
          <w:p w14:paraId="3AD1AA77">
            <w:pPr>
              <w:pStyle w:val="11"/>
              <w:bidi w:val="0"/>
              <w:rPr>
                <w:rFonts w:hint="eastAsia"/>
                <w:color w:val="auto"/>
                <w:highlight w:val="none"/>
                <w:lang w:val="en-US" w:eastAsia="zh-CN"/>
              </w:rPr>
            </w:pPr>
            <w:r>
              <w:rPr>
                <w:rFonts w:hint="eastAsia"/>
                <w:color w:val="auto"/>
                <w:highlight w:val="none"/>
                <w:lang w:val="en-US" w:eastAsia="zh-CN"/>
              </w:rPr>
              <w:t>本项目分区防渗措施见表4-17。</w:t>
            </w:r>
          </w:p>
          <w:p w14:paraId="5841BB22">
            <w:pPr>
              <w:pStyle w:val="32"/>
              <w:bidi w:val="0"/>
              <w:rPr>
                <w:rFonts w:hint="eastAsia"/>
                <w:color w:val="auto"/>
                <w:highlight w:val="none"/>
                <w:lang w:val="en-US" w:eastAsia="zh-CN"/>
              </w:rPr>
            </w:pPr>
            <w:r>
              <w:rPr>
                <w:rFonts w:hint="eastAsia"/>
                <w:color w:val="auto"/>
                <w:highlight w:val="none"/>
                <w:lang w:val="en-US" w:eastAsia="zh-CN"/>
              </w:rPr>
              <w:t>表4-17    项目分区防渗措施一览表</w:t>
            </w:r>
          </w:p>
          <w:tbl>
            <w:tblPr>
              <w:tblStyle w:val="27"/>
              <w:tblW w:w="7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1695"/>
              <w:gridCol w:w="3529"/>
              <w:gridCol w:w="1504"/>
            </w:tblGrid>
            <w:tr w14:paraId="3EA1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Align w:val="center"/>
                </w:tcPr>
                <w:p w14:paraId="5CDDFC6D">
                  <w:pPr>
                    <w:pStyle w:val="49"/>
                    <w:bidi w:val="0"/>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分区类别</w:t>
                  </w:r>
                </w:p>
              </w:tc>
              <w:tc>
                <w:tcPr>
                  <w:tcW w:w="1695" w:type="dxa"/>
                  <w:vAlign w:val="center"/>
                </w:tcPr>
                <w:p w14:paraId="61390031">
                  <w:pPr>
                    <w:pStyle w:val="49"/>
                    <w:bidi w:val="0"/>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区域名称</w:t>
                  </w:r>
                </w:p>
              </w:tc>
              <w:tc>
                <w:tcPr>
                  <w:tcW w:w="3529" w:type="dxa"/>
                  <w:vAlign w:val="center"/>
                </w:tcPr>
                <w:p w14:paraId="48297DE9">
                  <w:pPr>
                    <w:pStyle w:val="49"/>
                    <w:bidi w:val="0"/>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防渗措施</w:t>
                  </w:r>
                </w:p>
              </w:tc>
              <w:tc>
                <w:tcPr>
                  <w:tcW w:w="1504" w:type="dxa"/>
                  <w:vAlign w:val="center"/>
                </w:tcPr>
                <w:p w14:paraId="6AC43ACB">
                  <w:pPr>
                    <w:pStyle w:val="49"/>
                    <w:bidi w:val="0"/>
                    <w:jc w:val="center"/>
                    <w:rPr>
                      <w:rFonts w:hint="default"/>
                      <w:b/>
                      <w:bCs/>
                      <w:color w:val="auto"/>
                      <w:highlight w:val="none"/>
                      <w:vertAlign w:val="baseline"/>
                      <w:lang w:val="en-US" w:eastAsia="zh-CN"/>
                    </w:rPr>
                  </w:pPr>
                  <w:r>
                    <w:rPr>
                      <w:rFonts w:hint="eastAsia"/>
                      <w:b/>
                      <w:bCs/>
                      <w:color w:val="auto"/>
                      <w:highlight w:val="none"/>
                      <w:vertAlign w:val="baseline"/>
                      <w:lang w:val="en-US" w:eastAsia="zh-CN"/>
                    </w:rPr>
                    <w:t>防渗技术要求</w:t>
                  </w:r>
                </w:p>
              </w:tc>
            </w:tr>
            <w:tr w14:paraId="401A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restart"/>
                  <w:vAlign w:val="center"/>
                </w:tcPr>
                <w:p w14:paraId="28666C66">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重点防渗区</w:t>
                  </w:r>
                </w:p>
              </w:tc>
              <w:tc>
                <w:tcPr>
                  <w:tcW w:w="1695" w:type="dxa"/>
                  <w:vAlign w:val="center"/>
                </w:tcPr>
                <w:p w14:paraId="530417F0">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危废贮存库</w:t>
                  </w:r>
                </w:p>
              </w:tc>
              <w:tc>
                <w:tcPr>
                  <w:tcW w:w="3529" w:type="dxa"/>
                  <w:vAlign w:val="center"/>
                </w:tcPr>
                <w:p w14:paraId="2A232240">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防渗层为至少1m厚黏土层（渗透系数≤10</w:t>
                  </w:r>
                  <w:r>
                    <w:rPr>
                      <w:rFonts w:hint="default"/>
                      <w:color w:val="auto"/>
                      <w:highlight w:val="none"/>
                      <w:vertAlign w:val="superscript"/>
                      <w:lang w:val="en-US" w:eastAsia="zh-CN"/>
                    </w:rPr>
                    <w:t>-</w:t>
                  </w:r>
                  <w:r>
                    <w:rPr>
                      <w:rFonts w:hint="eastAsia"/>
                      <w:color w:val="auto"/>
                      <w:highlight w:val="none"/>
                      <w:vertAlign w:val="superscript"/>
                      <w:lang w:val="en-US" w:eastAsia="zh-CN"/>
                    </w:rPr>
                    <w:t>10</w:t>
                  </w:r>
                  <w:r>
                    <w:rPr>
                      <w:rFonts w:hint="default"/>
                      <w:color w:val="auto"/>
                      <w:highlight w:val="none"/>
                      <w:vertAlign w:val="baseline"/>
                      <w:lang w:val="en-US" w:eastAsia="zh-CN"/>
                    </w:rPr>
                    <w:t>cm/s）+防渗混凝土+防渗膜（2mm厚HDPE膜）+防渗涂料（环氧树脂地坪漆，且液态危废收集容器下方设置钢制防渗托盘等。</w:t>
                  </w:r>
                </w:p>
              </w:tc>
              <w:tc>
                <w:tcPr>
                  <w:tcW w:w="1504" w:type="dxa"/>
                  <w:vAlign w:val="center"/>
                </w:tcPr>
                <w:p w14:paraId="3266568E">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等效黏土防渗层Mb≥6.0m，渗透系数≤10</w:t>
                  </w:r>
                  <w:r>
                    <w:rPr>
                      <w:rFonts w:hint="default"/>
                      <w:color w:val="auto"/>
                      <w:highlight w:val="none"/>
                      <w:vertAlign w:val="superscript"/>
                      <w:lang w:val="en-US" w:eastAsia="zh-CN"/>
                    </w:rPr>
                    <w:t>-10</w:t>
                  </w:r>
                  <w:r>
                    <w:rPr>
                      <w:rFonts w:hint="default"/>
                      <w:color w:val="auto"/>
                      <w:highlight w:val="none"/>
                      <w:vertAlign w:val="baseline"/>
                      <w:lang w:val="en-US" w:eastAsia="zh-CN"/>
                    </w:rPr>
                    <w:t>cm/s</w:t>
                  </w:r>
                </w:p>
              </w:tc>
            </w:tr>
            <w:tr w14:paraId="0E81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continue"/>
                  <w:vAlign w:val="center"/>
                </w:tcPr>
                <w:p w14:paraId="07C53A12">
                  <w:pPr>
                    <w:pStyle w:val="49"/>
                    <w:bidi w:val="0"/>
                    <w:jc w:val="center"/>
                    <w:rPr>
                      <w:rFonts w:hint="default"/>
                      <w:color w:val="auto"/>
                      <w:highlight w:val="none"/>
                      <w:vertAlign w:val="baseline"/>
                      <w:lang w:val="en-US" w:eastAsia="zh-CN"/>
                    </w:rPr>
                  </w:pPr>
                </w:p>
              </w:tc>
              <w:tc>
                <w:tcPr>
                  <w:tcW w:w="1695" w:type="dxa"/>
                  <w:vAlign w:val="center"/>
                </w:tcPr>
                <w:p w14:paraId="04A69DC4">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储罐围堰区</w:t>
                  </w:r>
                </w:p>
              </w:tc>
              <w:tc>
                <w:tcPr>
                  <w:tcW w:w="3529" w:type="dxa"/>
                  <w:vAlign w:val="center"/>
                </w:tcPr>
                <w:p w14:paraId="5A84DC41">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设置防渗围堰，围堰有效容积不小于区内最大储罐容积的110%；</w:t>
                  </w:r>
                  <w:r>
                    <w:rPr>
                      <w:rFonts w:hint="default"/>
                      <w:color w:val="auto"/>
                      <w:highlight w:val="none"/>
                      <w:vertAlign w:val="baseline"/>
                      <w:lang w:val="en-US" w:eastAsia="zh-CN"/>
                    </w:rPr>
                    <w:t>防渗层为至少1m厚黏土层（渗透系数≤10</w:t>
                  </w:r>
                  <w:r>
                    <w:rPr>
                      <w:rFonts w:hint="default"/>
                      <w:color w:val="auto"/>
                      <w:highlight w:val="none"/>
                      <w:vertAlign w:val="superscript"/>
                      <w:lang w:val="en-US" w:eastAsia="zh-CN"/>
                    </w:rPr>
                    <w:t>-7</w:t>
                  </w:r>
                  <w:r>
                    <w:rPr>
                      <w:rFonts w:hint="default"/>
                      <w:color w:val="auto"/>
                      <w:highlight w:val="none"/>
                      <w:vertAlign w:val="baseline"/>
                      <w:lang w:val="en-US" w:eastAsia="zh-CN"/>
                    </w:rPr>
                    <w:t>cm/s）+防渗混凝土+防渗膜（2mm厚HDPE膜）。</w:t>
                  </w:r>
                </w:p>
              </w:tc>
              <w:tc>
                <w:tcPr>
                  <w:tcW w:w="1504" w:type="dxa"/>
                  <w:vMerge w:val="restart"/>
                  <w:vAlign w:val="center"/>
                </w:tcPr>
                <w:p w14:paraId="4B5CA92B">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等效黏土防渗层Mb≥6.0m，渗透系数≤10</w:t>
                  </w:r>
                  <w:r>
                    <w:rPr>
                      <w:rFonts w:hint="default"/>
                      <w:color w:val="auto"/>
                      <w:highlight w:val="none"/>
                      <w:vertAlign w:val="superscript"/>
                      <w:lang w:val="en-US" w:eastAsia="zh-CN"/>
                    </w:rPr>
                    <w:t>-</w:t>
                  </w:r>
                  <w:r>
                    <w:rPr>
                      <w:rFonts w:hint="eastAsia"/>
                      <w:color w:val="auto"/>
                      <w:highlight w:val="none"/>
                      <w:vertAlign w:val="superscript"/>
                      <w:lang w:val="en-US" w:eastAsia="zh-CN"/>
                    </w:rPr>
                    <w:t>7</w:t>
                  </w:r>
                  <w:r>
                    <w:rPr>
                      <w:rFonts w:hint="default"/>
                      <w:color w:val="auto"/>
                      <w:highlight w:val="none"/>
                      <w:vertAlign w:val="baseline"/>
                      <w:lang w:val="en-US" w:eastAsia="zh-CN"/>
                    </w:rPr>
                    <w:t>cm/s</w:t>
                  </w:r>
                </w:p>
              </w:tc>
            </w:tr>
            <w:tr w14:paraId="32FF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continue"/>
                  <w:vAlign w:val="center"/>
                </w:tcPr>
                <w:p w14:paraId="40E9A9AE">
                  <w:pPr>
                    <w:pStyle w:val="49"/>
                    <w:bidi w:val="0"/>
                    <w:jc w:val="center"/>
                    <w:rPr>
                      <w:rFonts w:hint="default"/>
                      <w:color w:val="auto"/>
                      <w:highlight w:val="none"/>
                      <w:vertAlign w:val="baseline"/>
                      <w:lang w:val="en-US" w:eastAsia="zh-CN"/>
                    </w:rPr>
                  </w:pPr>
                </w:p>
              </w:tc>
              <w:tc>
                <w:tcPr>
                  <w:tcW w:w="1695" w:type="dxa"/>
                  <w:vAlign w:val="center"/>
                </w:tcPr>
                <w:p w14:paraId="1004F274">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加臭装置围堰区</w:t>
                  </w:r>
                </w:p>
              </w:tc>
              <w:tc>
                <w:tcPr>
                  <w:tcW w:w="3529" w:type="dxa"/>
                  <w:vAlign w:val="center"/>
                </w:tcPr>
                <w:p w14:paraId="6299406F">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采用防渗混凝土+防渗涂层防渗结构，配套导流收集设施</w:t>
                  </w:r>
                </w:p>
              </w:tc>
              <w:tc>
                <w:tcPr>
                  <w:tcW w:w="1504" w:type="dxa"/>
                  <w:vMerge w:val="continue"/>
                  <w:vAlign w:val="center"/>
                </w:tcPr>
                <w:p w14:paraId="7B8C6411">
                  <w:pPr>
                    <w:pStyle w:val="49"/>
                    <w:bidi w:val="0"/>
                    <w:jc w:val="center"/>
                    <w:rPr>
                      <w:rFonts w:hint="default"/>
                      <w:color w:val="auto"/>
                      <w:highlight w:val="none"/>
                      <w:vertAlign w:val="baseline"/>
                      <w:lang w:val="en-US" w:eastAsia="zh-CN"/>
                    </w:rPr>
                  </w:pPr>
                </w:p>
              </w:tc>
            </w:tr>
            <w:tr w14:paraId="0C77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Merge w:val="continue"/>
                  <w:vAlign w:val="center"/>
                </w:tcPr>
                <w:p w14:paraId="66655F8B">
                  <w:pPr>
                    <w:pStyle w:val="49"/>
                    <w:bidi w:val="0"/>
                    <w:jc w:val="center"/>
                    <w:rPr>
                      <w:rFonts w:hint="default"/>
                      <w:color w:val="auto"/>
                      <w:highlight w:val="none"/>
                      <w:vertAlign w:val="baseline"/>
                      <w:lang w:val="en-US" w:eastAsia="zh-CN"/>
                    </w:rPr>
                  </w:pPr>
                </w:p>
              </w:tc>
              <w:tc>
                <w:tcPr>
                  <w:tcW w:w="1695" w:type="dxa"/>
                  <w:vAlign w:val="center"/>
                </w:tcPr>
                <w:p w14:paraId="7BB96316">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化粪池</w:t>
                  </w:r>
                </w:p>
              </w:tc>
              <w:tc>
                <w:tcPr>
                  <w:tcW w:w="3529" w:type="dxa"/>
                  <w:vAlign w:val="center"/>
                </w:tcPr>
                <w:p w14:paraId="1C9945CE">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整体钢筋混凝土结构，内壁涂刷防渗防腐涂层</w:t>
                  </w:r>
                </w:p>
              </w:tc>
              <w:tc>
                <w:tcPr>
                  <w:tcW w:w="1504" w:type="dxa"/>
                  <w:vMerge w:val="continue"/>
                  <w:vAlign w:val="center"/>
                </w:tcPr>
                <w:p w14:paraId="68239E6D">
                  <w:pPr>
                    <w:pStyle w:val="49"/>
                    <w:bidi w:val="0"/>
                    <w:jc w:val="center"/>
                    <w:rPr>
                      <w:rFonts w:hint="default"/>
                      <w:color w:val="auto"/>
                      <w:highlight w:val="none"/>
                      <w:vertAlign w:val="baseline"/>
                      <w:lang w:val="en-US" w:eastAsia="zh-CN"/>
                    </w:rPr>
                  </w:pPr>
                </w:p>
              </w:tc>
            </w:tr>
            <w:tr w14:paraId="1727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Align w:val="center"/>
                </w:tcPr>
                <w:p w14:paraId="7EB9123E">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一般防渗区</w:t>
                  </w:r>
                </w:p>
              </w:tc>
              <w:tc>
                <w:tcPr>
                  <w:tcW w:w="1695" w:type="dxa"/>
                  <w:vAlign w:val="center"/>
                </w:tcPr>
                <w:p w14:paraId="006A5AA8">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除重点防渗区外的生产区、原料仓库</w:t>
                  </w:r>
                  <w:r>
                    <w:rPr>
                      <w:rFonts w:hint="eastAsia"/>
                      <w:color w:val="auto"/>
                      <w:highlight w:val="none"/>
                      <w:vertAlign w:val="baseline"/>
                      <w:lang w:val="en-US" w:eastAsia="zh-CN"/>
                    </w:rPr>
                    <w:t>（秸秆库房）</w:t>
                  </w:r>
                  <w:r>
                    <w:rPr>
                      <w:rFonts w:hint="default"/>
                      <w:color w:val="auto"/>
                      <w:highlight w:val="none"/>
                      <w:vertAlign w:val="baseline"/>
                      <w:lang w:val="en-US" w:eastAsia="zh-CN"/>
                    </w:rPr>
                    <w:t>、一般固废暂存区、成品库及消防水池等</w:t>
                  </w:r>
                </w:p>
              </w:tc>
              <w:tc>
                <w:tcPr>
                  <w:tcW w:w="3529" w:type="dxa"/>
                  <w:vAlign w:val="center"/>
                </w:tcPr>
                <w:p w14:paraId="618F3996">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采取粘土铺底+防渗混凝土进行防渗</w:t>
                  </w:r>
                </w:p>
              </w:tc>
              <w:tc>
                <w:tcPr>
                  <w:tcW w:w="1504" w:type="dxa"/>
                  <w:vAlign w:val="center"/>
                </w:tcPr>
                <w:p w14:paraId="5FF6A063">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等效黏土防渗层M</w:t>
                  </w:r>
                  <w:r>
                    <w:rPr>
                      <w:rFonts w:hint="default"/>
                      <w:color w:val="auto"/>
                      <w:highlight w:val="none"/>
                      <w:vertAlign w:val="subscript"/>
                      <w:lang w:val="en-US" w:eastAsia="zh-CN"/>
                    </w:rPr>
                    <w:t>b</w:t>
                  </w:r>
                  <w:r>
                    <w:rPr>
                      <w:rFonts w:hint="default"/>
                      <w:color w:val="auto"/>
                      <w:highlight w:val="none"/>
                      <w:vertAlign w:val="baseline"/>
                      <w:lang w:val="en-US" w:eastAsia="zh-CN"/>
                    </w:rPr>
                    <w:t>≥</w:t>
                  </w:r>
                  <w:r>
                    <w:rPr>
                      <w:rFonts w:hint="eastAsia"/>
                      <w:color w:val="auto"/>
                      <w:highlight w:val="none"/>
                      <w:vertAlign w:val="baseline"/>
                      <w:lang w:val="en-US" w:eastAsia="zh-CN"/>
                    </w:rPr>
                    <w:t>1.5</w:t>
                  </w:r>
                  <w:r>
                    <w:rPr>
                      <w:rFonts w:hint="default"/>
                      <w:color w:val="auto"/>
                      <w:highlight w:val="none"/>
                      <w:vertAlign w:val="baseline"/>
                      <w:lang w:val="en-US" w:eastAsia="zh-CN"/>
                    </w:rPr>
                    <w:t>m，渗透系数≤10</w:t>
                  </w:r>
                  <w:r>
                    <w:rPr>
                      <w:rFonts w:hint="default"/>
                      <w:color w:val="auto"/>
                      <w:highlight w:val="none"/>
                      <w:vertAlign w:val="superscript"/>
                      <w:lang w:val="en-US" w:eastAsia="zh-CN"/>
                    </w:rPr>
                    <w:t>-</w:t>
                  </w:r>
                  <w:r>
                    <w:rPr>
                      <w:rFonts w:hint="eastAsia"/>
                      <w:color w:val="auto"/>
                      <w:highlight w:val="none"/>
                      <w:vertAlign w:val="superscript"/>
                      <w:lang w:val="en-US" w:eastAsia="zh-CN"/>
                    </w:rPr>
                    <w:t>7</w:t>
                  </w:r>
                  <w:r>
                    <w:rPr>
                      <w:rFonts w:hint="default"/>
                      <w:color w:val="auto"/>
                      <w:highlight w:val="none"/>
                      <w:vertAlign w:val="baseline"/>
                      <w:lang w:val="en-US" w:eastAsia="zh-CN"/>
                    </w:rPr>
                    <w:t>cm/s</w:t>
                  </w:r>
                </w:p>
              </w:tc>
            </w:tr>
            <w:tr w14:paraId="07A6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8" w:type="dxa"/>
                  <w:vAlign w:val="center"/>
                </w:tcPr>
                <w:p w14:paraId="7F277198">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简单防渗区</w:t>
                  </w:r>
                </w:p>
              </w:tc>
              <w:tc>
                <w:tcPr>
                  <w:tcW w:w="1695" w:type="dxa"/>
                  <w:vAlign w:val="center"/>
                </w:tcPr>
                <w:p w14:paraId="717938D1">
                  <w:pPr>
                    <w:pStyle w:val="49"/>
                    <w:bidi w:val="0"/>
                    <w:jc w:val="center"/>
                    <w:rPr>
                      <w:rFonts w:hint="default"/>
                      <w:color w:val="auto"/>
                      <w:highlight w:val="none"/>
                      <w:vertAlign w:val="baseline"/>
                      <w:lang w:val="en-US" w:eastAsia="zh-CN"/>
                    </w:rPr>
                  </w:pPr>
                  <w:r>
                    <w:rPr>
                      <w:rFonts w:hint="default"/>
                      <w:color w:val="auto"/>
                      <w:highlight w:val="none"/>
                      <w:vertAlign w:val="baseline"/>
                      <w:lang w:val="en-US" w:eastAsia="zh-CN"/>
                    </w:rPr>
                    <w:t>站房、厂区道路等</w:t>
                  </w:r>
                </w:p>
              </w:tc>
              <w:tc>
                <w:tcPr>
                  <w:tcW w:w="3529" w:type="dxa"/>
                  <w:vAlign w:val="center"/>
                </w:tcPr>
                <w:p w14:paraId="07E89DA4">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水泥硬化</w:t>
                  </w:r>
                </w:p>
              </w:tc>
              <w:tc>
                <w:tcPr>
                  <w:tcW w:w="1504" w:type="dxa"/>
                  <w:vAlign w:val="center"/>
                </w:tcPr>
                <w:p w14:paraId="620F046B">
                  <w:pPr>
                    <w:pStyle w:val="49"/>
                    <w:bidi w:val="0"/>
                    <w:jc w:val="center"/>
                    <w:rPr>
                      <w:rFonts w:hint="default"/>
                      <w:color w:val="auto"/>
                      <w:highlight w:val="none"/>
                      <w:vertAlign w:val="baseline"/>
                      <w:lang w:val="en-US" w:eastAsia="zh-CN"/>
                    </w:rPr>
                  </w:pPr>
                  <w:r>
                    <w:rPr>
                      <w:rFonts w:hint="eastAsia"/>
                      <w:color w:val="auto"/>
                      <w:highlight w:val="none"/>
                      <w:vertAlign w:val="baseline"/>
                      <w:lang w:val="en-US" w:eastAsia="zh-CN"/>
                    </w:rPr>
                    <w:t>一般地面硬化</w:t>
                  </w:r>
                </w:p>
              </w:tc>
            </w:tr>
          </w:tbl>
          <w:p w14:paraId="5413EBFC">
            <w:pPr>
              <w:pStyle w:val="11"/>
              <w:bidi w:val="0"/>
              <w:rPr>
                <w:rFonts w:hint="default"/>
                <w:color w:val="auto"/>
                <w:highlight w:val="none"/>
                <w:lang w:val="en-US" w:eastAsia="zh-CN"/>
              </w:rPr>
            </w:pPr>
            <w:r>
              <w:rPr>
                <w:rFonts w:hint="eastAsia"/>
                <w:color w:val="auto"/>
                <w:highlight w:val="none"/>
                <w:lang w:val="en-US" w:eastAsia="zh-CN"/>
              </w:rPr>
              <w:t>综上，本项目严格落实以上防渗措施后</w:t>
            </w:r>
            <w:r>
              <w:rPr>
                <w:rFonts w:hint="default"/>
                <w:color w:val="auto"/>
                <w:highlight w:val="none"/>
                <w:lang w:val="en-US" w:eastAsia="zh-CN"/>
              </w:rPr>
              <w:t>，项目对周围地下水及土壤环境影响较小。</w:t>
            </w:r>
          </w:p>
          <w:p w14:paraId="63DC4289">
            <w:pPr>
              <w:pStyle w:val="11"/>
              <w:numPr>
                <w:ilvl w:val="0"/>
                <w:numId w:val="11"/>
              </w:numPr>
              <w:bidi w:val="0"/>
              <w:rPr>
                <w:rFonts w:hint="default"/>
                <w:b/>
                <w:bCs/>
                <w:color w:val="auto"/>
                <w:highlight w:val="none"/>
                <w:lang w:val="en-US" w:eastAsia="zh-CN"/>
              </w:rPr>
            </w:pPr>
            <w:r>
              <w:rPr>
                <w:rFonts w:hint="eastAsia"/>
                <w:b/>
                <w:bCs/>
                <w:color w:val="auto"/>
                <w:highlight w:val="none"/>
                <w:lang w:val="en-US" w:eastAsia="zh-CN"/>
              </w:rPr>
              <w:t>环境风险分析</w:t>
            </w:r>
          </w:p>
          <w:p w14:paraId="612C77C4">
            <w:pPr>
              <w:pStyle w:val="11"/>
              <w:numPr>
                <w:ilvl w:val="0"/>
                <w:numId w:val="13"/>
              </w:numPr>
              <w:bidi w:val="0"/>
              <w:rPr>
                <w:rFonts w:hint="eastAsia"/>
                <w:color w:val="auto"/>
                <w:highlight w:val="none"/>
                <w:lang w:val="en-US" w:eastAsia="zh-CN"/>
              </w:rPr>
            </w:pPr>
            <w:r>
              <w:rPr>
                <w:rFonts w:hint="eastAsia"/>
                <w:color w:val="auto"/>
                <w:highlight w:val="none"/>
                <w:lang w:val="en-US" w:eastAsia="zh-CN"/>
              </w:rPr>
              <w:t>环境风险物质调查</w:t>
            </w:r>
          </w:p>
          <w:p w14:paraId="3D52F4AE">
            <w:pPr>
              <w:pStyle w:val="11"/>
              <w:bidi w:val="0"/>
              <w:rPr>
                <w:bCs/>
                <w:color w:val="auto"/>
                <w:kern w:val="0"/>
                <w:sz w:val="24"/>
                <w:szCs w:val="22"/>
                <w:highlight w:val="none"/>
              </w:rPr>
            </w:pPr>
            <w:r>
              <w:rPr>
                <w:bCs/>
                <w:color w:val="auto"/>
                <w:kern w:val="0"/>
                <w:sz w:val="24"/>
                <w:highlight w:val="none"/>
              </w:rPr>
              <w:t>本项目</w:t>
            </w:r>
            <w:r>
              <w:rPr>
                <w:rFonts w:hint="eastAsia"/>
                <w:bCs/>
                <w:color w:val="auto"/>
                <w:kern w:val="0"/>
                <w:sz w:val="24"/>
                <w:highlight w:val="none"/>
                <w:lang w:val="en-US" w:eastAsia="zh-CN"/>
              </w:rPr>
              <w:t>中间产物为秸秆气以及外购的压缩天然气（CNG），其主要成分为甲烷，是</w:t>
            </w:r>
            <w:r>
              <w:rPr>
                <w:bCs/>
                <w:color w:val="auto"/>
                <w:kern w:val="0"/>
                <w:sz w:val="24"/>
                <w:highlight w:val="none"/>
              </w:rPr>
              <w:t>易燃易爆气体，具有较大的潜在危险性。</w:t>
            </w:r>
            <w:r>
              <w:rPr>
                <w:rFonts w:hint="eastAsia"/>
                <w:bCs/>
                <w:color w:val="auto"/>
                <w:kern w:val="0"/>
                <w:sz w:val="24"/>
                <w:highlight w:val="none"/>
                <w:lang w:eastAsia="zh-CN"/>
              </w:rPr>
              <w:t>另外</w:t>
            </w:r>
            <w:r>
              <w:rPr>
                <w:bCs/>
                <w:color w:val="auto"/>
                <w:kern w:val="0"/>
                <w:sz w:val="24"/>
                <w:szCs w:val="22"/>
                <w:highlight w:val="none"/>
              </w:rPr>
              <w:t>粗木焦油、粗木醋液中含有少量有毒有害物质。在突发性的事故状态下，如不采取有效措施，一旦发生火灾、爆炸、泄漏等事故，势必将危及人群和周围自然环境。根据《建设项目环境风险评价技术导则》（HJ169-2018），</w:t>
            </w:r>
            <w:r>
              <w:rPr>
                <w:rFonts w:hint="eastAsia"/>
                <w:bCs/>
                <w:color w:val="auto"/>
                <w:kern w:val="0"/>
                <w:sz w:val="24"/>
                <w:szCs w:val="22"/>
                <w:highlight w:val="none"/>
                <w:lang w:val="en-US" w:eastAsia="zh-CN"/>
              </w:rPr>
              <w:t>秸秆气和天然气</w:t>
            </w:r>
            <w:r>
              <w:rPr>
                <w:bCs/>
                <w:color w:val="auto"/>
                <w:kern w:val="0"/>
                <w:sz w:val="24"/>
                <w:szCs w:val="22"/>
                <w:highlight w:val="none"/>
              </w:rPr>
              <w:t>属于涉气风险物质，粗木醋液、粗木焦油</w:t>
            </w:r>
            <w:r>
              <w:rPr>
                <w:rFonts w:hint="eastAsia"/>
                <w:bCs/>
                <w:color w:val="auto"/>
                <w:kern w:val="0"/>
                <w:sz w:val="24"/>
                <w:szCs w:val="22"/>
                <w:highlight w:val="none"/>
                <w:lang w:eastAsia="zh-CN"/>
              </w:rPr>
              <w:t>属于</w:t>
            </w:r>
            <w:r>
              <w:rPr>
                <w:bCs/>
                <w:color w:val="auto"/>
                <w:kern w:val="0"/>
                <w:sz w:val="24"/>
                <w:szCs w:val="22"/>
                <w:highlight w:val="none"/>
              </w:rPr>
              <w:t>涉气、涉水风险物质。</w:t>
            </w:r>
          </w:p>
          <w:p w14:paraId="0C6ACF14">
            <w:pPr>
              <w:pStyle w:val="11"/>
              <w:numPr>
                <w:ilvl w:val="0"/>
                <w:numId w:val="13"/>
              </w:numPr>
              <w:bidi w:val="0"/>
              <w:rPr>
                <w:rFonts w:hint="default"/>
                <w:color w:val="auto"/>
                <w:highlight w:val="none"/>
                <w:lang w:val="en-US" w:eastAsia="zh-CN"/>
              </w:rPr>
            </w:pPr>
            <w:r>
              <w:rPr>
                <w:rFonts w:hint="eastAsia"/>
                <w:color w:val="auto"/>
                <w:highlight w:val="none"/>
                <w:lang w:val="en-US" w:eastAsia="zh-CN"/>
              </w:rPr>
              <w:t>环境风险潜势判定</w:t>
            </w:r>
          </w:p>
          <w:p w14:paraId="5F17FEEA">
            <w:pPr>
              <w:pStyle w:val="11"/>
              <w:bidi w:val="0"/>
              <w:rPr>
                <w:rFonts w:hint="default"/>
                <w:color w:val="auto"/>
                <w:highlight w:val="none"/>
                <w:lang w:val="en-US" w:eastAsia="zh-CN"/>
              </w:rPr>
            </w:pPr>
            <w:r>
              <w:rPr>
                <w:rFonts w:hint="default"/>
                <w:color w:val="auto"/>
                <w:highlight w:val="none"/>
                <w:lang w:val="en-US" w:eastAsia="zh-CN"/>
              </w:rPr>
              <w:t>根据《建设项目环境风险评价技术导则》HJ169-2018中附录C</w:t>
            </w:r>
            <w:r>
              <w:rPr>
                <w:rFonts w:hint="eastAsia"/>
                <w:color w:val="auto"/>
                <w:highlight w:val="none"/>
                <w:lang w:val="en-US" w:eastAsia="zh-CN"/>
              </w:rPr>
              <w:t>和《危险化学品重大危险源辨识》（GB18218-2018）</w:t>
            </w:r>
            <w:r>
              <w:rPr>
                <w:rFonts w:hint="default"/>
                <w:color w:val="auto"/>
                <w:highlight w:val="none"/>
                <w:lang w:val="en-US" w:eastAsia="zh-CN"/>
              </w:rPr>
              <w:t>可知：计算本项目所涉及的每种危险物质在厂界内的最大存在总量与其在HJ169-2018附录B中对应的临界量的比值Q。</w:t>
            </w:r>
          </w:p>
          <w:p w14:paraId="7BB54AB7">
            <w:pPr>
              <w:pStyle w:val="11"/>
              <w:bidi w:val="0"/>
              <w:rPr>
                <w:rFonts w:hint="default"/>
                <w:color w:val="auto"/>
                <w:highlight w:val="none"/>
                <w:lang w:val="en-US" w:eastAsia="zh-CN"/>
              </w:rPr>
            </w:pPr>
            <w:r>
              <w:rPr>
                <w:rFonts w:hint="default"/>
                <w:color w:val="auto"/>
                <w:highlight w:val="none"/>
                <w:lang w:val="en-US" w:eastAsia="zh-CN"/>
              </w:rPr>
              <w:t>当只涉及一种危险物质时，计算该物质的总量与其临界量比值，即为Q；</w:t>
            </w:r>
          </w:p>
          <w:p w14:paraId="3BC06DDD">
            <w:pPr>
              <w:pStyle w:val="11"/>
              <w:bidi w:val="0"/>
              <w:rPr>
                <w:rFonts w:hint="default"/>
                <w:color w:val="auto"/>
                <w:highlight w:val="none"/>
                <w:lang w:val="en-US" w:eastAsia="zh-CN"/>
              </w:rPr>
            </w:pPr>
            <w:r>
              <w:rPr>
                <w:rFonts w:hint="default"/>
                <w:color w:val="auto"/>
                <w:highlight w:val="none"/>
                <w:lang w:val="en-US" w:eastAsia="zh-CN"/>
              </w:rPr>
              <w:t>当存在多种危险物质时，则按式（C.1）计算物质总量与其临界量比值（Q）；</w:t>
            </w:r>
          </w:p>
          <w:p w14:paraId="68C88CE8">
            <w:pPr>
              <w:bidi w:val="0"/>
              <w:rPr>
                <w:rFonts w:hint="default"/>
                <w:color w:val="auto"/>
                <w:highlight w:val="none"/>
                <w:lang w:val="en-US" w:eastAsia="zh-CN"/>
              </w:rPr>
            </w:pPr>
            <m:oMathPara>
              <m:oMath>
                <m:r>
                  <m:rPr>
                    <m:sty m:val="p"/>
                  </m:rPr>
                  <w:rPr>
                    <w:rFonts w:hint="default" w:ascii="Cambria Math" w:hAnsi="Cambria Math"/>
                    <w:color w:val="auto"/>
                    <w:kern w:val="2"/>
                    <w:sz w:val="24"/>
                    <w:szCs w:val="24"/>
                    <w:highlight w:val="none"/>
                    <w:lang w:val="en-US" w:eastAsia="zh-CN" w:bidi="ar-SA"/>
                  </w:rPr>
                  <m:t>Q=</m:t>
                </m:r>
                <m:f>
                  <m:fPr>
                    <m:ctrlPr>
                      <w:rPr>
                        <w:rFonts w:hint="default" w:ascii="Cambria Math" w:hAnsi="Cambria Math"/>
                        <w:color w:val="auto"/>
                        <w:kern w:val="2"/>
                        <w:sz w:val="24"/>
                        <w:szCs w:val="24"/>
                        <w:highlight w:val="none"/>
                        <w:lang w:val="en-US" w:eastAsia="zh-CN" w:bidi="ar-SA"/>
                      </w:rPr>
                    </m:ctrlPr>
                  </m:fPr>
                  <m:num>
                    <m:sSub>
                      <m:sSubPr>
                        <m:ctrlPr>
                          <w:rPr>
                            <w:rFonts w:hint="default" w:ascii="Cambria Math" w:hAnsi="Cambria Math"/>
                            <w:color w:val="auto"/>
                            <w:kern w:val="2"/>
                            <w:sz w:val="24"/>
                            <w:szCs w:val="24"/>
                            <w:highlight w:val="none"/>
                            <w:lang w:val="en-US" w:eastAsia="zh-CN" w:bidi="ar-SA"/>
                          </w:rPr>
                        </m:ctrlPr>
                      </m:sSubPr>
                      <m:e>
                        <m:r>
                          <m:rPr>
                            <m:sty m:val="p"/>
                          </m:rPr>
                          <w:rPr>
                            <w:rFonts w:hint="eastAsia"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default" w:ascii="Cambria Math" w:hAnsi="Cambria Math"/>
                            <w:color w:val="auto"/>
                            <w:kern w:val="2"/>
                            <w:sz w:val="24"/>
                            <w:szCs w:val="24"/>
                            <w:highlight w:val="none"/>
                            <w:lang w:val="en-US" w:eastAsia="zh-CN" w:bidi="ar-SA"/>
                          </w:rPr>
                          <m:t>1</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num>
                  <m:den>
                    <m:sSub>
                      <m:sSubPr>
                        <m:ctrlPr>
                          <w:rPr>
                            <w:rFonts w:hint="default" w:ascii="Cambria Math" w:hAnsi="Cambria Math"/>
                            <w:color w:val="auto"/>
                            <w:kern w:val="2"/>
                            <w:sz w:val="24"/>
                            <w:szCs w:val="24"/>
                            <w:highlight w:val="none"/>
                            <w:lang w:val="en-US" w:eastAsia="zh-CN" w:bidi="ar-SA"/>
                          </w:rPr>
                        </m:ctrlPr>
                      </m:sSubPr>
                      <m:e>
                        <m:r>
                          <m:rPr>
                            <m:sty m:val="p"/>
                          </m:rPr>
                          <w:rPr>
                            <w:rFonts w:hint="default"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default" w:ascii="Cambria Math" w:hAnsi="Cambria Math"/>
                            <w:color w:val="auto"/>
                            <w:kern w:val="2"/>
                            <w:sz w:val="24"/>
                            <w:szCs w:val="24"/>
                            <w:highlight w:val="none"/>
                            <w:lang w:val="en-US" w:eastAsia="zh-CN" w:bidi="ar-SA"/>
                          </w:rPr>
                          <m:t>1</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den>
                </m:f>
                <m:r>
                  <m:rPr>
                    <m:sty m:val="p"/>
                  </m:rPr>
                  <w:rPr>
                    <w:rFonts w:hint="default" w:ascii="Cambria Math" w:hAnsi="Cambria Math"/>
                    <w:color w:val="auto"/>
                    <w:kern w:val="2"/>
                    <w:sz w:val="24"/>
                    <w:szCs w:val="24"/>
                    <w:highlight w:val="none"/>
                    <w:lang w:val="en-US" w:eastAsia="zh-CN" w:bidi="ar-SA"/>
                  </w:rPr>
                  <m:t>+</m:t>
                </m:r>
                <m:f>
                  <m:fPr>
                    <m:ctrlPr>
                      <w:rPr>
                        <w:rFonts w:hint="default" w:ascii="Cambria Math" w:hAnsi="Cambria Math"/>
                        <w:color w:val="auto"/>
                        <w:kern w:val="2"/>
                        <w:sz w:val="24"/>
                        <w:szCs w:val="24"/>
                        <w:highlight w:val="none"/>
                        <w:lang w:val="en-US" w:eastAsia="zh-CN" w:bidi="ar-SA"/>
                      </w:rPr>
                    </m:ctrlPr>
                  </m:fPr>
                  <m:num>
                    <m:sSub>
                      <m:sSubPr>
                        <m:ctrlPr>
                          <w:rPr>
                            <w:rFonts w:hint="default" w:ascii="Cambria Math" w:hAnsi="Cambria Math"/>
                            <w:color w:val="auto"/>
                            <w:kern w:val="2"/>
                            <w:sz w:val="24"/>
                            <w:szCs w:val="24"/>
                            <w:highlight w:val="none"/>
                            <w:lang w:val="en-US" w:eastAsia="zh-CN" w:bidi="ar-SA"/>
                          </w:rPr>
                        </m:ctrlPr>
                      </m:sSubPr>
                      <m:e>
                        <m:r>
                          <m:rPr>
                            <m:sty m:val="p"/>
                          </m:rPr>
                          <w:rPr>
                            <w:rFonts w:hint="eastAsia"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default" w:ascii="Cambria Math" w:hAnsi="Cambria Math"/>
                            <w:color w:val="auto"/>
                            <w:kern w:val="2"/>
                            <w:sz w:val="24"/>
                            <w:szCs w:val="24"/>
                            <w:highlight w:val="none"/>
                            <w:lang w:val="en-US" w:eastAsia="zh-CN" w:bidi="ar-SA"/>
                          </w:rPr>
                          <m:t>2</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num>
                  <m:den>
                    <m:sSub>
                      <m:sSubPr>
                        <m:ctrlPr>
                          <w:rPr>
                            <w:rFonts w:hint="default" w:ascii="Cambria Math" w:hAnsi="Cambria Math"/>
                            <w:color w:val="auto"/>
                            <w:kern w:val="2"/>
                            <w:sz w:val="24"/>
                            <w:szCs w:val="24"/>
                            <w:highlight w:val="none"/>
                            <w:lang w:val="en-US" w:eastAsia="zh-CN" w:bidi="ar-SA"/>
                          </w:rPr>
                        </m:ctrlPr>
                      </m:sSubPr>
                      <m:e>
                        <m:r>
                          <m:rPr>
                            <m:sty m:val="p"/>
                          </m:rPr>
                          <w:rPr>
                            <w:rFonts w:hint="default"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default" w:ascii="Cambria Math" w:hAnsi="Cambria Math"/>
                            <w:color w:val="auto"/>
                            <w:kern w:val="2"/>
                            <w:sz w:val="24"/>
                            <w:szCs w:val="24"/>
                            <w:highlight w:val="none"/>
                            <w:lang w:val="en-US" w:eastAsia="zh-CN" w:bidi="ar-SA"/>
                          </w:rPr>
                          <m:t>2</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den>
                </m:f>
                <m:r>
                  <m:rPr>
                    <m:sty m:val="p"/>
                  </m:rPr>
                  <w:rPr>
                    <w:rFonts w:hint="default" w:ascii="Cambria Math" w:hAnsi="Cambria Math"/>
                    <w:color w:val="auto"/>
                    <w:kern w:val="2"/>
                    <w:sz w:val="24"/>
                    <w:szCs w:val="24"/>
                    <w:highlight w:val="none"/>
                    <w:lang w:val="en-US" w:eastAsia="zh-CN" w:bidi="ar-SA"/>
                  </w:rPr>
                  <m:t>+</m:t>
                </m:r>
                <m:r>
                  <m:rPr>
                    <m:sty m:val="p"/>
                  </m:rPr>
                  <w:rPr>
                    <w:rFonts w:ascii="Cambria Math" w:hAnsi="Cambria Math"/>
                    <w:color w:val="auto"/>
                    <w:kern w:val="2"/>
                    <w:sz w:val="24"/>
                    <w:szCs w:val="24"/>
                    <w:highlight w:val="none"/>
                    <w:lang w:val="en-US" w:bidi="ar-SA"/>
                  </w:rPr>
                  <m:t>⋯</m:t>
                </m:r>
                <m:f>
                  <m:fPr>
                    <m:ctrlPr>
                      <w:rPr>
                        <w:rFonts w:hint="default" w:ascii="Cambria Math" w:hAnsi="Cambria Math"/>
                        <w:color w:val="auto"/>
                        <w:kern w:val="2"/>
                        <w:sz w:val="24"/>
                        <w:szCs w:val="24"/>
                        <w:highlight w:val="none"/>
                        <w:lang w:val="en-US" w:eastAsia="zh-CN" w:bidi="ar-SA"/>
                      </w:rPr>
                    </m:ctrlPr>
                  </m:fPr>
                  <m:num>
                    <m:sSub>
                      <m:sSubPr>
                        <m:ctrlPr>
                          <w:rPr>
                            <w:rFonts w:hint="default" w:ascii="Cambria Math" w:hAnsi="Cambria Math"/>
                            <w:color w:val="auto"/>
                            <w:kern w:val="2"/>
                            <w:sz w:val="24"/>
                            <w:szCs w:val="24"/>
                            <w:highlight w:val="none"/>
                            <w:lang w:val="en-US" w:eastAsia="zh-CN" w:bidi="ar-SA"/>
                          </w:rPr>
                        </m:ctrlPr>
                      </m:sSubPr>
                      <m:e>
                        <m:r>
                          <m:rPr>
                            <m:sty m:val="p"/>
                          </m:rPr>
                          <w:rPr>
                            <w:rFonts w:hint="eastAsia"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eastAsia" w:ascii="Cambria Math" w:hAnsi="Cambria Math"/>
                            <w:color w:val="auto"/>
                            <w:kern w:val="2"/>
                            <w:sz w:val="24"/>
                            <w:szCs w:val="24"/>
                            <w:highlight w:val="none"/>
                            <w:lang w:val="en-US" w:eastAsia="zh-CN" w:bidi="ar-SA"/>
                          </w:rPr>
                          <m:t>n</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num>
                  <m:den>
                    <m:sSub>
                      <m:sSubPr>
                        <m:ctrlPr>
                          <w:rPr>
                            <w:rFonts w:hint="default" w:ascii="Cambria Math" w:hAnsi="Cambria Math"/>
                            <w:color w:val="auto"/>
                            <w:kern w:val="2"/>
                            <w:sz w:val="24"/>
                            <w:szCs w:val="24"/>
                            <w:highlight w:val="none"/>
                            <w:lang w:val="en-US" w:eastAsia="zh-CN" w:bidi="ar-SA"/>
                          </w:rPr>
                        </m:ctrlPr>
                      </m:sSubPr>
                      <m:e>
                        <m:r>
                          <m:rPr>
                            <m:sty m:val="p"/>
                          </m:rPr>
                          <w:rPr>
                            <w:rFonts w:hint="default" w:ascii="Cambria Math" w:hAnsi="Cambria Math"/>
                            <w:color w:val="auto"/>
                            <w:kern w:val="2"/>
                            <w:sz w:val="24"/>
                            <w:szCs w:val="24"/>
                            <w:highlight w:val="none"/>
                            <w:lang w:val="en-US" w:eastAsia="zh-CN" w:bidi="ar-SA"/>
                          </w:rPr>
                          <m:t>Q</m:t>
                        </m:r>
                        <m:ctrlPr>
                          <w:rPr>
                            <w:rFonts w:hint="default" w:ascii="Cambria Math" w:hAnsi="Cambria Math"/>
                            <w:color w:val="auto"/>
                            <w:kern w:val="2"/>
                            <w:sz w:val="24"/>
                            <w:szCs w:val="24"/>
                            <w:highlight w:val="none"/>
                            <w:lang w:val="en-US" w:eastAsia="zh-CN" w:bidi="ar-SA"/>
                          </w:rPr>
                        </m:ctrlPr>
                      </m:e>
                      <m:sub>
                        <m:r>
                          <m:rPr>
                            <m:sty m:val="p"/>
                          </m:rPr>
                          <w:rPr>
                            <w:rFonts w:hint="eastAsia" w:ascii="Cambria Math" w:hAnsi="Cambria Math"/>
                            <w:color w:val="auto"/>
                            <w:kern w:val="2"/>
                            <w:sz w:val="24"/>
                            <w:szCs w:val="24"/>
                            <w:highlight w:val="none"/>
                            <w:lang w:val="en-US" w:eastAsia="zh-CN" w:bidi="ar-SA"/>
                          </w:rPr>
                          <m:t>n</m:t>
                        </m:r>
                        <m:ctrlPr>
                          <w:rPr>
                            <w:rFonts w:hint="default" w:ascii="Cambria Math" w:hAnsi="Cambria Math"/>
                            <w:color w:val="auto"/>
                            <w:kern w:val="2"/>
                            <w:sz w:val="24"/>
                            <w:szCs w:val="24"/>
                            <w:highlight w:val="none"/>
                            <w:lang w:val="en-US" w:eastAsia="zh-CN" w:bidi="ar-SA"/>
                          </w:rPr>
                        </m:ctrlPr>
                      </m:sub>
                    </m:sSub>
                    <m:ctrlPr>
                      <w:rPr>
                        <w:rFonts w:hint="default" w:ascii="Cambria Math" w:hAnsi="Cambria Math"/>
                        <w:color w:val="auto"/>
                        <w:kern w:val="2"/>
                        <w:sz w:val="24"/>
                        <w:szCs w:val="24"/>
                        <w:highlight w:val="none"/>
                        <w:lang w:val="en-US" w:eastAsia="zh-CN" w:bidi="ar-SA"/>
                      </w:rPr>
                    </m:ctrlPr>
                  </m:den>
                </m:f>
              </m:oMath>
            </m:oMathPara>
          </w:p>
          <w:p w14:paraId="4972E1C9">
            <w:pPr>
              <w:pStyle w:val="11"/>
              <w:bidi w:val="0"/>
              <w:rPr>
                <w:rFonts w:hint="default"/>
                <w:color w:val="auto"/>
                <w:highlight w:val="none"/>
                <w:lang w:val="en-US" w:eastAsia="zh-CN"/>
              </w:rPr>
            </w:pPr>
            <w:r>
              <w:rPr>
                <w:rFonts w:hint="default"/>
                <w:color w:val="auto"/>
                <w:highlight w:val="none"/>
                <w:lang w:val="en-US" w:eastAsia="zh-CN"/>
              </w:rPr>
              <w:t>式中</w:t>
            </w:r>
            <w:r>
              <w:rPr>
                <w:rFonts w:hint="eastAsia"/>
                <w:color w:val="auto"/>
                <w:highlight w:val="none"/>
                <w:lang w:val="en-US" w:eastAsia="zh-CN"/>
              </w:rPr>
              <w:t>：</w:t>
            </w:r>
            <w:r>
              <w:rPr>
                <w:rFonts w:hint="default"/>
                <w:color w:val="auto"/>
                <w:highlight w:val="none"/>
                <w:lang w:val="en-US" w:eastAsia="zh-CN"/>
              </w:rPr>
              <w:t>q</w:t>
            </w:r>
            <w:r>
              <w:rPr>
                <w:rFonts w:hint="default"/>
                <w:color w:val="auto"/>
                <w:highlight w:val="none"/>
                <w:vertAlign w:val="subscript"/>
                <w:lang w:val="en-US" w:eastAsia="zh-CN"/>
              </w:rPr>
              <w:t>1</w:t>
            </w:r>
            <w:r>
              <w:rPr>
                <w:rFonts w:hint="default"/>
                <w:color w:val="auto"/>
                <w:highlight w:val="none"/>
                <w:lang w:val="en-US" w:eastAsia="zh-CN"/>
              </w:rPr>
              <w:t>，q</w:t>
            </w:r>
            <w:r>
              <w:rPr>
                <w:rFonts w:hint="default"/>
                <w:color w:val="auto"/>
                <w:highlight w:val="none"/>
                <w:vertAlign w:val="subscript"/>
                <w:lang w:val="en-US" w:eastAsia="zh-CN"/>
              </w:rPr>
              <w:t>2</w:t>
            </w:r>
            <w:r>
              <w:rPr>
                <w:rFonts w:hint="default"/>
                <w:color w:val="auto"/>
                <w:highlight w:val="none"/>
                <w:lang w:val="en-US" w:eastAsia="zh-CN"/>
              </w:rPr>
              <w:t>，...，q</w:t>
            </w:r>
            <w:r>
              <w:rPr>
                <w:rFonts w:hint="default"/>
                <w:color w:val="auto"/>
                <w:highlight w:val="none"/>
                <w:vertAlign w:val="subscript"/>
                <w:lang w:val="en-US" w:eastAsia="zh-CN"/>
              </w:rPr>
              <w:t>n</w:t>
            </w:r>
            <w:r>
              <w:rPr>
                <w:rFonts w:hint="default"/>
                <w:color w:val="auto"/>
                <w:highlight w:val="none"/>
                <w:lang w:val="en-US" w:eastAsia="zh-CN"/>
              </w:rPr>
              <w:t>——每种危险物质的最大存在总量，t；</w:t>
            </w:r>
          </w:p>
          <w:p w14:paraId="1DA6BAC5">
            <w:pPr>
              <w:pStyle w:val="11"/>
              <w:bidi w:val="0"/>
              <w:ind w:firstLine="1200" w:firstLineChars="500"/>
              <w:rPr>
                <w:rFonts w:hint="default"/>
                <w:color w:val="auto"/>
                <w:highlight w:val="none"/>
                <w:lang w:val="en-US" w:eastAsia="zh-CN"/>
              </w:rPr>
            </w:pPr>
            <w:r>
              <w:rPr>
                <w:rFonts w:hint="default"/>
                <w:color w:val="auto"/>
                <w:highlight w:val="none"/>
                <w:lang w:val="en-US" w:eastAsia="zh-CN"/>
              </w:rPr>
              <w:t>Q</w:t>
            </w:r>
            <w:r>
              <w:rPr>
                <w:rFonts w:hint="default"/>
                <w:color w:val="auto"/>
                <w:highlight w:val="none"/>
                <w:vertAlign w:val="subscript"/>
                <w:lang w:val="en-US" w:eastAsia="zh-CN"/>
              </w:rPr>
              <w:t>1</w:t>
            </w:r>
            <w:r>
              <w:rPr>
                <w:rFonts w:hint="default"/>
                <w:color w:val="auto"/>
                <w:highlight w:val="none"/>
                <w:lang w:val="en-US" w:eastAsia="zh-CN"/>
              </w:rPr>
              <w:t>，Q</w:t>
            </w:r>
            <w:r>
              <w:rPr>
                <w:rFonts w:hint="default"/>
                <w:color w:val="auto"/>
                <w:highlight w:val="none"/>
                <w:vertAlign w:val="subscript"/>
                <w:lang w:val="en-US" w:eastAsia="zh-CN"/>
              </w:rPr>
              <w:t>2</w:t>
            </w:r>
            <w:r>
              <w:rPr>
                <w:rFonts w:hint="default"/>
                <w:color w:val="auto"/>
                <w:highlight w:val="none"/>
                <w:lang w:val="en-US" w:eastAsia="zh-CN"/>
              </w:rPr>
              <w:t>，...，Q</w:t>
            </w:r>
            <w:r>
              <w:rPr>
                <w:rFonts w:hint="default"/>
                <w:color w:val="auto"/>
                <w:highlight w:val="none"/>
                <w:vertAlign w:val="subscript"/>
                <w:lang w:val="en-US" w:eastAsia="zh-CN"/>
              </w:rPr>
              <w:t>n</w:t>
            </w:r>
            <w:r>
              <w:rPr>
                <w:rFonts w:hint="default"/>
                <w:color w:val="auto"/>
                <w:highlight w:val="none"/>
                <w:lang w:val="en-US" w:eastAsia="zh-CN"/>
              </w:rPr>
              <w:t>——每种危险物质的临界量，t；</w:t>
            </w:r>
          </w:p>
          <w:p w14:paraId="37CC725B">
            <w:pPr>
              <w:pStyle w:val="11"/>
              <w:bidi w:val="0"/>
              <w:rPr>
                <w:rFonts w:hint="default"/>
                <w:color w:val="auto"/>
                <w:highlight w:val="none"/>
                <w:lang w:val="en-US" w:eastAsia="zh-CN"/>
              </w:rPr>
            </w:pPr>
            <w:r>
              <w:rPr>
                <w:rFonts w:hint="default"/>
                <w:color w:val="auto"/>
                <w:highlight w:val="none"/>
                <w:lang w:val="en-US" w:eastAsia="zh-CN"/>
              </w:rPr>
              <w:t>当Q&lt;1时，该项目环境风险潜势为I。</w:t>
            </w:r>
          </w:p>
          <w:p w14:paraId="49DC4AA3">
            <w:pPr>
              <w:pStyle w:val="11"/>
              <w:bidi w:val="0"/>
              <w:rPr>
                <w:rFonts w:hint="default"/>
                <w:color w:val="auto"/>
                <w:highlight w:val="none"/>
                <w:lang w:val="en-US" w:eastAsia="zh-CN"/>
              </w:rPr>
            </w:pPr>
            <w:r>
              <w:rPr>
                <w:rFonts w:hint="default"/>
                <w:color w:val="auto"/>
                <w:highlight w:val="none"/>
                <w:lang w:val="en-US" w:eastAsia="zh-CN"/>
              </w:rPr>
              <w:t>当Q≥1时，将Q值划分为:1&lt;Q&lt;10；（2）10&lt;Q&lt;100；（3）Q≥100。本项目Q值根据建设项目风险源调查，本项目涉及的危险物质有</w:t>
            </w:r>
            <w:r>
              <w:rPr>
                <w:rFonts w:hint="eastAsia"/>
                <w:color w:val="auto"/>
                <w:highlight w:val="none"/>
                <w:lang w:val="en-US" w:eastAsia="zh-CN"/>
              </w:rPr>
              <w:t>秸秆气、混合气、木焦油和木醋液</w:t>
            </w:r>
            <w:r>
              <w:rPr>
                <w:rFonts w:hint="default"/>
                <w:color w:val="auto"/>
                <w:highlight w:val="none"/>
                <w:lang w:val="en-US" w:eastAsia="zh-CN"/>
              </w:rPr>
              <w:t>。危险物质具体存量详见表4-1</w:t>
            </w:r>
            <w:r>
              <w:rPr>
                <w:rFonts w:hint="eastAsia"/>
                <w:color w:val="auto"/>
                <w:highlight w:val="none"/>
                <w:lang w:val="en-US" w:eastAsia="zh-CN"/>
              </w:rPr>
              <w:t>8</w:t>
            </w:r>
            <w:r>
              <w:rPr>
                <w:rFonts w:hint="default"/>
                <w:color w:val="auto"/>
                <w:highlight w:val="none"/>
                <w:lang w:val="en-US" w:eastAsia="zh-CN"/>
              </w:rPr>
              <w:t>。</w:t>
            </w:r>
          </w:p>
          <w:p w14:paraId="260091E4">
            <w:pPr>
              <w:pStyle w:val="32"/>
              <w:bidi w:val="0"/>
              <w:rPr>
                <w:rFonts w:hint="eastAsia"/>
                <w:color w:val="auto"/>
                <w:highlight w:val="none"/>
                <w:lang w:val="en-US" w:eastAsia="zh-CN"/>
              </w:rPr>
            </w:pPr>
            <w:r>
              <w:rPr>
                <w:rFonts w:hint="eastAsia"/>
                <w:color w:val="auto"/>
                <w:highlight w:val="none"/>
                <w:lang w:val="en-US" w:eastAsia="zh-CN"/>
              </w:rPr>
              <w:t>表4-18     建设项目Q知确定表</w:t>
            </w:r>
          </w:p>
          <w:tbl>
            <w:tblPr>
              <w:tblStyle w:val="26"/>
              <w:tblW w:w="7946" w:type="dxa"/>
              <w:jc w:val="center"/>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Layout w:type="fixed"/>
              <w:tblCellMar>
                <w:top w:w="0" w:type="dxa"/>
                <w:left w:w="28" w:type="dxa"/>
                <w:bottom w:w="0" w:type="dxa"/>
                <w:right w:w="28" w:type="dxa"/>
              </w:tblCellMar>
            </w:tblPr>
            <w:tblGrid>
              <w:gridCol w:w="387"/>
              <w:gridCol w:w="1529"/>
              <w:gridCol w:w="965"/>
              <w:gridCol w:w="1752"/>
              <w:gridCol w:w="1130"/>
              <w:gridCol w:w="2183"/>
            </w:tblGrid>
            <w:tr w14:paraId="7E94BB29">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tcBorders>
                    <w:top w:val="single" w:color="auto" w:sz="8" w:space="0"/>
                    <w:left w:val="single" w:color="auto" w:sz="0" w:space="0"/>
                    <w:bottom w:val="single" w:color="auto" w:sz="8" w:space="0"/>
                    <w:right w:val="single" w:color="auto" w:sz="8" w:space="0"/>
                  </w:tcBorders>
                  <w:noWrap/>
                  <w:vAlign w:val="center"/>
                </w:tcPr>
                <w:p w14:paraId="003D1144">
                  <w:pPr>
                    <w:pStyle w:val="49"/>
                    <w:bidi w:val="0"/>
                    <w:rPr>
                      <w:b/>
                      <w:bCs w:val="0"/>
                      <w:color w:val="auto"/>
                      <w:highlight w:val="none"/>
                    </w:rPr>
                  </w:pPr>
                  <w:r>
                    <w:rPr>
                      <w:b/>
                      <w:bCs w:val="0"/>
                      <w:color w:val="auto"/>
                      <w:highlight w:val="none"/>
                    </w:rPr>
                    <w:t>序号</w:t>
                  </w:r>
                </w:p>
              </w:tc>
              <w:tc>
                <w:tcPr>
                  <w:tcW w:w="962" w:type="pct"/>
                  <w:tcBorders>
                    <w:top w:val="single" w:color="auto" w:sz="8" w:space="0"/>
                    <w:left w:val="single" w:color="auto" w:sz="8" w:space="0"/>
                    <w:bottom w:val="single" w:color="auto" w:sz="8" w:space="0"/>
                    <w:right w:val="single" w:color="auto" w:sz="8" w:space="0"/>
                  </w:tcBorders>
                  <w:noWrap/>
                  <w:vAlign w:val="center"/>
                </w:tcPr>
                <w:p w14:paraId="3FC9E136">
                  <w:pPr>
                    <w:pStyle w:val="49"/>
                    <w:bidi w:val="0"/>
                    <w:rPr>
                      <w:b/>
                      <w:bCs w:val="0"/>
                      <w:color w:val="auto"/>
                      <w:highlight w:val="none"/>
                    </w:rPr>
                  </w:pPr>
                  <w:r>
                    <w:rPr>
                      <w:b/>
                      <w:bCs w:val="0"/>
                      <w:color w:val="auto"/>
                      <w:highlight w:val="none"/>
                    </w:rPr>
                    <w:t>危险物质名称</w:t>
                  </w:r>
                </w:p>
              </w:tc>
              <w:tc>
                <w:tcPr>
                  <w:tcW w:w="607" w:type="pct"/>
                  <w:tcBorders>
                    <w:top w:val="single" w:color="auto" w:sz="8" w:space="0"/>
                    <w:left w:val="single" w:color="auto" w:sz="8" w:space="0"/>
                    <w:bottom w:val="single" w:color="auto" w:sz="8" w:space="0"/>
                    <w:right w:val="single" w:color="auto" w:sz="8" w:space="0"/>
                  </w:tcBorders>
                  <w:noWrap/>
                  <w:vAlign w:val="center"/>
                </w:tcPr>
                <w:p w14:paraId="529FF6FE">
                  <w:pPr>
                    <w:pStyle w:val="49"/>
                    <w:bidi w:val="0"/>
                    <w:rPr>
                      <w:rFonts w:hint="default" w:eastAsia="宋体"/>
                      <w:b/>
                      <w:bCs w:val="0"/>
                      <w:color w:val="auto"/>
                      <w:highlight w:val="none"/>
                      <w:lang w:val="en-US" w:eastAsia="zh-CN"/>
                    </w:rPr>
                  </w:pPr>
                  <w:r>
                    <w:rPr>
                      <w:rFonts w:hint="eastAsia"/>
                      <w:b/>
                      <w:bCs w:val="0"/>
                      <w:color w:val="auto"/>
                      <w:highlight w:val="none"/>
                      <w:lang w:val="en-US" w:eastAsia="zh-CN"/>
                    </w:rPr>
                    <w:t>存储方式</w:t>
                  </w:r>
                </w:p>
              </w:tc>
              <w:tc>
                <w:tcPr>
                  <w:tcW w:w="1102" w:type="pct"/>
                  <w:tcBorders>
                    <w:top w:val="single" w:color="auto" w:sz="8" w:space="0"/>
                    <w:left w:val="single" w:color="auto" w:sz="8" w:space="0"/>
                    <w:bottom w:val="single" w:color="auto" w:sz="8" w:space="0"/>
                    <w:right w:val="single" w:color="auto" w:sz="8" w:space="0"/>
                  </w:tcBorders>
                  <w:noWrap/>
                  <w:vAlign w:val="center"/>
                </w:tcPr>
                <w:p w14:paraId="14E87214">
                  <w:pPr>
                    <w:pStyle w:val="49"/>
                    <w:bidi w:val="0"/>
                    <w:rPr>
                      <w:b/>
                      <w:bCs w:val="0"/>
                      <w:color w:val="auto"/>
                      <w:highlight w:val="none"/>
                    </w:rPr>
                  </w:pPr>
                  <w:r>
                    <w:rPr>
                      <w:b/>
                      <w:bCs w:val="0"/>
                      <w:color w:val="auto"/>
                      <w:highlight w:val="none"/>
                    </w:rPr>
                    <w:t>最大存在总量q</w:t>
                  </w:r>
                  <w:r>
                    <w:rPr>
                      <w:b/>
                      <w:bCs w:val="0"/>
                      <w:color w:val="auto"/>
                      <w:highlight w:val="none"/>
                      <w:vertAlign w:val="subscript"/>
                    </w:rPr>
                    <w:t>n</w:t>
                  </w:r>
                  <w:r>
                    <w:rPr>
                      <w:b/>
                      <w:bCs w:val="0"/>
                      <w:color w:val="auto"/>
                      <w:highlight w:val="none"/>
                    </w:rPr>
                    <w:t>/t</w:t>
                  </w:r>
                </w:p>
              </w:tc>
              <w:tc>
                <w:tcPr>
                  <w:tcW w:w="711" w:type="pct"/>
                  <w:tcBorders>
                    <w:top w:val="single" w:color="auto" w:sz="8" w:space="0"/>
                    <w:left w:val="single" w:color="auto" w:sz="8" w:space="0"/>
                    <w:bottom w:val="single" w:color="auto" w:sz="8" w:space="0"/>
                    <w:right w:val="single" w:color="auto" w:sz="8" w:space="0"/>
                  </w:tcBorders>
                  <w:noWrap/>
                  <w:vAlign w:val="center"/>
                </w:tcPr>
                <w:p w14:paraId="26E8361E">
                  <w:pPr>
                    <w:pStyle w:val="49"/>
                    <w:bidi w:val="0"/>
                    <w:rPr>
                      <w:b/>
                      <w:bCs w:val="0"/>
                      <w:color w:val="auto"/>
                      <w:highlight w:val="none"/>
                    </w:rPr>
                  </w:pPr>
                  <w:r>
                    <w:rPr>
                      <w:b/>
                      <w:bCs w:val="0"/>
                      <w:color w:val="auto"/>
                      <w:highlight w:val="none"/>
                    </w:rPr>
                    <w:t>临界量Q</w:t>
                  </w:r>
                  <w:r>
                    <w:rPr>
                      <w:b/>
                      <w:bCs w:val="0"/>
                      <w:color w:val="auto"/>
                      <w:highlight w:val="none"/>
                      <w:vertAlign w:val="subscript"/>
                    </w:rPr>
                    <w:t>n</w:t>
                  </w:r>
                  <w:r>
                    <w:rPr>
                      <w:b/>
                      <w:bCs w:val="0"/>
                      <w:color w:val="auto"/>
                      <w:highlight w:val="none"/>
                    </w:rPr>
                    <w:t>/t</w:t>
                  </w:r>
                </w:p>
              </w:tc>
              <w:tc>
                <w:tcPr>
                  <w:tcW w:w="1373" w:type="pct"/>
                  <w:tcBorders>
                    <w:top w:val="single" w:color="auto" w:sz="8" w:space="0"/>
                    <w:left w:val="single" w:color="auto" w:sz="8" w:space="0"/>
                    <w:bottom w:val="single" w:color="auto" w:sz="8" w:space="0"/>
                    <w:right w:val="single" w:color="auto" w:sz="8" w:space="0"/>
                  </w:tcBorders>
                  <w:noWrap/>
                  <w:vAlign w:val="center"/>
                </w:tcPr>
                <w:p w14:paraId="3C3F5DC3">
                  <w:pPr>
                    <w:pStyle w:val="49"/>
                    <w:bidi w:val="0"/>
                    <w:rPr>
                      <w:b/>
                      <w:bCs w:val="0"/>
                      <w:color w:val="auto"/>
                      <w:highlight w:val="none"/>
                    </w:rPr>
                  </w:pPr>
                  <w:r>
                    <w:rPr>
                      <w:b/>
                      <w:bCs w:val="0"/>
                      <w:color w:val="auto"/>
                      <w:highlight w:val="none"/>
                    </w:rPr>
                    <w:t>该种危险物质的Q值</w:t>
                  </w:r>
                </w:p>
              </w:tc>
            </w:tr>
            <w:tr w14:paraId="34590F65">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vMerge w:val="restart"/>
                  <w:tcBorders>
                    <w:top w:val="single" w:color="auto" w:sz="8" w:space="0"/>
                    <w:left w:val="single" w:color="auto" w:sz="4" w:space="0"/>
                    <w:right w:val="single" w:color="auto" w:sz="8" w:space="0"/>
                  </w:tcBorders>
                  <w:noWrap/>
                  <w:vAlign w:val="center"/>
                </w:tcPr>
                <w:p w14:paraId="4AA34E3E">
                  <w:pPr>
                    <w:pStyle w:val="49"/>
                    <w:bidi w:val="0"/>
                    <w:rPr>
                      <w:color w:val="auto"/>
                      <w:highlight w:val="none"/>
                    </w:rPr>
                  </w:pPr>
                  <w:r>
                    <w:rPr>
                      <w:color w:val="auto"/>
                      <w:highlight w:val="none"/>
                    </w:rPr>
                    <w:t>1</w:t>
                  </w:r>
                </w:p>
              </w:tc>
              <w:tc>
                <w:tcPr>
                  <w:tcW w:w="962" w:type="pct"/>
                  <w:vMerge w:val="restart"/>
                  <w:tcBorders>
                    <w:top w:val="single" w:color="auto" w:sz="8" w:space="0"/>
                    <w:left w:val="single" w:color="auto" w:sz="8" w:space="0"/>
                    <w:right w:val="single" w:color="auto" w:sz="8" w:space="0"/>
                  </w:tcBorders>
                  <w:noWrap/>
                  <w:vAlign w:val="center"/>
                </w:tcPr>
                <w:p w14:paraId="54BA3992">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秸秆气</w:t>
                  </w:r>
                  <w:r>
                    <w:rPr>
                      <w:rFonts w:hint="eastAsia"/>
                      <w:bCs/>
                      <w:color w:val="auto"/>
                      <w:kern w:val="2"/>
                      <w:sz w:val="21"/>
                      <w:szCs w:val="24"/>
                      <w:highlight w:val="none"/>
                      <w:vertAlign w:val="superscript"/>
                      <w:lang w:val="en-US" w:eastAsia="zh-CN" w:bidi="ar-SA"/>
                    </w:rPr>
                    <w:t>a</w:t>
                  </w:r>
                  <w:r>
                    <w:rPr>
                      <w:rFonts w:hint="eastAsia"/>
                      <w:bCs/>
                      <w:color w:val="auto"/>
                      <w:kern w:val="2"/>
                      <w:sz w:val="21"/>
                      <w:szCs w:val="24"/>
                      <w:highlight w:val="none"/>
                      <w:lang w:val="en-US" w:eastAsia="zh-CN" w:bidi="ar-SA"/>
                    </w:rPr>
                    <w:t>（甲烷）</w:t>
                  </w:r>
                </w:p>
              </w:tc>
              <w:tc>
                <w:tcPr>
                  <w:tcW w:w="607" w:type="pct"/>
                  <w:tcBorders>
                    <w:top w:val="single" w:color="auto" w:sz="8" w:space="0"/>
                    <w:left w:val="single" w:color="auto" w:sz="8" w:space="0"/>
                    <w:bottom w:val="single" w:color="auto" w:sz="8" w:space="0"/>
                    <w:right w:val="single" w:color="auto" w:sz="8" w:space="0"/>
                  </w:tcBorders>
                  <w:noWrap/>
                  <w:vAlign w:val="center"/>
                </w:tcPr>
                <w:p w14:paraId="5E77A4F0">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管道</w:t>
                  </w:r>
                </w:p>
              </w:tc>
              <w:tc>
                <w:tcPr>
                  <w:tcW w:w="1102" w:type="pct"/>
                  <w:tcBorders>
                    <w:top w:val="single" w:color="auto" w:sz="8" w:space="0"/>
                    <w:left w:val="single" w:color="auto" w:sz="8" w:space="0"/>
                    <w:bottom w:val="single" w:color="auto" w:sz="8" w:space="0"/>
                    <w:right w:val="single" w:color="auto" w:sz="8" w:space="0"/>
                  </w:tcBorders>
                  <w:noWrap/>
                  <w:vAlign w:val="center"/>
                </w:tcPr>
                <w:p w14:paraId="7BF9FC6D">
                  <w:pPr>
                    <w:pStyle w:val="49"/>
                    <w:bidi w:val="0"/>
                    <w:rPr>
                      <w:rFonts w:hint="eastAsia"/>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0.02</w:t>
                  </w:r>
                </w:p>
                <w:p w14:paraId="076CABA4">
                  <w:pPr>
                    <w:pStyle w:val="49"/>
                    <w:bidi w:val="0"/>
                    <w:rPr>
                      <w:rFonts w:hint="default"/>
                      <w:color w:val="auto"/>
                      <w:highlight w:val="none"/>
                      <w:lang w:val="en-US" w:eastAsia="zh-CN"/>
                    </w:rPr>
                  </w:pPr>
                  <w:r>
                    <w:rPr>
                      <w:rFonts w:hint="eastAsia"/>
                      <w:bCs/>
                      <w:color w:val="auto"/>
                      <w:kern w:val="2"/>
                      <w:sz w:val="21"/>
                      <w:szCs w:val="24"/>
                      <w:highlight w:val="none"/>
                      <w:lang w:val="en-US" w:eastAsia="zh-CN" w:bidi="ar-SA"/>
                    </w:rPr>
                    <w:t>管道内最大在线量</w:t>
                  </w:r>
                </w:p>
              </w:tc>
              <w:tc>
                <w:tcPr>
                  <w:tcW w:w="711" w:type="pct"/>
                  <w:tcBorders>
                    <w:top w:val="single" w:color="auto" w:sz="8" w:space="0"/>
                    <w:left w:val="single" w:color="auto" w:sz="8" w:space="0"/>
                    <w:bottom w:val="single" w:color="auto" w:sz="8" w:space="0"/>
                    <w:right w:val="single" w:color="auto" w:sz="8" w:space="0"/>
                  </w:tcBorders>
                  <w:noWrap/>
                  <w:vAlign w:val="center"/>
                </w:tcPr>
                <w:p w14:paraId="559F109C">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50</w:t>
                  </w:r>
                </w:p>
              </w:tc>
              <w:tc>
                <w:tcPr>
                  <w:tcW w:w="1373" w:type="pct"/>
                  <w:tcBorders>
                    <w:top w:val="single" w:color="auto" w:sz="8" w:space="0"/>
                    <w:left w:val="single" w:color="auto" w:sz="8" w:space="0"/>
                    <w:bottom w:val="single" w:color="auto" w:sz="8" w:space="0"/>
                    <w:right w:val="single" w:color="auto" w:sz="8" w:space="0"/>
                  </w:tcBorders>
                  <w:noWrap/>
                  <w:vAlign w:val="center"/>
                </w:tcPr>
                <w:p w14:paraId="5F1F8B49">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0.0004</w:t>
                  </w:r>
                </w:p>
              </w:tc>
            </w:tr>
            <w:tr w14:paraId="737A7BFD">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vMerge w:val="continue"/>
                  <w:tcBorders>
                    <w:left w:val="single" w:color="auto" w:sz="4" w:space="0"/>
                    <w:bottom w:val="single" w:color="auto" w:sz="8" w:space="0"/>
                    <w:right w:val="single" w:color="auto" w:sz="8" w:space="0"/>
                  </w:tcBorders>
                  <w:noWrap/>
                  <w:vAlign w:val="center"/>
                </w:tcPr>
                <w:p w14:paraId="4DC5F806">
                  <w:pPr>
                    <w:pStyle w:val="49"/>
                    <w:bidi w:val="0"/>
                    <w:ind w:left="0" w:leftChars="0" w:firstLine="0" w:firstLineChars="0"/>
                    <w:rPr>
                      <w:color w:val="auto"/>
                      <w:highlight w:val="none"/>
                    </w:rPr>
                  </w:pPr>
                </w:p>
              </w:tc>
              <w:tc>
                <w:tcPr>
                  <w:tcW w:w="962" w:type="pct"/>
                  <w:vMerge w:val="continue"/>
                  <w:tcBorders>
                    <w:left w:val="single" w:color="auto" w:sz="8" w:space="0"/>
                    <w:bottom w:val="single" w:color="auto" w:sz="8" w:space="0"/>
                    <w:right w:val="single" w:color="auto" w:sz="8" w:space="0"/>
                  </w:tcBorders>
                  <w:noWrap/>
                  <w:vAlign w:val="center"/>
                </w:tcPr>
                <w:p w14:paraId="50715002">
                  <w:pPr>
                    <w:pStyle w:val="49"/>
                    <w:bidi w:val="0"/>
                    <w:ind w:left="0" w:leftChars="0" w:firstLine="0" w:firstLineChars="0"/>
                    <w:rPr>
                      <w:color w:val="auto"/>
                      <w:highlight w:val="none"/>
                    </w:rPr>
                  </w:pPr>
                </w:p>
              </w:tc>
              <w:tc>
                <w:tcPr>
                  <w:tcW w:w="607" w:type="pct"/>
                  <w:tcBorders>
                    <w:top w:val="single" w:color="auto" w:sz="8" w:space="0"/>
                    <w:left w:val="single" w:color="auto" w:sz="8" w:space="0"/>
                    <w:bottom w:val="single" w:color="auto" w:sz="8" w:space="0"/>
                    <w:right w:val="single" w:color="auto" w:sz="8" w:space="0"/>
                  </w:tcBorders>
                  <w:noWrap/>
                  <w:vAlign w:val="center"/>
                </w:tcPr>
                <w:p w14:paraId="6E54A961">
                  <w:pPr>
                    <w:pStyle w:val="49"/>
                    <w:bidi w:val="0"/>
                    <w:ind w:left="0" w:leftChars="0" w:firstLine="0" w:firstLineChars="0"/>
                    <w:rPr>
                      <w:rFonts w:hint="default" w:ascii="Times New Roman" w:hAnsi="Times New Roman"/>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储罐</w:t>
                  </w:r>
                </w:p>
              </w:tc>
              <w:tc>
                <w:tcPr>
                  <w:tcW w:w="1102" w:type="pct"/>
                  <w:tcBorders>
                    <w:top w:val="single" w:color="auto" w:sz="8" w:space="0"/>
                    <w:left w:val="single" w:color="auto" w:sz="8" w:space="0"/>
                    <w:bottom w:val="single" w:color="auto" w:sz="8" w:space="0"/>
                    <w:right w:val="single" w:color="auto" w:sz="8" w:space="0"/>
                  </w:tcBorders>
                  <w:noWrap/>
                  <w:vAlign w:val="center"/>
                </w:tcPr>
                <w:p w14:paraId="42EB20A6">
                  <w:pPr>
                    <w:pStyle w:val="49"/>
                    <w:bidi w:val="0"/>
                    <w:rPr>
                      <w:rFonts w:hint="default"/>
                      <w:color w:val="auto"/>
                      <w:highlight w:val="none"/>
                      <w:lang w:val="en-US" w:eastAsia="zh-CN"/>
                    </w:rPr>
                  </w:pPr>
                  <w:r>
                    <w:rPr>
                      <w:rFonts w:hint="eastAsia"/>
                      <w:color w:val="auto"/>
                      <w:highlight w:val="none"/>
                      <w:lang w:val="en-US" w:eastAsia="zh-CN"/>
                    </w:rPr>
                    <w:t>0.412</w:t>
                  </w:r>
                </w:p>
              </w:tc>
              <w:tc>
                <w:tcPr>
                  <w:tcW w:w="711" w:type="pct"/>
                  <w:tcBorders>
                    <w:top w:val="single" w:color="auto" w:sz="8" w:space="0"/>
                    <w:left w:val="single" w:color="auto" w:sz="8" w:space="0"/>
                    <w:bottom w:val="single" w:color="auto" w:sz="8" w:space="0"/>
                    <w:right w:val="single" w:color="auto" w:sz="8" w:space="0"/>
                  </w:tcBorders>
                  <w:noWrap/>
                  <w:vAlign w:val="center"/>
                </w:tcPr>
                <w:p w14:paraId="57F8CED7">
                  <w:pPr>
                    <w:pStyle w:val="49"/>
                    <w:bidi w:val="0"/>
                    <w:ind w:left="0" w:leftChars="0" w:firstLine="0" w:firstLineChars="0"/>
                    <w:rPr>
                      <w:rFonts w:hint="default" w:ascii="Times New Roman" w:hAnsi="Times New Roman"/>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50</w:t>
                  </w:r>
                </w:p>
              </w:tc>
              <w:tc>
                <w:tcPr>
                  <w:tcW w:w="1373" w:type="pct"/>
                  <w:tcBorders>
                    <w:top w:val="single" w:color="auto" w:sz="8" w:space="0"/>
                    <w:left w:val="single" w:color="auto" w:sz="8" w:space="0"/>
                    <w:bottom w:val="single" w:color="auto" w:sz="8" w:space="0"/>
                    <w:right w:val="single" w:color="auto" w:sz="8" w:space="0"/>
                  </w:tcBorders>
                  <w:noWrap/>
                  <w:vAlign w:val="center"/>
                </w:tcPr>
                <w:p w14:paraId="042228EB">
                  <w:pPr>
                    <w:pStyle w:val="49"/>
                    <w:bidi w:val="0"/>
                    <w:ind w:left="0" w:leftChars="0" w:firstLine="0" w:firstLineChars="0"/>
                    <w:rPr>
                      <w:rFonts w:hint="default" w:ascii="Times New Roman" w:hAnsi="Times New Roman"/>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0.0082</w:t>
                  </w:r>
                </w:p>
              </w:tc>
            </w:tr>
            <w:tr w14:paraId="5321CAE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tcBorders>
                    <w:top w:val="single" w:color="auto" w:sz="8" w:space="0"/>
                    <w:left w:val="single" w:color="auto" w:sz="4" w:space="0"/>
                    <w:bottom w:val="single" w:color="auto" w:sz="8" w:space="0"/>
                    <w:right w:val="single" w:color="auto" w:sz="8" w:space="0"/>
                  </w:tcBorders>
                  <w:shd w:val="clear" w:color="auto" w:fill="auto"/>
                  <w:noWrap/>
                  <w:vAlign w:val="center"/>
                </w:tcPr>
                <w:p w14:paraId="2599856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color w:val="auto"/>
                      <w:highlight w:val="none"/>
                    </w:rPr>
                    <w:t>2</w:t>
                  </w:r>
                </w:p>
              </w:tc>
              <w:tc>
                <w:tcPr>
                  <w:tcW w:w="962" w:type="pct"/>
                  <w:tcBorders>
                    <w:top w:val="single" w:color="auto" w:sz="8" w:space="0"/>
                    <w:left w:val="single" w:color="auto" w:sz="8" w:space="0"/>
                    <w:bottom w:val="single" w:color="auto" w:sz="8" w:space="0"/>
                    <w:right w:val="single" w:color="auto" w:sz="8" w:space="0"/>
                  </w:tcBorders>
                  <w:noWrap/>
                  <w:vAlign w:val="center"/>
                </w:tcPr>
                <w:p w14:paraId="2AF233FC">
                  <w:pPr>
                    <w:pStyle w:val="49"/>
                    <w:bidi w:val="0"/>
                    <w:ind w:left="0" w:leftChars="0" w:firstLine="0" w:firstLineChars="0"/>
                    <w:rPr>
                      <w:rFonts w:hint="default"/>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混合气（甲烷）</w:t>
                  </w:r>
                </w:p>
              </w:tc>
              <w:tc>
                <w:tcPr>
                  <w:tcW w:w="607" w:type="pct"/>
                  <w:tcBorders>
                    <w:top w:val="single" w:color="auto" w:sz="8" w:space="0"/>
                    <w:left w:val="single" w:color="auto" w:sz="8" w:space="0"/>
                    <w:bottom w:val="single" w:color="auto" w:sz="8" w:space="0"/>
                    <w:right w:val="single" w:color="auto" w:sz="8" w:space="0"/>
                  </w:tcBorders>
                  <w:noWrap/>
                  <w:vAlign w:val="center"/>
                </w:tcPr>
                <w:p w14:paraId="17C50B33">
                  <w:pPr>
                    <w:pStyle w:val="49"/>
                    <w:bidi w:val="0"/>
                    <w:ind w:left="0" w:leftChars="0" w:firstLine="0" w:firstLineChars="0"/>
                    <w:rPr>
                      <w:rFonts w:hint="default" w:ascii="Times New Roman" w:hAnsi="Times New Roman"/>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储罐</w:t>
                  </w:r>
                </w:p>
              </w:tc>
              <w:tc>
                <w:tcPr>
                  <w:tcW w:w="1102" w:type="pct"/>
                  <w:tcBorders>
                    <w:top w:val="single" w:color="auto" w:sz="8" w:space="0"/>
                    <w:left w:val="single" w:color="auto" w:sz="8" w:space="0"/>
                    <w:bottom w:val="single" w:color="auto" w:sz="8" w:space="0"/>
                    <w:right w:val="single" w:color="auto" w:sz="8" w:space="0"/>
                  </w:tcBorders>
                  <w:noWrap/>
                  <w:vAlign w:val="center"/>
                </w:tcPr>
                <w:p w14:paraId="296C8553">
                  <w:pPr>
                    <w:pStyle w:val="49"/>
                    <w:bidi w:val="0"/>
                    <w:rPr>
                      <w:rFonts w:hint="default"/>
                      <w:color w:val="auto"/>
                      <w:highlight w:val="none"/>
                      <w:lang w:val="en-US" w:eastAsia="zh-CN"/>
                    </w:rPr>
                  </w:pPr>
                  <w:r>
                    <w:rPr>
                      <w:rFonts w:hint="eastAsia"/>
                      <w:color w:val="auto"/>
                      <w:highlight w:val="none"/>
                      <w:lang w:val="en-US" w:eastAsia="zh-CN"/>
                    </w:rPr>
                    <w:t>0.482</w:t>
                  </w:r>
                </w:p>
              </w:tc>
              <w:tc>
                <w:tcPr>
                  <w:tcW w:w="711" w:type="pct"/>
                  <w:tcBorders>
                    <w:top w:val="single" w:color="auto" w:sz="8" w:space="0"/>
                    <w:left w:val="single" w:color="auto" w:sz="8" w:space="0"/>
                    <w:bottom w:val="single" w:color="auto" w:sz="8" w:space="0"/>
                    <w:right w:val="single" w:color="auto" w:sz="8" w:space="0"/>
                  </w:tcBorders>
                  <w:noWrap/>
                  <w:vAlign w:val="center"/>
                </w:tcPr>
                <w:p w14:paraId="3B99549E">
                  <w:pPr>
                    <w:pStyle w:val="49"/>
                    <w:bidi w:val="0"/>
                    <w:ind w:left="0" w:leftChars="0" w:firstLine="0" w:firstLineChars="0"/>
                    <w:rPr>
                      <w:rFonts w:hint="default"/>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50</w:t>
                  </w:r>
                </w:p>
              </w:tc>
              <w:tc>
                <w:tcPr>
                  <w:tcW w:w="1373" w:type="pct"/>
                  <w:tcBorders>
                    <w:top w:val="single" w:color="auto" w:sz="8" w:space="0"/>
                    <w:left w:val="single" w:color="auto" w:sz="8" w:space="0"/>
                    <w:bottom w:val="single" w:color="auto" w:sz="8" w:space="0"/>
                    <w:right w:val="single" w:color="auto" w:sz="8" w:space="0"/>
                  </w:tcBorders>
                  <w:noWrap/>
                  <w:vAlign w:val="center"/>
                </w:tcPr>
                <w:p w14:paraId="54191696">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0.0096</w:t>
                  </w:r>
                </w:p>
              </w:tc>
            </w:tr>
            <w:tr w14:paraId="3666AE24">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tcBorders>
                    <w:top w:val="single" w:color="auto" w:sz="8" w:space="0"/>
                    <w:left w:val="single" w:color="auto" w:sz="4" w:space="0"/>
                    <w:bottom w:val="single" w:color="auto" w:sz="8" w:space="0"/>
                    <w:right w:val="single" w:color="auto" w:sz="8" w:space="0"/>
                  </w:tcBorders>
                  <w:shd w:val="clear" w:color="auto" w:fill="auto"/>
                  <w:noWrap/>
                  <w:vAlign w:val="center"/>
                </w:tcPr>
                <w:p w14:paraId="6829EFB0">
                  <w:pPr>
                    <w:pStyle w:val="49"/>
                    <w:bidi w:val="0"/>
                    <w:ind w:left="0" w:leftChars="0" w:firstLine="0" w:firstLineChars="0"/>
                    <w:rPr>
                      <w:rFonts w:ascii="Times New Roman" w:hAnsi="Times New Roman" w:eastAsia="宋体" w:cs="Times New Roman"/>
                      <w:color w:val="auto"/>
                      <w:kern w:val="0"/>
                      <w:sz w:val="21"/>
                      <w:szCs w:val="20"/>
                      <w:highlight w:val="none"/>
                      <w:lang w:val="en-US" w:eastAsia="zh-CN" w:bidi="ar-SA"/>
                    </w:rPr>
                  </w:pPr>
                  <w:r>
                    <w:rPr>
                      <w:rFonts w:hint="eastAsia"/>
                      <w:color w:val="auto"/>
                      <w:highlight w:val="none"/>
                    </w:rPr>
                    <w:t>3</w:t>
                  </w:r>
                </w:p>
              </w:tc>
              <w:tc>
                <w:tcPr>
                  <w:tcW w:w="962" w:type="pct"/>
                  <w:tcBorders>
                    <w:top w:val="single" w:color="auto" w:sz="8" w:space="0"/>
                    <w:left w:val="single" w:color="auto" w:sz="8" w:space="0"/>
                    <w:bottom w:val="single" w:color="auto" w:sz="8" w:space="0"/>
                    <w:right w:val="single" w:color="auto" w:sz="8" w:space="0"/>
                  </w:tcBorders>
                  <w:noWrap/>
                  <w:vAlign w:val="center"/>
                </w:tcPr>
                <w:p w14:paraId="0EFD9A27">
                  <w:pPr>
                    <w:pStyle w:val="49"/>
                    <w:bidi w:val="0"/>
                    <w:ind w:left="0" w:leftChars="0" w:firstLine="0" w:firstLineChars="0"/>
                    <w:rPr>
                      <w:rFonts w:hint="default" w:ascii="Times New Roman" w:hAnsi="Times New Roman" w:eastAsia="宋体" w:cs="Times New Roman"/>
                      <w:bCs/>
                      <w:color w:val="auto"/>
                      <w:kern w:val="2"/>
                      <w:sz w:val="21"/>
                      <w:szCs w:val="24"/>
                      <w:highlight w:val="none"/>
                      <w:vertAlign w:val="superscript"/>
                      <w:lang w:val="en-US" w:eastAsia="zh-CN" w:bidi="ar-SA"/>
                    </w:rPr>
                  </w:pPr>
                  <w:r>
                    <w:rPr>
                      <w:rFonts w:hint="eastAsia" w:ascii="Times New Roman" w:hAnsi="Times New Roman"/>
                      <w:bCs/>
                      <w:color w:val="auto"/>
                      <w:kern w:val="2"/>
                      <w:sz w:val="21"/>
                      <w:szCs w:val="24"/>
                      <w:highlight w:val="none"/>
                      <w:lang w:val="en-US" w:eastAsia="zh-CN" w:bidi="ar-SA"/>
                    </w:rPr>
                    <w:t>木焦油</w:t>
                  </w:r>
                  <w:r>
                    <w:rPr>
                      <w:rFonts w:hint="eastAsia"/>
                      <w:bCs/>
                      <w:color w:val="auto"/>
                      <w:kern w:val="2"/>
                      <w:sz w:val="21"/>
                      <w:szCs w:val="24"/>
                      <w:highlight w:val="none"/>
                      <w:vertAlign w:val="superscript"/>
                      <w:lang w:val="en-US" w:eastAsia="zh-CN" w:bidi="ar-SA"/>
                    </w:rPr>
                    <w:t>a</w:t>
                  </w:r>
                </w:p>
              </w:tc>
              <w:tc>
                <w:tcPr>
                  <w:tcW w:w="607" w:type="pct"/>
                  <w:tcBorders>
                    <w:top w:val="single" w:color="auto" w:sz="8" w:space="0"/>
                    <w:left w:val="single" w:color="auto" w:sz="8" w:space="0"/>
                    <w:bottom w:val="single" w:color="auto" w:sz="8" w:space="0"/>
                    <w:right w:val="single" w:color="auto" w:sz="8" w:space="0"/>
                  </w:tcBorders>
                  <w:noWrap/>
                  <w:vAlign w:val="center"/>
                </w:tcPr>
                <w:p w14:paraId="298C6E87">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储罐</w:t>
                  </w:r>
                </w:p>
              </w:tc>
              <w:tc>
                <w:tcPr>
                  <w:tcW w:w="1102" w:type="pct"/>
                  <w:tcBorders>
                    <w:top w:val="single" w:color="auto" w:sz="8" w:space="0"/>
                    <w:left w:val="single" w:color="auto" w:sz="8" w:space="0"/>
                    <w:bottom w:val="single" w:color="auto" w:sz="8" w:space="0"/>
                    <w:right w:val="single" w:color="auto" w:sz="8" w:space="0"/>
                  </w:tcBorders>
                  <w:noWrap/>
                  <w:vAlign w:val="center"/>
                </w:tcPr>
                <w:p w14:paraId="2BD4A241">
                  <w:pPr>
                    <w:pStyle w:val="49"/>
                    <w:bidi w:val="0"/>
                    <w:rPr>
                      <w:rFonts w:hint="default"/>
                      <w:color w:val="auto"/>
                      <w:highlight w:val="none"/>
                      <w:lang w:val="en-US" w:eastAsia="zh-CN"/>
                    </w:rPr>
                  </w:pPr>
                  <w:r>
                    <w:rPr>
                      <w:rFonts w:hint="eastAsia"/>
                      <w:color w:val="auto"/>
                      <w:highlight w:val="none"/>
                      <w:lang w:val="en-US" w:eastAsia="zh-CN"/>
                    </w:rPr>
                    <w:t>22.10</w:t>
                  </w:r>
                </w:p>
              </w:tc>
              <w:tc>
                <w:tcPr>
                  <w:tcW w:w="711" w:type="pct"/>
                  <w:tcBorders>
                    <w:top w:val="single" w:color="auto" w:sz="8" w:space="0"/>
                    <w:left w:val="single" w:color="auto" w:sz="8" w:space="0"/>
                    <w:bottom w:val="single" w:color="auto" w:sz="8" w:space="0"/>
                    <w:right w:val="single" w:color="auto" w:sz="8" w:space="0"/>
                  </w:tcBorders>
                  <w:noWrap/>
                  <w:vAlign w:val="center"/>
                </w:tcPr>
                <w:p w14:paraId="1D3DEAD2">
                  <w:pPr>
                    <w:pStyle w:val="49"/>
                    <w:bidi w:val="0"/>
                    <w:ind w:left="0" w:leftChars="0" w:firstLine="0" w:firstLineChars="0"/>
                    <w:rPr>
                      <w:rFonts w:hint="default" w:ascii="Times New Roman" w:hAnsi="Times New Roman" w:eastAsia="宋体"/>
                      <w:bCs/>
                      <w:color w:val="auto"/>
                      <w:kern w:val="2"/>
                      <w:sz w:val="21"/>
                      <w:szCs w:val="24"/>
                      <w:highlight w:val="none"/>
                      <w:vertAlign w:val="superscript"/>
                      <w:lang w:val="en-US" w:eastAsia="zh-CN" w:bidi="ar-SA"/>
                    </w:rPr>
                  </w:pPr>
                  <w:r>
                    <w:rPr>
                      <w:rFonts w:hint="eastAsia" w:ascii="Times New Roman" w:hAnsi="Times New Roman"/>
                      <w:bCs/>
                      <w:color w:val="auto"/>
                      <w:kern w:val="2"/>
                      <w:sz w:val="21"/>
                      <w:szCs w:val="24"/>
                      <w:highlight w:val="none"/>
                      <w:lang w:val="en-US" w:eastAsia="zh-CN" w:bidi="ar-SA"/>
                    </w:rPr>
                    <w:t>500</w:t>
                  </w:r>
                  <w:r>
                    <w:rPr>
                      <w:rFonts w:hint="eastAsia"/>
                      <w:bCs/>
                      <w:color w:val="auto"/>
                      <w:kern w:val="2"/>
                      <w:sz w:val="21"/>
                      <w:szCs w:val="24"/>
                      <w:highlight w:val="none"/>
                      <w:vertAlign w:val="superscript"/>
                      <w:lang w:val="en-US" w:eastAsia="zh-CN" w:bidi="ar-SA"/>
                    </w:rPr>
                    <w:t>b</w:t>
                  </w:r>
                </w:p>
              </w:tc>
              <w:tc>
                <w:tcPr>
                  <w:tcW w:w="1373" w:type="pct"/>
                  <w:tcBorders>
                    <w:top w:val="single" w:color="auto" w:sz="8" w:space="0"/>
                    <w:left w:val="single" w:color="auto" w:sz="8" w:space="0"/>
                    <w:bottom w:val="single" w:color="auto" w:sz="8" w:space="0"/>
                    <w:right w:val="single" w:color="auto" w:sz="8" w:space="0"/>
                  </w:tcBorders>
                  <w:noWrap/>
                  <w:vAlign w:val="center"/>
                </w:tcPr>
                <w:p w14:paraId="230F07DF">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0.0088</w:t>
                  </w:r>
                </w:p>
              </w:tc>
            </w:tr>
            <w:tr w14:paraId="4F501876">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243" w:type="pct"/>
                  <w:tcBorders>
                    <w:top w:val="single" w:color="auto" w:sz="8" w:space="0"/>
                    <w:left w:val="single" w:color="auto" w:sz="4" w:space="0"/>
                    <w:bottom w:val="single" w:color="auto" w:sz="8" w:space="0"/>
                    <w:right w:val="single" w:color="auto" w:sz="8" w:space="0"/>
                  </w:tcBorders>
                  <w:noWrap/>
                  <w:vAlign w:val="center"/>
                </w:tcPr>
                <w:p w14:paraId="478D49AC">
                  <w:pPr>
                    <w:pStyle w:val="49"/>
                    <w:bidi w:val="0"/>
                    <w:rPr>
                      <w:rFonts w:hint="eastAsia" w:eastAsia="宋体"/>
                      <w:color w:val="auto"/>
                      <w:highlight w:val="none"/>
                      <w:lang w:eastAsia="zh-CN"/>
                    </w:rPr>
                  </w:pPr>
                  <w:bookmarkStart w:id="6" w:name="_Hlk111566028"/>
                  <w:bookmarkStart w:id="7" w:name="OLE_LINK33" w:colFirst="5" w:colLast="5"/>
                  <w:bookmarkStart w:id="8" w:name="OLE_LINK32" w:colFirst="5" w:colLast="5"/>
                  <w:r>
                    <w:rPr>
                      <w:rFonts w:hint="eastAsia"/>
                      <w:color w:val="auto"/>
                      <w:highlight w:val="none"/>
                      <w:lang w:val="en-US" w:eastAsia="zh-CN"/>
                    </w:rPr>
                    <w:t>4</w:t>
                  </w:r>
                </w:p>
              </w:tc>
              <w:tc>
                <w:tcPr>
                  <w:tcW w:w="962" w:type="pct"/>
                  <w:tcBorders>
                    <w:top w:val="single" w:color="auto" w:sz="8" w:space="0"/>
                    <w:left w:val="single" w:color="auto" w:sz="8" w:space="0"/>
                    <w:bottom w:val="single" w:color="auto" w:sz="8" w:space="0"/>
                    <w:right w:val="single" w:color="auto" w:sz="8" w:space="0"/>
                  </w:tcBorders>
                  <w:noWrap/>
                  <w:vAlign w:val="center"/>
                </w:tcPr>
                <w:p w14:paraId="1D405B36">
                  <w:pPr>
                    <w:pStyle w:val="49"/>
                    <w:bidi w:val="0"/>
                    <w:ind w:left="0" w:leftChars="0" w:firstLine="0" w:firstLineChars="0"/>
                    <w:rPr>
                      <w:rFonts w:hint="default" w:ascii="Times New Roman" w:hAnsi="Times New Roman" w:eastAsia="宋体" w:cs="Times New Roman"/>
                      <w:bCs/>
                      <w:color w:val="auto"/>
                      <w:kern w:val="2"/>
                      <w:sz w:val="21"/>
                      <w:szCs w:val="24"/>
                      <w:highlight w:val="none"/>
                      <w:lang w:val="en-US" w:eastAsia="zh-CN" w:bidi="ar-SA"/>
                    </w:rPr>
                  </w:pPr>
                  <w:r>
                    <w:rPr>
                      <w:rFonts w:hint="eastAsia" w:ascii="Times New Roman" w:hAnsi="Times New Roman"/>
                      <w:bCs/>
                      <w:color w:val="auto"/>
                      <w:kern w:val="2"/>
                      <w:sz w:val="21"/>
                      <w:szCs w:val="24"/>
                      <w:highlight w:val="none"/>
                      <w:lang w:val="en-US" w:eastAsia="zh-CN" w:bidi="ar-SA"/>
                    </w:rPr>
                    <w:t>木醋</w:t>
                  </w:r>
                  <w:r>
                    <w:rPr>
                      <w:rFonts w:hint="eastAsia"/>
                      <w:bCs/>
                      <w:color w:val="auto"/>
                      <w:kern w:val="2"/>
                      <w:sz w:val="21"/>
                      <w:szCs w:val="24"/>
                      <w:highlight w:val="none"/>
                      <w:lang w:val="en-US" w:eastAsia="zh-CN" w:bidi="ar-SA"/>
                    </w:rPr>
                    <w:t>液</w:t>
                  </w:r>
                  <w:r>
                    <w:rPr>
                      <w:rFonts w:hint="eastAsia"/>
                      <w:bCs/>
                      <w:color w:val="auto"/>
                      <w:kern w:val="2"/>
                      <w:sz w:val="21"/>
                      <w:szCs w:val="24"/>
                      <w:highlight w:val="none"/>
                      <w:vertAlign w:val="superscript"/>
                      <w:lang w:val="en-US" w:eastAsia="zh-CN" w:bidi="ar-SA"/>
                    </w:rPr>
                    <w:t>a</w:t>
                  </w:r>
                </w:p>
              </w:tc>
              <w:tc>
                <w:tcPr>
                  <w:tcW w:w="607" w:type="pct"/>
                  <w:tcBorders>
                    <w:top w:val="single" w:color="auto" w:sz="8" w:space="0"/>
                    <w:left w:val="single" w:color="auto" w:sz="8" w:space="0"/>
                    <w:bottom w:val="single" w:color="auto" w:sz="8" w:space="0"/>
                    <w:right w:val="single" w:color="auto" w:sz="8" w:space="0"/>
                  </w:tcBorders>
                  <w:noWrap/>
                  <w:vAlign w:val="center"/>
                </w:tcPr>
                <w:p w14:paraId="47909384">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储罐</w:t>
                  </w:r>
                </w:p>
              </w:tc>
              <w:tc>
                <w:tcPr>
                  <w:tcW w:w="1102" w:type="pct"/>
                  <w:tcBorders>
                    <w:top w:val="single" w:color="auto" w:sz="8" w:space="0"/>
                    <w:left w:val="single" w:color="auto" w:sz="8" w:space="0"/>
                    <w:bottom w:val="single" w:color="auto" w:sz="8" w:space="0"/>
                    <w:right w:val="single" w:color="auto" w:sz="8" w:space="0"/>
                  </w:tcBorders>
                  <w:noWrap/>
                  <w:vAlign w:val="center"/>
                </w:tcPr>
                <w:p w14:paraId="3ABE472D">
                  <w:pPr>
                    <w:pStyle w:val="49"/>
                    <w:bidi w:val="0"/>
                    <w:rPr>
                      <w:rFonts w:hint="default"/>
                      <w:color w:val="auto"/>
                      <w:highlight w:val="none"/>
                      <w:lang w:val="en-US" w:eastAsia="zh-CN"/>
                    </w:rPr>
                  </w:pPr>
                  <w:r>
                    <w:rPr>
                      <w:rFonts w:hint="eastAsia"/>
                      <w:color w:val="auto"/>
                      <w:highlight w:val="none"/>
                      <w:lang w:val="en-US" w:eastAsia="zh-CN"/>
                    </w:rPr>
                    <w:t>51.92</w:t>
                  </w:r>
                </w:p>
              </w:tc>
              <w:tc>
                <w:tcPr>
                  <w:tcW w:w="711" w:type="pct"/>
                  <w:tcBorders>
                    <w:top w:val="single" w:color="auto" w:sz="8" w:space="0"/>
                    <w:left w:val="single" w:color="auto" w:sz="8" w:space="0"/>
                    <w:bottom w:val="single" w:color="auto" w:sz="8" w:space="0"/>
                    <w:right w:val="single" w:color="auto" w:sz="8" w:space="0"/>
                  </w:tcBorders>
                  <w:noWrap/>
                  <w:vAlign w:val="center"/>
                </w:tcPr>
                <w:p w14:paraId="2531FC6D">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1</w:t>
                  </w:r>
                  <w:r>
                    <w:rPr>
                      <w:rFonts w:hint="eastAsia" w:ascii="Times New Roman" w:hAnsi="Times New Roman"/>
                      <w:bCs/>
                      <w:color w:val="auto"/>
                      <w:kern w:val="2"/>
                      <w:sz w:val="21"/>
                      <w:szCs w:val="24"/>
                      <w:highlight w:val="none"/>
                      <w:lang w:val="en-US" w:eastAsia="zh-CN" w:bidi="ar-SA"/>
                    </w:rPr>
                    <w:t>00</w:t>
                  </w:r>
                  <w:r>
                    <w:rPr>
                      <w:rFonts w:hint="eastAsia"/>
                      <w:bCs/>
                      <w:color w:val="auto"/>
                      <w:kern w:val="2"/>
                      <w:sz w:val="21"/>
                      <w:szCs w:val="24"/>
                      <w:highlight w:val="none"/>
                      <w:vertAlign w:val="superscript"/>
                      <w:lang w:val="en-US" w:eastAsia="zh-CN" w:bidi="ar-SA"/>
                    </w:rPr>
                    <w:t>c</w:t>
                  </w:r>
                </w:p>
              </w:tc>
              <w:tc>
                <w:tcPr>
                  <w:tcW w:w="1373" w:type="pct"/>
                  <w:tcBorders>
                    <w:top w:val="single" w:color="auto" w:sz="8" w:space="0"/>
                    <w:left w:val="single" w:color="auto" w:sz="8" w:space="0"/>
                    <w:bottom w:val="single" w:color="auto" w:sz="8" w:space="0"/>
                    <w:right w:val="single" w:color="auto" w:sz="8" w:space="0"/>
                  </w:tcBorders>
                  <w:noWrap/>
                  <w:vAlign w:val="center"/>
                </w:tcPr>
                <w:p w14:paraId="1201A832">
                  <w:pPr>
                    <w:pStyle w:val="49"/>
                    <w:bidi w:val="0"/>
                    <w:ind w:left="0" w:leftChars="0" w:firstLine="0" w:firstLineChars="0"/>
                    <w:rPr>
                      <w:rFonts w:hint="default" w:ascii="Times New Roman" w:hAnsi="Times New Roman" w:eastAsia="宋体"/>
                      <w:bCs/>
                      <w:color w:val="auto"/>
                      <w:kern w:val="2"/>
                      <w:sz w:val="21"/>
                      <w:szCs w:val="24"/>
                      <w:highlight w:val="none"/>
                      <w:lang w:val="en-US" w:eastAsia="zh-CN" w:bidi="ar-SA"/>
                    </w:rPr>
                  </w:pPr>
                  <w:r>
                    <w:rPr>
                      <w:rFonts w:hint="eastAsia"/>
                      <w:bCs/>
                      <w:color w:val="auto"/>
                      <w:kern w:val="2"/>
                      <w:sz w:val="21"/>
                      <w:szCs w:val="24"/>
                      <w:highlight w:val="none"/>
                      <w:lang w:val="en-US" w:eastAsia="zh-CN" w:bidi="ar-SA"/>
                    </w:rPr>
                    <w:t>0.5192</w:t>
                  </w:r>
                </w:p>
              </w:tc>
            </w:tr>
            <w:tr w14:paraId="0201007B">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3626" w:type="pct"/>
                  <w:gridSpan w:val="5"/>
                  <w:tcBorders>
                    <w:top w:val="single" w:color="auto" w:sz="8" w:space="0"/>
                    <w:left w:val="single" w:color="auto" w:sz="4" w:space="0"/>
                    <w:bottom w:val="single" w:color="auto" w:sz="8" w:space="0"/>
                    <w:right w:val="single" w:color="auto" w:sz="8" w:space="0"/>
                  </w:tcBorders>
                  <w:noWrap/>
                  <w:vAlign w:val="center"/>
                </w:tcPr>
                <w:p w14:paraId="3411A258">
                  <w:pPr>
                    <w:pStyle w:val="49"/>
                    <w:bidi w:val="0"/>
                    <w:rPr>
                      <w:color w:val="auto"/>
                      <w:highlight w:val="none"/>
                    </w:rPr>
                  </w:pPr>
                  <w:r>
                    <w:rPr>
                      <w:color w:val="auto"/>
                      <w:highlight w:val="none"/>
                    </w:rPr>
                    <w:t>项目Q值∑</w:t>
                  </w:r>
                </w:p>
              </w:tc>
              <w:tc>
                <w:tcPr>
                  <w:tcW w:w="1373" w:type="pct"/>
                  <w:tcBorders>
                    <w:top w:val="single" w:color="auto" w:sz="8" w:space="0"/>
                    <w:left w:val="single" w:color="auto" w:sz="8" w:space="0"/>
                    <w:bottom w:val="single" w:color="auto" w:sz="8" w:space="0"/>
                    <w:right w:val="single" w:color="auto" w:sz="8" w:space="0"/>
                  </w:tcBorders>
                  <w:noWrap/>
                  <w:vAlign w:val="center"/>
                </w:tcPr>
                <w:p w14:paraId="7846A5A0">
                  <w:pPr>
                    <w:pStyle w:val="49"/>
                    <w:bidi w:val="0"/>
                    <w:jc w:val="center"/>
                    <w:rPr>
                      <w:rFonts w:hint="default" w:eastAsia="宋体"/>
                      <w:color w:val="auto"/>
                      <w:highlight w:val="none"/>
                      <w:lang w:val="en-US" w:eastAsia="zh-CN"/>
                    </w:rPr>
                  </w:pPr>
                  <w:r>
                    <w:rPr>
                      <w:rFonts w:hint="eastAsia"/>
                      <w:color w:val="auto"/>
                      <w:highlight w:val="none"/>
                      <w:lang w:val="en-US" w:eastAsia="zh-CN"/>
                    </w:rPr>
                    <w:t>0.54+</w:t>
                  </w:r>
                </w:p>
              </w:tc>
            </w:tr>
            <w:tr w14:paraId="6F7481F3">
              <w:tblPrEx>
                <w:tblBorders>
                  <w:top w:val="single" w:color="auto" w:sz="12" w:space="0"/>
                  <w:left w:val="none" w:color="auto" w:sz="0" w:space="0"/>
                  <w:bottom w:val="single" w:color="auto" w:sz="12" w:space="0"/>
                  <w:right w:val="none" w:color="auto" w:sz="0" w:space="0"/>
                  <w:insideH w:val="dotted" w:color="auto" w:sz="2" w:space="0"/>
                  <w:insideV w:val="dotted" w:color="auto" w:sz="2" w:space="0"/>
                </w:tblBorders>
                <w:tblCellMar>
                  <w:top w:w="0" w:type="dxa"/>
                  <w:left w:w="28" w:type="dxa"/>
                  <w:bottom w:w="0" w:type="dxa"/>
                  <w:right w:w="28" w:type="dxa"/>
                </w:tblCellMar>
              </w:tblPrEx>
              <w:trPr>
                <w:trHeight w:val="170" w:hRule="atLeast"/>
                <w:jc w:val="center"/>
              </w:trPr>
              <w:tc>
                <w:tcPr>
                  <w:tcW w:w="5000" w:type="pct"/>
                  <w:gridSpan w:val="6"/>
                  <w:tcBorders>
                    <w:top w:val="single" w:color="auto" w:sz="8" w:space="0"/>
                    <w:left w:val="single" w:color="auto" w:sz="4" w:space="0"/>
                    <w:bottom w:val="single" w:color="auto" w:sz="8" w:space="0"/>
                    <w:right w:val="single" w:color="auto" w:sz="8" w:space="0"/>
                  </w:tcBorders>
                  <w:noWrap/>
                  <w:vAlign w:val="center"/>
                </w:tcPr>
                <w:p w14:paraId="01F36C82">
                  <w:pPr>
                    <w:pStyle w:val="49"/>
                    <w:bidi w:val="0"/>
                    <w:jc w:val="left"/>
                    <w:rPr>
                      <w:rFonts w:hint="eastAsia"/>
                      <w:color w:val="auto"/>
                      <w:sz w:val="20"/>
                      <w:szCs w:val="18"/>
                      <w:highlight w:val="none"/>
                      <w:lang w:val="en-US" w:eastAsia="zh-CN"/>
                    </w:rPr>
                  </w:pPr>
                  <w:r>
                    <w:rPr>
                      <w:rFonts w:hint="eastAsia"/>
                      <w:color w:val="auto"/>
                      <w:sz w:val="20"/>
                      <w:szCs w:val="18"/>
                      <w:highlight w:val="none"/>
                      <w:lang w:val="en-US" w:eastAsia="zh-CN"/>
                    </w:rPr>
                    <w:t>注：</w:t>
                  </w:r>
                  <w:r>
                    <w:rPr>
                      <w:rFonts w:hint="eastAsia"/>
                      <w:color w:val="auto"/>
                      <w:sz w:val="20"/>
                      <w:szCs w:val="18"/>
                      <w:highlight w:val="none"/>
                      <w:vertAlign w:val="superscript"/>
                      <w:lang w:val="en-US" w:eastAsia="zh-CN"/>
                    </w:rPr>
                    <w:t>a</w:t>
                  </w:r>
                  <w:r>
                    <w:rPr>
                      <w:rFonts w:hint="eastAsia"/>
                      <w:color w:val="auto"/>
                      <w:sz w:val="20"/>
                      <w:szCs w:val="18"/>
                      <w:highlight w:val="none"/>
                      <w:lang w:val="en-US" w:eastAsia="zh-CN"/>
                    </w:rPr>
                    <w:t>秸秆气中甲烷含量按34.5%计算；</w:t>
                  </w:r>
                  <w:r>
                    <w:rPr>
                      <w:color w:val="auto"/>
                      <w:sz w:val="20"/>
                      <w:szCs w:val="18"/>
                      <w:highlight w:val="none"/>
                    </w:rPr>
                    <w:t>木焦油密度按1.30g/cm</w:t>
                  </w:r>
                  <w:r>
                    <w:rPr>
                      <w:color w:val="auto"/>
                      <w:sz w:val="20"/>
                      <w:szCs w:val="18"/>
                      <w:highlight w:val="none"/>
                      <w:vertAlign w:val="superscript"/>
                    </w:rPr>
                    <w:t>3</w:t>
                  </w:r>
                  <w:r>
                    <w:rPr>
                      <w:rFonts w:hint="eastAsia"/>
                      <w:color w:val="auto"/>
                      <w:sz w:val="20"/>
                      <w:szCs w:val="18"/>
                      <w:highlight w:val="none"/>
                      <w:lang w:val="en-US" w:eastAsia="zh-CN"/>
                    </w:rPr>
                    <w:t>计算</w:t>
                  </w:r>
                  <w:r>
                    <w:rPr>
                      <w:color w:val="auto"/>
                      <w:sz w:val="20"/>
                      <w:szCs w:val="18"/>
                      <w:highlight w:val="none"/>
                    </w:rPr>
                    <w:t>，木醋液按1.018g/ml</w:t>
                  </w:r>
                  <w:r>
                    <w:rPr>
                      <w:rFonts w:hint="eastAsia"/>
                      <w:color w:val="auto"/>
                      <w:sz w:val="20"/>
                      <w:szCs w:val="18"/>
                      <w:highlight w:val="none"/>
                      <w:lang w:val="en-US" w:eastAsia="zh-CN"/>
                    </w:rPr>
                    <w:t>计算；</w:t>
                  </w:r>
                </w:p>
                <w:p w14:paraId="4364814B">
                  <w:pPr>
                    <w:rPr>
                      <w:rFonts w:hint="eastAsia"/>
                      <w:color w:val="auto"/>
                      <w:sz w:val="20"/>
                      <w:szCs w:val="22"/>
                      <w:highlight w:val="none"/>
                      <w:lang w:val="en-US" w:eastAsia="zh-CN"/>
                    </w:rPr>
                  </w:pPr>
                  <w:r>
                    <w:rPr>
                      <w:rFonts w:hint="eastAsia"/>
                      <w:color w:val="auto"/>
                      <w:sz w:val="20"/>
                      <w:szCs w:val="22"/>
                      <w:highlight w:val="none"/>
                      <w:vertAlign w:val="superscript"/>
                      <w:lang w:val="en-US" w:eastAsia="zh-CN"/>
                    </w:rPr>
                    <w:t>b</w:t>
                  </w:r>
                  <w:r>
                    <w:rPr>
                      <w:rFonts w:hint="eastAsia"/>
                      <w:color w:val="auto"/>
                      <w:sz w:val="20"/>
                      <w:szCs w:val="22"/>
                      <w:highlight w:val="none"/>
                      <w:lang w:val="en-US" w:eastAsia="zh-CN"/>
                    </w:rPr>
                    <w:t>木焦油属于油类物质，根据HJ169-2018临界量取2500t；</w:t>
                  </w:r>
                </w:p>
                <w:p w14:paraId="792A7B19">
                  <w:pPr>
                    <w:pStyle w:val="32"/>
                    <w:bidi w:val="0"/>
                    <w:jc w:val="left"/>
                    <w:rPr>
                      <w:rFonts w:hint="default"/>
                      <w:b w:val="0"/>
                      <w:bCs/>
                      <w:color w:val="auto"/>
                      <w:highlight w:val="none"/>
                      <w:lang w:val="en-US" w:eastAsia="zh-CN"/>
                    </w:rPr>
                  </w:pPr>
                  <w:r>
                    <w:rPr>
                      <w:rFonts w:hint="eastAsia"/>
                      <w:b w:val="0"/>
                      <w:bCs/>
                      <w:color w:val="auto"/>
                      <w:sz w:val="20"/>
                      <w:szCs w:val="20"/>
                      <w:highlight w:val="none"/>
                      <w:vertAlign w:val="superscript"/>
                      <w:lang w:val="en-US" w:eastAsia="zh-CN"/>
                    </w:rPr>
                    <w:t>c</w:t>
                  </w:r>
                  <w:r>
                    <w:rPr>
                      <w:rFonts w:hint="eastAsia"/>
                      <w:b w:val="0"/>
                      <w:bCs/>
                      <w:color w:val="auto"/>
                      <w:sz w:val="20"/>
                      <w:szCs w:val="20"/>
                      <w:highlight w:val="none"/>
                      <w:lang w:val="en-US" w:eastAsia="zh-CN"/>
                    </w:rPr>
                    <w:t>木醋液没有明确临界值，属于危害水环境物质，临界量按HJ169-2018表B.2取100t。</w:t>
                  </w:r>
                </w:p>
              </w:tc>
            </w:tr>
            <w:bookmarkEnd w:id="6"/>
            <w:bookmarkEnd w:id="7"/>
            <w:bookmarkEnd w:id="8"/>
          </w:tbl>
          <w:p w14:paraId="4920B3EA">
            <w:pPr>
              <w:pStyle w:val="11"/>
              <w:bidi w:val="0"/>
              <w:rPr>
                <w:rFonts w:hint="eastAsia"/>
                <w:color w:val="auto"/>
                <w:highlight w:val="none"/>
                <w:lang w:val="en-US" w:eastAsia="zh-CN"/>
              </w:rPr>
            </w:pPr>
            <w:r>
              <w:rPr>
                <w:rFonts w:hint="eastAsia"/>
                <w:color w:val="auto"/>
                <w:highlight w:val="none"/>
                <w:lang w:val="en-US" w:eastAsia="zh-CN"/>
              </w:rPr>
              <w:t>由上表计算可知，本次拟建项目危险物质数量与临界量比值Q为0.546，Q＜1，因此环境风险潜势为</w:t>
            </w:r>
            <w:r>
              <w:rPr>
                <w:rFonts w:hint="default" w:ascii="Times New Roman" w:hAnsi="Times New Roman" w:cs="Times New Roman"/>
                <w:color w:val="auto"/>
                <w:highlight w:val="none"/>
                <w:lang w:val="en-US" w:eastAsia="zh-CN"/>
              </w:rPr>
              <w:t>Ⅰ</w:t>
            </w:r>
            <w:r>
              <w:rPr>
                <w:rFonts w:hint="eastAsia"/>
                <w:color w:val="auto"/>
                <w:highlight w:val="none"/>
                <w:lang w:val="en-US" w:eastAsia="zh-CN"/>
              </w:rPr>
              <w:t>，本次环境风险评价进行简单分析，评价工作等级划分见表4-19。</w:t>
            </w:r>
          </w:p>
          <w:p w14:paraId="1527FFFD">
            <w:pPr>
              <w:pStyle w:val="32"/>
              <w:bidi w:val="0"/>
              <w:rPr>
                <w:color w:val="auto"/>
                <w:highlight w:val="none"/>
              </w:rPr>
            </w:pPr>
            <w:r>
              <w:rPr>
                <w:color w:val="auto"/>
                <w:highlight w:val="none"/>
              </w:rPr>
              <w:t>表4-</w:t>
            </w:r>
            <w:r>
              <w:rPr>
                <w:rFonts w:hint="eastAsia"/>
                <w:color w:val="auto"/>
                <w:highlight w:val="none"/>
                <w:lang w:val="en-US" w:eastAsia="zh-CN"/>
              </w:rPr>
              <w:t xml:space="preserve">19   </w:t>
            </w:r>
            <w:r>
              <w:rPr>
                <w:color w:val="auto"/>
                <w:highlight w:val="none"/>
              </w:rPr>
              <w:t>评价工作等级划分</w:t>
            </w:r>
          </w:p>
          <w:tbl>
            <w:tblPr>
              <w:tblStyle w:val="26"/>
              <w:tblW w:w="4998"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28" w:type="dxa"/>
                <w:bottom w:w="0" w:type="dxa"/>
                <w:right w:w="28" w:type="dxa"/>
              </w:tblCellMar>
            </w:tblPr>
            <w:tblGrid>
              <w:gridCol w:w="1388"/>
              <w:gridCol w:w="1259"/>
              <w:gridCol w:w="1349"/>
              <w:gridCol w:w="1389"/>
              <w:gridCol w:w="2538"/>
            </w:tblGrid>
            <w:tr w14:paraId="3664B5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trPr>
              <w:tc>
                <w:tcPr>
                  <w:tcW w:w="876" w:type="pct"/>
                  <w:tcBorders>
                    <w:tl2br w:val="nil"/>
                    <w:tr2bl w:val="nil"/>
                  </w:tcBorders>
                  <w:noWrap/>
                  <w:vAlign w:val="center"/>
                </w:tcPr>
                <w:p w14:paraId="46CCECF7">
                  <w:pPr>
                    <w:pStyle w:val="49"/>
                    <w:bidi w:val="0"/>
                    <w:rPr>
                      <w:b/>
                      <w:bCs w:val="0"/>
                      <w:color w:val="auto"/>
                      <w:highlight w:val="none"/>
                    </w:rPr>
                  </w:pPr>
                  <w:r>
                    <w:rPr>
                      <w:b/>
                      <w:bCs w:val="0"/>
                      <w:color w:val="auto"/>
                      <w:highlight w:val="none"/>
                    </w:rPr>
                    <w:t>环境风险潜势</w:t>
                  </w:r>
                </w:p>
              </w:tc>
              <w:tc>
                <w:tcPr>
                  <w:tcW w:w="795" w:type="pct"/>
                  <w:tcBorders>
                    <w:tl2br w:val="nil"/>
                    <w:tr2bl w:val="nil"/>
                  </w:tcBorders>
                  <w:noWrap/>
                  <w:vAlign w:val="center"/>
                </w:tcPr>
                <w:p w14:paraId="7BD2C281">
                  <w:pPr>
                    <w:pStyle w:val="49"/>
                    <w:bidi w:val="0"/>
                    <w:rPr>
                      <w:color w:val="auto"/>
                      <w:highlight w:val="none"/>
                    </w:rPr>
                  </w:pPr>
                  <w:r>
                    <w:rPr>
                      <w:color w:val="auto"/>
                      <w:highlight w:val="none"/>
                    </w:rPr>
                    <w:t>Ⅳ、Ⅳ</w:t>
                  </w:r>
                  <w:r>
                    <w:rPr>
                      <w:color w:val="auto"/>
                      <w:highlight w:val="none"/>
                      <w:vertAlign w:val="superscript"/>
                    </w:rPr>
                    <w:t>+</w:t>
                  </w:r>
                </w:p>
              </w:tc>
              <w:tc>
                <w:tcPr>
                  <w:tcW w:w="851" w:type="pct"/>
                  <w:tcBorders>
                    <w:tl2br w:val="nil"/>
                    <w:tr2bl w:val="nil"/>
                  </w:tcBorders>
                  <w:noWrap/>
                  <w:vAlign w:val="center"/>
                </w:tcPr>
                <w:p w14:paraId="743D1CD1">
                  <w:pPr>
                    <w:pStyle w:val="49"/>
                    <w:bidi w:val="0"/>
                    <w:rPr>
                      <w:color w:val="auto"/>
                      <w:highlight w:val="none"/>
                    </w:rPr>
                  </w:pPr>
                  <w:r>
                    <w:rPr>
                      <w:color w:val="auto"/>
                      <w:highlight w:val="none"/>
                    </w:rPr>
                    <w:t>Ⅲ</w:t>
                  </w:r>
                </w:p>
              </w:tc>
              <w:tc>
                <w:tcPr>
                  <w:tcW w:w="876" w:type="pct"/>
                  <w:tcBorders>
                    <w:tl2br w:val="nil"/>
                    <w:tr2bl w:val="nil"/>
                  </w:tcBorders>
                  <w:noWrap/>
                  <w:vAlign w:val="center"/>
                </w:tcPr>
                <w:p w14:paraId="2F4C1235">
                  <w:pPr>
                    <w:pStyle w:val="49"/>
                    <w:bidi w:val="0"/>
                    <w:rPr>
                      <w:color w:val="auto"/>
                      <w:highlight w:val="none"/>
                    </w:rPr>
                  </w:pPr>
                  <w:r>
                    <w:rPr>
                      <w:color w:val="auto"/>
                      <w:highlight w:val="none"/>
                    </w:rPr>
                    <w:t>Ⅱ</w:t>
                  </w:r>
                </w:p>
              </w:tc>
              <w:tc>
                <w:tcPr>
                  <w:tcW w:w="1600" w:type="pct"/>
                  <w:tcBorders>
                    <w:tl2br w:val="nil"/>
                    <w:tr2bl w:val="nil"/>
                  </w:tcBorders>
                  <w:noWrap/>
                  <w:vAlign w:val="center"/>
                </w:tcPr>
                <w:p w14:paraId="604A313B">
                  <w:pPr>
                    <w:pStyle w:val="49"/>
                    <w:bidi w:val="0"/>
                    <w:rPr>
                      <w:color w:val="auto"/>
                      <w:highlight w:val="none"/>
                    </w:rPr>
                  </w:pPr>
                  <w:r>
                    <w:rPr>
                      <w:color w:val="auto"/>
                      <w:highlight w:val="none"/>
                    </w:rPr>
                    <w:t>Ⅰ</w:t>
                  </w:r>
                </w:p>
              </w:tc>
            </w:tr>
            <w:tr w14:paraId="10383E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trPr>
              <w:tc>
                <w:tcPr>
                  <w:tcW w:w="876" w:type="pct"/>
                  <w:tcBorders>
                    <w:tl2br w:val="nil"/>
                    <w:tr2bl w:val="nil"/>
                  </w:tcBorders>
                  <w:noWrap/>
                  <w:vAlign w:val="center"/>
                </w:tcPr>
                <w:p w14:paraId="55F14726">
                  <w:pPr>
                    <w:pStyle w:val="49"/>
                    <w:bidi w:val="0"/>
                    <w:rPr>
                      <w:b/>
                      <w:bCs w:val="0"/>
                      <w:color w:val="auto"/>
                      <w:highlight w:val="none"/>
                    </w:rPr>
                  </w:pPr>
                  <w:r>
                    <w:rPr>
                      <w:b/>
                      <w:bCs w:val="0"/>
                      <w:color w:val="auto"/>
                      <w:highlight w:val="none"/>
                    </w:rPr>
                    <w:t>评价工作等级</w:t>
                  </w:r>
                </w:p>
              </w:tc>
              <w:tc>
                <w:tcPr>
                  <w:tcW w:w="795" w:type="pct"/>
                  <w:tcBorders>
                    <w:tl2br w:val="nil"/>
                    <w:tr2bl w:val="nil"/>
                  </w:tcBorders>
                  <w:noWrap/>
                  <w:vAlign w:val="center"/>
                </w:tcPr>
                <w:p w14:paraId="7363392A">
                  <w:pPr>
                    <w:pStyle w:val="49"/>
                    <w:bidi w:val="0"/>
                    <w:rPr>
                      <w:color w:val="auto"/>
                      <w:highlight w:val="none"/>
                    </w:rPr>
                  </w:pPr>
                  <w:r>
                    <w:rPr>
                      <w:color w:val="auto"/>
                      <w:highlight w:val="none"/>
                    </w:rPr>
                    <w:t>一</w:t>
                  </w:r>
                </w:p>
              </w:tc>
              <w:tc>
                <w:tcPr>
                  <w:tcW w:w="851" w:type="pct"/>
                  <w:tcBorders>
                    <w:tl2br w:val="nil"/>
                    <w:tr2bl w:val="nil"/>
                  </w:tcBorders>
                  <w:noWrap/>
                  <w:vAlign w:val="center"/>
                </w:tcPr>
                <w:p w14:paraId="02192CEE">
                  <w:pPr>
                    <w:pStyle w:val="49"/>
                    <w:bidi w:val="0"/>
                    <w:rPr>
                      <w:color w:val="auto"/>
                      <w:highlight w:val="none"/>
                    </w:rPr>
                  </w:pPr>
                  <w:r>
                    <w:rPr>
                      <w:color w:val="auto"/>
                      <w:highlight w:val="none"/>
                    </w:rPr>
                    <w:t>二</w:t>
                  </w:r>
                </w:p>
              </w:tc>
              <w:tc>
                <w:tcPr>
                  <w:tcW w:w="876" w:type="pct"/>
                  <w:tcBorders>
                    <w:tl2br w:val="nil"/>
                    <w:tr2bl w:val="nil"/>
                  </w:tcBorders>
                  <w:noWrap/>
                  <w:vAlign w:val="center"/>
                </w:tcPr>
                <w:p w14:paraId="5DC38BA3">
                  <w:pPr>
                    <w:pStyle w:val="49"/>
                    <w:bidi w:val="0"/>
                    <w:rPr>
                      <w:color w:val="auto"/>
                      <w:highlight w:val="none"/>
                    </w:rPr>
                  </w:pPr>
                  <w:r>
                    <w:rPr>
                      <w:color w:val="auto"/>
                      <w:highlight w:val="none"/>
                    </w:rPr>
                    <w:t>三</w:t>
                  </w:r>
                </w:p>
              </w:tc>
              <w:tc>
                <w:tcPr>
                  <w:tcW w:w="1600" w:type="pct"/>
                  <w:tcBorders>
                    <w:tl2br w:val="nil"/>
                    <w:tr2bl w:val="nil"/>
                  </w:tcBorders>
                  <w:noWrap/>
                  <w:vAlign w:val="center"/>
                </w:tcPr>
                <w:p w14:paraId="629F0BDF">
                  <w:pPr>
                    <w:pStyle w:val="49"/>
                    <w:bidi w:val="0"/>
                    <w:rPr>
                      <w:color w:val="auto"/>
                      <w:highlight w:val="none"/>
                    </w:rPr>
                  </w:pPr>
                  <w:r>
                    <w:rPr>
                      <w:color w:val="auto"/>
                      <w:highlight w:val="none"/>
                    </w:rPr>
                    <w:t>简单分析</w:t>
                  </w:r>
                  <w:r>
                    <w:rPr>
                      <w:color w:val="auto"/>
                      <w:highlight w:val="none"/>
                      <w:vertAlign w:val="superscript"/>
                    </w:rPr>
                    <w:t>a</w:t>
                  </w:r>
                </w:p>
              </w:tc>
            </w:tr>
            <w:tr w14:paraId="20521B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28" w:type="dxa"/>
                  <w:bottom w:w="0" w:type="dxa"/>
                  <w:right w:w="28" w:type="dxa"/>
                </w:tblCellMar>
              </w:tblPrEx>
              <w:trPr>
                <w:trHeight w:val="340" w:hRule="atLeast"/>
              </w:trPr>
              <w:tc>
                <w:tcPr>
                  <w:tcW w:w="5000" w:type="pct"/>
                  <w:gridSpan w:val="5"/>
                  <w:tcBorders>
                    <w:tl2br w:val="nil"/>
                    <w:tr2bl w:val="nil"/>
                  </w:tcBorders>
                  <w:noWrap/>
                  <w:vAlign w:val="center"/>
                </w:tcPr>
                <w:p w14:paraId="5D214C59">
                  <w:pPr>
                    <w:pStyle w:val="49"/>
                    <w:bidi w:val="0"/>
                    <w:jc w:val="left"/>
                    <w:rPr>
                      <w:color w:val="auto"/>
                      <w:highlight w:val="none"/>
                    </w:rPr>
                  </w:pPr>
                  <w:r>
                    <w:rPr>
                      <w:color w:val="auto"/>
                      <w:sz w:val="20"/>
                      <w:szCs w:val="18"/>
                      <w:highlight w:val="none"/>
                      <w:vertAlign w:val="superscript"/>
                    </w:rPr>
                    <w:t>a</w:t>
                  </w:r>
                  <w:r>
                    <w:rPr>
                      <w:color w:val="auto"/>
                      <w:sz w:val="20"/>
                      <w:szCs w:val="18"/>
                      <w:highlight w:val="none"/>
                    </w:rPr>
                    <w:t>是相对于详细评价工作内容而言，在描述危险物质、环境影响途径、环境危害结果、风险防范措施等方面给出定性说明</w:t>
                  </w:r>
                </w:p>
              </w:tc>
            </w:tr>
          </w:tbl>
          <w:p w14:paraId="10C4D22D">
            <w:pPr>
              <w:pStyle w:val="11"/>
              <w:numPr>
                <w:ilvl w:val="0"/>
                <w:numId w:val="13"/>
              </w:numPr>
              <w:bidi w:val="0"/>
              <w:ind w:left="0" w:leftChars="0" w:firstLine="480" w:firstLineChars="200"/>
              <w:rPr>
                <w:rFonts w:hint="default"/>
                <w:color w:val="auto"/>
                <w:highlight w:val="none"/>
                <w:lang w:val="en-US" w:eastAsia="zh-CN"/>
              </w:rPr>
            </w:pPr>
            <w:r>
              <w:rPr>
                <w:rFonts w:hint="default"/>
                <w:color w:val="auto"/>
                <w:highlight w:val="none"/>
                <w:lang w:val="en-US" w:eastAsia="zh-CN"/>
              </w:rPr>
              <w:t>环境风险分析</w:t>
            </w:r>
          </w:p>
          <w:p w14:paraId="1D549373">
            <w:pPr>
              <w:pStyle w:val="11"/>
              <w:bidi w:val="0"/>
              <w:rPr>
                <w:rFonts w:hint="default"/>
                <w:color w:val="auto"/>
                <w:highlight w:val="none"/>
                <w:lang w:val="en-US" w:eastAsia="zh-CN"/>
              </w:rPr>
            </w:pPr>
            <w:r>
              <w:rPr>
                <w:rFonts w:hint="default"/>
                <w:color w:val="auto"/>
                <w:highlight w:val="none"/>
                <w:lang w:val="en-US" w:eastAsia="zh-CN"/>
              </w:rPr>
              <w:t>事故状态下，污染物主要通过以下途径影响环境：</w:t>
            </w:r>
          </w:p>
          <w:p w14:paraId="39F711CE">
            <w:pPr>
              <w:pStyle w:val="11"/>
              <w:bidi w:val="0"/>
              <w:rPr>
                <w:rFonts w:hint="default"/>
                <w:color w:val="auto"/>
                <w:highlight w:val="none"/>
                <w:lang w:val="en-US" w:eastAsia="zh-CN"/>
              </w:rPr>
            </w:pPr>
            <w:r>
              <w:rPr>
                <w:rFonts w:hint="default"/>
                <w:color w:val="auto"/>
                <w:highlight w:val="none"/>
                <w:lang w:val="en-US" w:eastAsia="zh-CN"/>
              </w:rPr>
              <w:t>大气扩散：</w:t>
            </w:r>
            <w:r>
              <w:rPr>
                <w:rFonts w:hint="eastAsia"/>
                <w:color w:val="auto"/>
                <w:highlight w:val="none"/>
                <w:lang w:val="en-US" w:eastAsia="zh-CN"/>
              </w:rPr>
              <w:t>秸秆气和天然气</w:t>
            </w:r>
            <w:r>
              <w:rPr>
                <w:rFonts w:hint="default"/>
                <w:color w:val="auto"/>
                <w:highlight w:val="none"/>
                <w:lang w:val="en-US" w:eastAsia="zh-CN"/>
              </w:rPr>
              <w:t>（尤其是CO）泄漏直接造成大气污染；火灾爆炸产生的次生污染物随大气扩散。</w:t>
            </w:r>
          </w:p>
          <w:p w14:paraId="6AA47340">
            <w:pPr>
              <w:pStyle w:val="11"/>
              <w:bidi w:val="0"/>
              <w:rPr>
                <w:rFonts w:hint="default"/>
                <w:color w:val="auto"/>
                <w:highlight w:val="none"/>
                <w:lang w:val="en-US" w:eastAsia="zh-CN"/>
              </w:rPr>
            </w:pPr>
            <w:r>
              <w:rPr>
                <w:rFonts w:hint="default"/>
                <w:color w:val="auto"/>
                <w:highlight w:val="none"/>
                <w:lang w:val="en-US" w:eastAsia="zh-CN"/>
              </w:rPr>
              <w:t>地表漫流：泄漏的液态物料或消防废水漫流出围堰或厂区，通过雨水系统污染地表水体。</w:t>
            </w:r>
          </w:p>
          <w:p w14:paraId="4A6BCA48">
            <w:pPr>
              <w:pStyle w:val="11"/>
              <w:bidi w:val="0"/>
              <w:rPr>
                <w:rFonts w:hint="default"/>
                <w:color w:val="auto"/>
                <w:highlight w:val="none"/>
                <w:lang w:val="en-US" w:eastAsia="zh-CN"/>
              </w:rPr>
            </w:pPr>
            <w:r>
              <w:rPr>
                <w:rFonts w:hint="default"/>
                <w:color w:val="auto"/>
                <w:highlight w:val="none"/>
                <w:lang w:val="en-US" w:eastAsia="zh-CN"/>
              </w:rPr>
              <w:t>垂直入渗：泄漏的液态物料在防渗层失效的情况下向下渗透，污染土壤和地下水。这是最隐蔽、最难修复的途径。</w:t>
            </w:r>
          </w:p>
          <w:p w14:paraId="22ACFE5F">
            <w:pPr>
              <w:pStyle w:val="11"/>
              <w:bidi w:val="0"/>
              <w:rPr>
                <w:rFonts w:hint="default"/>
                <w:color w:val="auto"/>
                <w:highlight w:val="none"/>
                <w:lang w:val="en-US" w:eastAsia="zh-CN"/>
              </w:rPr>
            </w:pPr>
            <w:r>
              <w:rPr>
                <w:rFonts w:hint="default"/>
                <w:color w:val="auto"/>
                <w:highlight w:val="none"/>
                <w:lang w:val="en-US" w:eastAsia="zh-CN"/>
              </w:rPr>
              <w:t>粉尘燃烧爆炸：秸秆粉碎及输送过程中产生的粉尘在车间或库房内积聚，当空气中粉尘浓度达到爆炸下限（约 40～60 g/m³），遇明火、静电火花或机械摩擦火花可能引发粉尘爆炸，爆炸冲击波可导致建筑物损坏和人员伤亡，次生火灾产生的烟气造成大气污染，消防废水可能携带物料进入地表水体。</w:t>
            </w:r>
          </w:p>
          <w:p w14:paraId="67E7483C">
            <w:pPr>
              <w:adjustRightInd w:val="0"/>
              <w:snapToGrid w:val="0"/>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4</w:t>
            </w:r>
            <w:r>
              <w:rPr>
                <w:rFonts w:hint="eastAsia"/>
                <w:color w:val="auto"/>
                <w:sz w:val="24"/>
                <w:highlight w:val="none"/>
                <w:lang w:eastAsia="zh-CN"/>
              </w:rPr>
              <w:t>）</w:t>
            </w:r>
            <w:r>
              <w:rPr>
                <w:color w:val="auto"/>
                <w:sz w:val="24"/>
                <w:highlight w:val="none"/>
              </w:rPr>
              <w:t>风险防范措施</w:t>
            </w:r>
          </w:p>
          <w:p w14:paraId="743973C6">
            <w:pPr>
              <w:adjustRightInd w:val="0"/>
              <w:snapToGrid w:val="0"/>
              <w:spacing w:line="360" w:lineRule="auto"/>
              <w:ind w:firstLine="480" w:firstLineChars="200"/>
              <w:rPr>
                <w:color w:val="auto"/>
                <w:sz w:val="24"/>
                <w:highlight w:val="none"/>
              </w:rPr>
            </w:pPr>
            <w:r>
              <w:rPr>
                <w:rFonts w:hint="eastAsia"/>
                <w:color w:val="auto"/>
                <w:sz w:val="24"/>
                <w:highlight w:val="none"/>
                <w:lang w:val="en-US" w:eastAsia="zh-CN"/>
              </w:rPr>
              <w:t>1）</w:t>
            </w:r>
            <w:r>
              <w:rPr>
                <w:color w:val="auto"/>
                <w:sz w:val="24"/>
                <w:highlight w:val="none"/>
              </w:rPr>
              <w:t>风险事故预防及减缓措施</w:t>
            </w:r>
          </w:p>
          <w:p w14:paraId="36E8D702">
            <w:pPr>
              <w:adjustRightInd w:val="0"/>
              <w:snapToGrid w:val="0"/>
              <w:spacing w:line="360" w:lineRule="auto"/>
              <w:ind w:firstLine="480" w:firstLineChars="200"/>
              <w:rPr>
                <w:color w:val="auto"/>
                <w:sz w:val="24"/>
                <w:highlight w:val="none"/>
              </w:rPr>
            </w:pPr>
            <w:r>
              <w:rPr>
                <w:color w:val="auto"/>
                <w:sz w:val="24"/>
                <w:highlight w:val="none"/>
              </w:rPr>
              <w:t>事故的防范措施是项目风险评价的重要内容。为防止事故的发生，拟建项目的环境风险评价从管理、安全设计、防火、防毒等方面提出风险事故的以下防范措施：</w:t>
            </w:r>
          </w:p>
          <w:p w14:paraId="5B62642C">
            <w:pPr>
              <w:adjustRightInd w:val="0"/>
              <w:snapToGrid w:val="0"/>
              <w:spacing w:line="360" w:lineRule="auto"/>
              <w:ind w:firstLine="480" w:firstLineChars="200"/>
              <w:rPr>
                <w:color w:val="auto"/>
                <w:sz w:val="24"/>
                <w:highlight w:val="none"/>
              </w:rPr>
            </w:pPr>
            <w:r>
              <w:rPr>
                <w:rFonts w:hint="eastAsia" w:ascii="宋体" w:hAnsi="宋体" w:cs="宋体"/>
                <w:color w:val="auto"/>
                <w:sz w:val="24"/>
                <w:highlight w:val="none"/>
              </w:rPr>
              <w:t>①</w:t>
            </w:r>
            <w:r>
              <w:rPr>
                <w:color w:val="auto"/>
                <w:sz w:val="24"/>
                <w:highlight w:val="none"/>
              </w:rPr>
              <w:t>在对</w:t>
            </w:r>
            <w:r>
              <w:rPr>
                <w:rFonts w:hint="eastAsia"/>
                <w:color w:val="auto"/>
                <w:sz w:val="24"/>
                <w:highlight w:val="none"/>
                <w:lang w:val="en-US" w:eastAsia="zh-CN"/>
              </w:rPr>
              <w:t>秸秆</w:t>
            </w:r>
            <w:r>
              <w:rPr>
                <w:color w:val="auto"/>
                <w:sz w:val="24"/>
                <w:highlight w:val="none"/>
              </w:rPr>
              <w:t>气设施运行及停气检修时必须严格按照有关安全生产的规定进行。</w:t>
            </w:r>
            <w:r>
              <w:rPr>
                <w:rFonts w:hint="eastAsia"/>
                <w:color w:val="auto"/>
                <w:sz w:val="24"/>
                <w:highlight w:val="none"/>
                <w:lang w:val="en-US" w:eastAsia="zh-CN"/>
              </w:rPr>
              <w:t>天然气</w:t>
            </w:r>
            <w:r>
              <w:rPr>
                <w:color w:val="auto"/>
                <w:sz w:val="24"/>
                <w:highlight w:val="none"/>
              </w:rPr>
              <w:t>管道及</w:t>
            </w:r>
            <w:r>
              <w:rPr>
                <w:rFonts w:hint="eastAsia"/>
                <w:color w:val="auto"/>
                <w:sz w:val="24"/>
                <w:highlight w:val="none"/>
                <w:lang w:val="en-US" w:eastAsia="zh-CN"/>
              </w:rPr>
              <w:t>秸秆气</w:t>
            </w:r>
            <w:r>
              <w:rPr>
                <w:color w:val="auto"/>
                <w:sz w:val="24"/>
                <w:highlight w:val="none"/>
              </w:rPr>
              <w:t>燃烧设备的设计和施工中，应严格按照《工业企业煤气安全规程》（GB6222-86）等安全生产的有关规定进行。</w:t>
            </w:r>
          </w:p>
          <w:p w14:paraId="2E7540BD">
            <w:pPr>
              <w:adjustRightInd w:val="0"/>
              <w:snapToGrid w:val="0"/>
              <w:spacing w:line="360" w:lineRule="auto"/>
              <w:ind w:firstLine="480" w:firstLineChars="200"/>
              <w:rPr>
                <w:color w:val="auto"/>
                <w:sz w:val="24"/>
                <w:highlight w:val="none"/>
              </w:rPr>
            </w:pPr>
            <w:r>
              <w:rPr>
                <w:rFonts w:hint="eastAsia" w:ascii="宋体" w:hAnsi="宋体" w:cs="宋体"/>
                <w:color w:val="auto"/>
                <w:sz w:val="24"/>
                <w:highlight w:val="none"/>
              </w:rPr>
              <w:t>②</w:t>
            </w:r>
            <w:r>
              <w:rPr>
                <w:color w:val="auto"/>
                <w:sz w:val="24"/>
                <w:highlight w:val="none"/>
              </w:rPr>
              <w:t>加</w:t>
            </w:r>
            <w:r>
              <w:rPr>
                <w:rFonts w:hint="eastAsia"/>
                <w:color w:val="auto"/>
                <w:sz w:val="24"/>
                <w:highlight w:val="none"/>
                <w:lang w:eastAsia="zh-CN"/>
              </w:rPr>
              <w:t>强对</w:t>
            </w:r>
            <w:r>
              <w:rPr>
                <w:color w:val="auto"/>
                <w:sz w:val="24"/>
                <w:highlight w:val="none"/>
              </w:rPr>
              <w:t>员工的教育，提高员工的责任心和主观能动性：完善并严格遵守相关的操作规程，加强岗位培训，落实岗位责任制；加强设备管理，特别是对易产生有毒物质泄漏的部位加强检查。除生产必须用人外，严禁携带火柴、打火机、烟头等火种进入。不准穿有钉鞋和化纤衣服的人员，以及汽车、电瓶车或其他机动车辆进入。</w:t>
            </w:r>
          </w:p>
          <w:p w14:paraId="38222E43">
            <w:pPr>
              <w:adjustRightInd w:val="0"/>
              <w:snapToGrid w:val="0"/>
              <w:spacing w:line="360" w:lineRule="auto"/>
              <w:ind w:firstLine="480" w:firstLineChars="200"/>
              <w:rPr>
                <w:color w:val="auto"/>
                <w:sz w:val="24"/>
                <w:highlight w:val="none"/>
              </w:rPr>
            </w:pPr>
            <w:r>
              <w:rPr>
                <w:rFonts w:hint="eastAsia" w:ascii="宋体" w:hAnsi="宋体" w:cs="宋体"/>
                <w:color w:val="auto"/>
                <w:sz w:val="24"/>
                <w:highlight w:val="none"/>
              </w:rPr>
              <w:t>③</w:t>
            </w:r>
            <w:r>
              <w:rPr>
                <w:color w:val="auto"/>
                <w:sz w:val="24"/>
                <w:highlight w:val="none"/>
              </w:rPr>
              <w:t>建立事故预防、监测、检验、报警系统，应设置CO浓度检测报警装置；采取技术、工艺、设备、管理等综合预防措施，避免煤气意外泄漏事故发生；在易产生泄漏的位置设置检测仪和自动报警器，当发生泄漏事故时能及时报警，使事故能够得到及时扼杀；生产场所应设置相应的通风设施，确保工作人员不受有害气体的危害；对输送管道、管件等以及与之相关的设备进行重点安全监督。</w:t>
            </w:r>
          </w:p>
          <w:p w14:paraId="3E4327DB">
            <w:pPr>
              <w:adjustRightInd w:val="0"/>
              <w:snapToGrid w:val="0"/>
              <w:spacing w:line="360" w:lineRule="auto"/>
              <w:ind w:firstLine="480" w:firstLineChars="200"/>
              <w:rPr>
                <w:color w:val="auto"/>
                <w:sz w:val="24"/>
                <w:highlight w:val="none"/>
              </w:rPr>
            </w:pPr>
            <w:r>
              <w:rPr>
                <w:rFonts w:hint="eastAsia" w:ascii="宋体" w:hAnsi="宋体" w:cs="宋体"/>
                <w:color w:val="auto"/>
                <w:sz w:val="24"/>
                <w:highlight w:val="none"/>
              </w:rPr>
              <w:t>④</w:t>
            </w:r>
            <w:r>
              <w:rPr>
                <w:color w:val="auto"/>
                <w:sz w:val="24"/>
                <w:highlight w:val="none"/>
              </w:rPr>
              <w:t>提高项目生产的自动化控制水平，减少生产系统的操作偏差，确保拟建项目的生产安全。</w:t>
            </w:r>
          </w:p>
          <w:p w14:paraId="2F24DE8C">
            <w:pPr>
              <w:adjustRightInd w:val="0"/>
              <w:snapToGrid w:val="0"/>
              <w:spacing w:line="360" w:lineRule="auto"/>
              <w:ind w:firstLine="480" w:firstLineChars="200"/>
              <w:rPr>
                <w:color w:val="auto"/>
                <w:sz w:val="24"/>
                <w:highlight w:val="none"/>
              </w:rPr>
            </w:pPr>
            <w:r>
              <w:rPr>
                <w:rFonts w:hint="eastAsia" w:ascii="宋体" w:hAnsi="宋体" w:cs="宋体"/>
                <w:color w:val="auto"/>
                <w:sz w:val="24"/>
                <w:highlight w:val="none"/>
              </w:rPr>
              <w:t>⑤</w:t>
            </w:r>
            <w:r>
              <w:rPr>
                <w:color w:val="auto"/>
                <w:sz w:val="24"/>
                <w:highlight w:val="none"/>
              </w:rPr>
              <w:t>加强事故管理，在生产过程中注意对</w:t>
            </w:r>
            <w:r>
              <w:rPr>
                <w:rFonts w:hint="eastAsia"/>
                <w:color w:val="auto"/>
                <w:sz w:val="24"/>
                <w:highlight w:val="none"/>
                <w:lang w:eastAsia="zh-CN"/>
              </w:rPr>
              <w:t>其他</w:t>
            </w:r>
            <w:r>
              <w:rPr>
                <w:color w:val="auto"/>
                <w:sz w:val="24"/>
                <w:highlight w:val="none"/>
              </w:rPr>
              <w:t>单位相关事故的研究，充分吸取经验和教训。</w:t>
            </w:r>
          </w:p>
          <w:p w14:paraId="47623B0F">
            <w:pPr>
              <w:pStyle w:val="11"/>
              <w:bidi w:val="0"/>
              <w:rPr>
                <w:rFonts w:hint="eastAsia"/>
                <w:color w:val="auto"/>
                <w:highlight w:val="none"/>
                <w:lang w:val="en-US" w:eastAsia="zh-CN"/>
              </w:rPr>
            </w:pPr>
            <w:r>
              <w:rPr>
                <w:rFonts w:hint="eastAsia"/>
                <w:color w:val="auto"/>
                <w:highlight w:val="none"/>
                <w:lang w:val="en-US" w:eastAsia="zh-CN"/>
              </w:rPr>
              <w:t>⑥储罐区建设提出以下要求：</w:t>
            </w:r>
          </w:p>
          <w:p w14:paraId="0D64D231">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地面采用混凝土或经防腐处理的钢结构建设，宜采用防静电硬质环氧树脂材料，防止静电积聚和液体渗透。</w:t>
            </w:r>
          </w:p>
          <w:p w14:paraId="7293EC1A">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储存场所必须达到三防要求既防风、防水、防晒，离开地表水域150m外。</w:t>
            </w:r>
          </w:p>
          <w:p w14:paraId="4E9EA476">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场所围墙分割区域不能同种类物品放置同一区域。</w:t>
            </w:r>
          </w:p>
          <w:p w14:paraId="30E5A1E3">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储罐区设置围堰，围堰有效容积不小于区内最大储罐容积的 110%。</w:t>
            </w:r>
          </w:p>
          <w:p w14:paraId="649743D9">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库区必须有宽敞的人员行走通道便于货物进出和运输。</w:t>
            </w:r>
          </w:p>
          <w:p w14:paraId="1F975074">
            <w:pPr>
              <w:pStyle w:val="11"/>
              <w:numPr>
                <w:ilvl w:val="0"/>
                <w:numId w:val="14"/>
              </w:numPr>
              <w:bidi w:val="0"/>
              <w:rPr>
                <w:rFonts w:hint="default" w:eastAsia="宋体"/>
                <w:color w:val="auto"/>
                <w:highlight w:val="none"/>
                <w:lang w:val="en-US" w:eastAsia="zh-CN"/>
              </w:rPr>
            </w:pPr>
            <w:r>
              <w:rPr>
                <w:rFonts w:hint="eastAsia"/>
                <w:color w:val="auto"/>
                <w:highlight w:val="none"/>
                <w:lang w:val="en-US" w:eastAsia="zh-CN"/>
              </w:rPr>
              <w:t>配置灭火器具。</w:t>
            </w:r>
          </w:p>
          <w:p w14:paraId="05F36E02">
            <w:pPr>
              <w:pStyle w:val="11"/>
              <w:bidi w:val="0"/>
              <w:rPr>
                <w:rFonts w:hint="default"/>
                <w:color w:val="auto"/>
                <w:highlight w:val="none"/>
                <w:lang w:val="en-US" w:eastAsia="zh-CN"/>
              </w:rPr>
            </w:pPr>
            <w:r>
              <w:rPr>
                <w:rFonts w:hint="eastAsia"/>
                <w:color w:val="auto"/>
                <w:highlight w:val="none"/>
                <w:lang w:val="en-US" w:eastAsia="zh-CN"/>
              </w:rPr>
              <w:t>⑦秸秆原料库应采取防尘防爆措施，厂房内电气设备采用防爆型，设置粉尘浓度监测报警装置，加强通风除尘，防止粉尘积聚达到爆炸下限。</w:t>
            </w:r>
          </w:p>
          <w:p w14:paraId="5B81888B">
            <w:pPr>
              <w:adjustRightInd w:val="0"/>
              <w:snapToGrid w:val="0"/>
              <w:spacing w:line="360" w:lineRule="auto"/>
              <w:ind w:firstLine="480" w:firstLineChars="200"/>
              <w:rPr>
                <w:color w:val="auto"/>
                <w:sz w:val="24"/>
                <w:highlight w:val="none"/>
              </w:rPr>
            </w:pPr>
            <w:r>
              <w:rPr>
                <w:color w:val="auto"/>
                <w:sz w:val="24"/>
                <w:highlight w:val="none"/>
              </w:rPr>
              <w:t>2）风险事故应急预案</w:t>
            </w:r>
          </w:p>
          <w:p w14:paraId="615B9B55">
            <w:pPr>
              <w:adjustRightInd w:val="0"/>
              <w:snapToGrid w:val="0"/>
              <w:spacing w:line="360" w:lineRule="auto"/>
              <w:ind w:firstLine="480" w:firstLineChars="200"/>
              <w:rPr>
                <w:color w:val="auto"/>
                <w:sz w:val="24"/>
                <w:highlight w:val="none"/>
              </w:rPr>
            </w:pPr>
            <w:r>
              <w:rPr>
                <w:color w:val="auto"/>
                <w:sz w:val="24"/>
                <w:highlight w:val="none"/>
              </w:rPr>
              <w:t>制定风险事故应急预案的</w:t>
            </w:r>
            <w:r>
              <w:rPr>
                <w:rFonts w:hint="eastAsia"/>
                <w:color w:val="auto"/>
                <w:sz w:val="24"/>
                <w:highlight w:val="none"/>
                <w:lang w:eastAsia="zh-CN"/>
              </w:rPr>
              <w:t>目的是</w:t>
            </w:r>
            <w:r>
              <w:rPr>
                <w:color w:val="auto"/>
                <w:sz w:val="24"/>
                <w:highlight w:val="none"/>
              </w:rPr>
              <w:t>在发生风险事故时，能以最快的速度发挥最大的效能，有序</w:t>
            </w:r>
            <w:r>
              <w:rPr>
                <w:rFonts w:hint="eastAsia"/>
                <w:color w:val="auto"/>
                <w:sz w:val="24"/>
                <w:highlight w:val="none"/>
                <w:lang w:eastAsia="zh-CN"/>
              </w:rPr>
              <w:t>地</w:t>
            </w:r>
            <w:r>
              <w:rPr>
                <w:color w:val="auto"/>
                <w:sz w:val="24"/>
                <w:highlight w:val="none"/>
              </w:rPr>
              <w:t>实施救援，尽快控制事态的发展，降低事故造成的危害，减少事故造成的损失。</w:t>
            </w:r>
          </w:p>
          <w:p w14:paraId="29D295FE">
            <w:pPr>
              <w:adjustRightInd w:val="0"/>
              <w:snapToGrid w:val="0"/>
              <w:spacing w:line="360" w:lineRule="auto"/>
              <w:ind w:firstLine="480" w:firstLineChars="200"/>
              <w:rPr>
                <w:rFonts w:hint="eastAsia"/>
                <w:color w:val="auto"/>
                <w:sz w:val="24"/>
                <w:highlight w:val="none"/>
              </w:rPr>
            </w:pPr>
            <w:r>
              <w:rPr>
                <w:color w:val="auto"/>
                <w:sz w:val="24"/>
                <w:highlight w:val="none"/>
              </w:rPr>
              <w:t>为了有效地处理风险事故，应有切实可行的处置措施。项目风险事故应急措施包括设备器材、事故现场指挥、救护、通讯等系统的建立、现场应急措施方案、事故危害监测队伍、现场撤离和善后措施方案等。设立报警、通讯系统以及事故处置领导体系；制定有效处理事故的应急行动方案，并得到有关部门的认可，能与有关部门有效配合；明确职责，并落实到单位和有关人员；制定控制和减少事故影响范围、程度以及补救行动的实施计划；对事故现场管理以及事故处置全过程的监督，应由富有事故处置经验的人员或有关部门工作人员承担；为提高事故处置队伍的协同救援水平和实战能力，检验救援体系的应急综合运作状态，提高其实战水平，应进行应急救援演练。</w:t>
            </w:r>
          </w:p>
          <w:p w14:paraId="3F09444E">
            <w:pPr>
              <w:adjustRightInd w:val="0"/>
              <w:snapToGrid w:val="0"/>
              <w:spacing w:line="360" w:lineRule="auto"/>
              <w:ind w:firstLine="480" w:firstLineChars="200"/>
              <w:rPr>
                <w:color w:val="auto"/>
                <w:sz w:val="24"/>
                <w:highlight w:val="none"/>
              </w:rPr>
            </w:pPr>
            <w:r>
              <w:rPr>
                <w:rFonts w:hint="eastAsia"/>
                <w:color w:val="auto"/>
                <w:sz w:val="24"/>
                <w:highlight w:val="none"/>
                <w:lang w:eastAsia="zh-CN"/>
              </w:rPr>
              <w:t>（</w:t>
            </w:r>
            <w:r>
              <w:rPr>
                <w:rFonts w:hint="eastAsia"/>
                <w:color w:val="auto"/>
                <w:sz w:val="24"/>
                <w:highlight w:val="none"/>
                <w:lang w:val="en-US" w:eastAsia="zh-CN"/>
              </w:rPr>
              <w:t>5</w:t>
            </w:r>
            <w:r>
              <w:rPr>
                <w:rFonts w:hint="eastAsia"/>
                <w:color w:val="auto"/>
                <w:sz w:val="24"/>
                <w:highlight w:val="none"/>
                <w:lang w:eastAsia="zh-CN"/>
              </w:rPr>
              <w:t>）</w:t>
            </w:r>
            <w:r>
              <w:rPr>
                <w:color w:val="auto"/>
                <w:sz w:val="24"/>
                <w:highlight w:val="none"/>
              </w:rPr>
              <w:t>分析结论</w:t>
            </w:r>
          </w:p>
          <w:p w14:paraId="49D4B344">
            <w:pPr>
              <w:adjustRightInd w:val="0"/>
              <w:snapToGrid w:val="0"/>
              <w:spacing w:line="360" w:lineRule="auto"/>
              <w:ind w:firstLine="480" w:firstLineChars="200"/>
              <w:rPr>
                <w:color w:val="auto"/>
                <w:sz w:val="24"/>
                <w:highlight w:val="none"/>
              </w:rPr>
            </w:pPr>
            <w:r>
              <w:rPr>
                <w:color w:val="auto"/>
                <w:sz w:val="24"/>
                <w:highlight w:val="none"/>
              </w:rPr>
              <w:t>本项目在落实以上风险防范措施的基础上，加强管理，可有效预防环境风险事故的发生，综上所述，本项目环境风险</w:t>
            </w:r>
            <w:r>
              <w:rPr>
                <w:rFonts w:hint="eastAsia"/>
                <w:color w:val="auto"/>
                <w:sz w:val="24"/>
                <w:highlight w:val="none"/>
              </w:rPr>
              <w:t>可接受</w:t>
            </w:r>
            <w:r>
              <w:rPr>
                <w:color w:val="auto"/>
                <w:sz w:val="24"/>
                <w:highlight w:val="none"/>
              </w:rPr>
              <w:t>。</w:t>
            </w:r>
          </w:p>
          <w:p w14:paraId="49D97062">
            <w:pPr>
              <w:pStyle w:val="11"/>
              <w:numPr>
                <w:ilvl w:val="0"/>
                <w:numId w:val="11"/>
              </w:numPr>
              <w:bidi w:val="0"/>
              <w:rPr>
                <w:rFonts w:hint="default"/>
                <w:b/>
                <w:bCs/>
                <w:color w:val="auto"/>
                <w:highlight w:val="none"/>
                <w:lang w:val="en-US" w:eastAsia="zh-CN"/>
              </w:rPr>
            </w:pPr>
            <w:r>
              <w:rPr>
                <w:rFonts w:hint="eastAsia"/>
                <w:b/>
                <w:bCs/>
                <w:color w:val="auto"/>
                <w:highlight w:val="none"/>
                <w:lang w:val="en-US" w:eastAsia="zh-CN"/>
              </w:rPr>
              <w:t>环保投资</w:t>
            </w:r>
          </w:p>
          <w:p w14:paraId="238089F2">
            <w:pPr>
              <w:pStyle w:val="11"/>
              <w:bidi w:val="0"/>
              <w:rPr>
                <w:color w:val="auto"/>
                <w:highlight w:val="none"/>
              </w:rPr>
            </w:pPr>
            <w:r>
              <w:rPr>
                <w:color w:val="auto"/>
                <w:highlight w:val="none"/>
              </w:rPr>
              <w:t>本项目总投资</w:t>
            </w:r>
            <w:r>
              <w:rPr>
                <w:rFonts w:hint="eastAsia"/>
                <w:color w:val="auto"/>
                <w:highlight w:val="none"/>
                <w:lang w:val="en-US" w:eastAsia="zh-CN"/>
              </w:rPr>
              <w:t>4900</w:t>
            </w:r>
            <w:r>
              <w:rPr>
                <w:color w:val="auto"/>
                <w:highlight w:val="none"/>
              </w:rPr>
              <w:t>万元，其中环保投资</w:t>
            </w:r>
            <w:r>
              <w:rPr>
                <w:rFonts w:hint="eastAsia"/>
                <w:color w:val="auto"/>
                <w:highlight w:val="none"/>
                <w:lang w:val="en-US" w:eastAsia="zh-CN"/>
              </w:rPr>
              <w:t>103.5</w:t>
            </w:r>
            <w:r>
              <w:rPr>
                <w:color w:val="auto"/>
                <w:highlight w:val="none"/>
              </w:rPr>
              <w:t>万元</w:t>
            </w:r>
            <w:r>
              <w:rPr>
                <w:rFonts w:hint="eastAsia"/>
                <w:color w:val="auto"/>
                <w:highlight w:val="none"/>
                <w:lang w:eastAsia="zh-CN"/>
              </w:rPr>
              <w:t>，</w:t>
            </w:r>
            <w:r>
              <w:rPr>
                <w:rFonts w:hint="eastAsia"/>
                <w:color w:val="auto"/>
                <w:highlight w:val="none"/>
                <w:lang w:val="en-US" w:eastAsia="zh-CN"/>
              </w:rPr>
              <w:t>占总投资的2.11%</w:t>
            </w:r>
            <w:r>
              <w:rPr>
                <w:color w:val="auto"/>
                <w:highlight w:val="none"/>
              </w:rPr>
              <w:t>。主要用于废气治理、废水治理、隔声降噪及固体废物处置等方面，具体见表</w:t>
            </w:r>
            <w:r>
              <w:rPr>
                <w:rFonts w:hint="eastAsia"/>
                <w:color w:val="auto"/>
                <w:highlight w:val="none"/>
              </w:rPr>
              <w:t>4-</w:t>
            </w:r>
            <w:r>
              <w:rPr>
                <w:rFonts w:hint="eastAsia"/>
                <w:color w:val="auto"/>
                <w:highlight w:val="none"/>
                <w:lang w:val="en-US" w:eastAsia="zh-CN"/>
              </w:rPr>
              <w:t>20</w:t>
            </w:r>
            <w:r>
              <w:rPr>
                <w:color w:val="auto"/>
                <w:highlight w:val="none"/>
              </w:rPr>
              <w:t>。</w:t>
            </w:r>
          </w:p>
          <w:p w14:paraId="71300D44">
            <w:pPr>
              <w:adjustRightInd w:val="0"/>
              <w:snapToGrid w:val="0"/>
              <w:ind w:firstLine="422" w:firstLineChars="200"/>
              <w:jc w:val="center"/>
              <w:rPr>
                <w:b/>
                <w:color w:val="auto"/>
                <w:szCs w:val="21"/>
                <w:highlight w:val="none"/>
              </w:rPr>
            </w:pPr>
            <w:r>
              <w:rPr>
                <w:b/>
                <w:color w:val="auto"/>
                <w:szCs w:val="21"/>
                <w:highlight w:val="none"/>
              </w:rPr>
              <w:t>表</w:t>
            </w:r>
            <w:r>
              <w:rPr>
                <w:rFonts w:hint="eastAsia"/>
                <w:b/>
                <w:color w:val="auto"/>
                <w:szCs w:val="21"/>
                <w:highlight w:val="none"/>
              </w:rPr>
              <w:t>4-</w:t>
            </w:r>
            <w:r>
              <w:rPr>
                <w:rFonts w:hint="eastAsia"/>
                <w:b/>
                <w:color w:val="auto"/>
                <w:szCs w:val="21"/>
                <w:highlight w:val="none"/>
                <w:lang w:val="en-US" w:eastAsia="zh-CN"/>
              </w:rPr>
              <w:t xml:space="preserve">20     </w:t>
            </w:r>
            <w:r>
              <w:rPr>
                <w:b/>
                <w:color w:val="auto"/>
                <w:szCs w:val="21"/>
                <w:highlight w:val="none"/>
              </w:rPr>
              <w:t>环保投资估算表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688"/>
              <w:gridCol w:w="3967"/>
              <w:gridCol w:w="1463"/>
            </w:tblGrid>
            <w:tr w14:paraId="4D90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6" w:type="dxa"/>
                  <w:gridSpan w:val="2"/>
                  <w:noWrap w:val="0"/>
                  <w:vAlign w:val="center"/>
                </w:tcPr>
                <w:p w14:paraId="7B4EDB61">
                  <w:pPr>
                    <w:adjustRightInd w:val="0"/>
                    <w:snapToGrid w:val="0"/>
                    <w:jc w:val="center"/>
                    <w:rPr>
                      <w:b/>
                      <w:bCs/>
                      <w:color w:val="auto"/>
                      <w:szCs w:val="21"/>
                      <w:highlight w:val="none"/>
                    </w:rPr>
                  </w:pPr>
                  <w:r>
                    <w:rPr>
                      <w:b/>
                      <w:bCs/>
                      <w:color w:val="auto"/>
                      <w:szCs w:val="21"/>
                      <w:highlight w:val="none"/>
                    </w:rPr>
                    <w:t>项目</w:t>
                  </w:r>
                </w:p>
              </w:tc>
              <w:tc>
                <w:tcPr>
                  <w:tcW w:w="3967" w:type="dxa"/>
                  <w:noWrap w:val="0"/>
                  <w:vAlign w:val="center"/>
                </w:tcPr>
                <w:p w14:paraId="782D3948">
                  <w:pPr>
                    <w:adjustRightInd w:val="0"/>
                    <w:snapToGrid w:val="0"/>
                    <w:jc w:val="center"/>
                    <w:rPr>
                      <w:b/>
                      <w:bCs/>
                      <w:color w:val="auto"/>
                      <w:szCs w:val="21"/>
                      <w:highlight w:val="none"/>
                    </w:rPr>
                  </w:pPr>
                  <w:r>
                    <w:rPr>
                      <w:b/>
                      <w:bCs/>
                      <w:color w:val="auto"/>
                      <w:szCs w:val="21"/>
                      <w:highlight w:val="none"/>
                    </w:rPr>
                    <w:t>环保设施</w:t>
                  </w:r>
                </w:p>
              </w:tc>
              <w:tc>
                <w:tcPr>
                  <w:tcW w:w="1463" w:type="dxa"/>
                  <w:noWrap w:val="0"/>
                  <w:vAlign w:val="center"/>
                </w:tcPr>
                <w:p w14:paraId="2029E2A8">
                  <w:pPr>
                    <w:adjustRightInd w:val="0"/>
                    <w:snapToGrid w:val="0"/>
                    <w:jc w:val="center"/>
                    <w:rPr>
                      <w:b/>
                      <w:bCs/>
                      <w:color w:val="auto"/>
                      <w:szCs w:val="21"/>
                      <w:highlight w:val="none"/>
                    </w:rPr>
                  </w:pPr>
                  <w:r>
                    <w:rPr>
                      <w:b/>
                      <w:bCs/>
                      <w:color w:val="auto"/>
                      <w:szCs w:val="21"/>
                      <w:highlight w:val="none"/>
                    </w:rPr>
                    <w:t>投资</w:t>
                  </w:r>
                  <w:r>
                    <w:rPr>
                      <w:b/>
                      <w:bCs/>
                      <w:color w:val="auto"/>
                      <w:spacing w:val="-20"/>
                      <w:szCs w:val="21"/>
                      <w:highlight w:val="none"/>
                    </w:rPr>
                    <w:t>（</w:t>
                  </w:r>
                  <w:r>
                    <w:rPr>
                      <w:b/>
                      <w:bCs/>
                      <w:color w:val="auto"/>
                      <w:szCs w:val="21"/>
                      <w:highlight w:val="none"/>
                    </w:rPr>
                    <w:t>万元）</w:t>
                  </w:r>
                </w:p>
              </w:tc>
            </w:tr>
            <w:tr w14:paraId="65E4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restart"/>
                  <w:noWrap w:val="0"/>
                  <w:vAlign w:val="center"/>
                </w:tcPr>
                <w:p w14:paraId="79DFE205">
                  <w:pPr>
                    <w:adjustRightInd w:val="0"/>
                    <w:snapToGrid w:val="0"/>
                    <w:jc w:val="center"/>
                    <w:rPr>
                      <w:color w:val="auto"/>
                      <w:szCs w:val="21"/>
                      <w:highlight w:val="none"/>
                    </w:rPr>
                  </w:pPr>
                  <w:r>
                    <w:rPr>
                      <w:color w:val="auto"/>
                      <w:szCs w:val="21"/>
                      <w:highlight w:val="none"/>
                    </w:rPr>
                    <w:t>废水</w:t>
                  </w:r>
                </w:p>
              </w:tc>
              <w:tc>
                <w:tcPr>
                  <w:tcW w:w="1688" w:type="dxa"/>
                  <w:noWrap w:val="0"/>
                  <w:vAlign w:val="center"/>
                </w:tcPr>
                <w:p w14:paraId="33833D91">
                  <w:pPr>
                    <w:adjustRightInd w:val="0"/>
                    <w:snapToGrid w:val="0"/>
                    <w:jc w:val="center"/>
                    <w:rPr>
                      <w:color w:val="auto"/>
                      <w:highlight w:val="none"/>
                    </w:rPr>
                  </w:pPr>
                  <w:r>
                    <w:rPr>
                      <w:color w:val="auto"/>
                      <w:highlight w:val="none"/>
                    </w:rPr>
                    <w:t>生活污水</w:t>
                  </w:r>
                </w:p>
              </w:tc>
              <w:tc>
                <w:tcPr>
                  <w:tcW w:w="3967" w:type="dxa"/>
                  <w:noWrap w:val="0"/>
                  <w:vAlign w:val="center"/>
                </w:tcPr>
                <w:p w14:paraId="5F9DD53E">
                  <w:pPr>
                    <w:adjustRightInd w:val="0"/>
                    <w:snapToGrid w:val="0"/>
                    <w:jc w:val="center"/>
                    <w:rPr>
                      <w:color w:val="auto"/>
                      <w:highlight w:val="none"/>
                    </w:rPr>
                  </w:pPr>
                  <w:r>
                    <w:rPr>
                      <w:color w:val="auto"/>
                      <w:highlight w:val="none"/>
                    </w:rPr>
                    <w:t>化粪池</w:t>
                  </w:r>
                  <w:r>
                    <w:rPr>
                      <w:rFonts w:hint="eastAsia"/>
                      <w:color w:val="auto"/>
                      <w:szCs w:val="21"/>
                      <w:highlight w:val="none"/>
                    </w:rPr>
                    <w:t>（容积</w:t>
                  </w:r>
                  <w:r>
                    <w:rPr>
                      <w:rFonts w:hint="eastAsia"/>
                      <w:color w:val="auto"/>
                      <w:szCs w:val="21"/>
                      <w:highlight w:val="none"/>
                      <w:lang w:val="en-US" w:eastAsia="zh-CN"/>
                    </w:rPr>
                    <w:t>8</w:t>
                  </w:r>
                  <w:r>
                    <w:rPr>
                      <w:color w:val="auto"/>
                      <w:szCs w:val="21"/>
                      <w:highlight w:val="none"/>
                    </w:rPr>
                    <w:t>m</w:t>
                  </w:r>
                  <w:r>
                    <w:rPr>
                      <w:rFonts w:hint="eastAsia"/>
                      <w:color w:val="auto"/>
                      <w:szCs w:val="21"/>
                      <w:highlight w:val="none"/>
                      <w:vertAlign w:val="superscript"/>
                    </w:rPr>
                    <w:t>3</w:t>
                  </w:r>
                  <w:r>
                    <w:rPr>
                      <w:rFonts w:hint="eastAsia"/>
                      <w:color w:val="auto"/>
                      <w:szCs w:val="21"/>
                      <w:highlight w:val="none"/>
                    </w:rPr>
                    <w:t>）</w:t>
                  </w:r>
                </w:p>
              </w:tc>
              <w:tc>
                <w:tcPr>
                  <w:tcW w:w="1463" w:type="dxa"/>
                  <w:noWrap w:val="0"/>
                  <w:vAlign w:val="center"/>
                </w:tcPr>
                <w:p w14:paraId="24E8EB26">
                  <w:pPr>
                    <w:adjustRightInd w:val="0"/>
                    <w:snapToGrid w:val="0"/>
                    <w:jc w:val="center"/>
                    <w:rPr>
                      <w:color w:val="auto"/>
                      <w:szCs w:val="21"/>
                      <w:highlight w:val="none"/>
                    </w:rPr>
                  </w:pPr>
                  <w:r>
                    <w:rPr>
                      <w:rFonts w:hint="eastAsia"/>
                      <w:color w:val="auto"/>
                      <w:szCs w:val="21"/>
                      <w:highlight w:val="none"/>
                    </w:rPr>
                    <w:t>2.0</w:t>
                  </w:r>
                </w:p>
              </w:tc>
            </w:tr>
            <w:tr w14:paraId="58C4D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695A5EC5">
                  <w:pPr>
                    <w:adjustRightInd w:val="0"/>
                    <w:snapToGrid w:val="0"/>
                    <w:jc w:val="center"/>
                    <w:rPr>
                      <w:color w:val="auto"/>
                      <w:szCs w:val="21"/>
                      <w:highlight w:val="none"/>
                    </w:rPr>
                  </w:pPr>
                </w:p>
              </w:tc>
              <w:tc>
                <w:tcPr>
                  <w:tcW w:w="1688" w:type="dxa"/>
                  <w:noWrap w:val="0"/>
                  <w:vAlign w:val="center"/>
                </w:tcPr>
                <w:p w14:paraId="4F2232A2">
                  <w:pPr>
                    <w:adjustRightInd w:val="0"/>
                    <w:snapToGrid w:val="0"/>
                    <w:jc w:val="center"/>
                    <w:rPr>
                      <w:color w:val="auto"/>
                      <w:highlight w:val="none"/>
                    </w:rPr>
                  </w:pPr>
                  <w:r>
                    <w:rPr>
                      <w:rFonts w:hint="eastAsia"/>
                      <w:color w:val="auto"/>
                      <w:highlight w:val="none"/>
                      <w:lang w:val="en-US" w:eastAsia="zh-CN"/>
                    </w:rPr>
                    <w:t>冷凝循环</w:t>
                  </w:r>
                  <w:r>
                    <w:rPr>
                      <w:color w:val="auto"/>
                      <w:highlight w:val="none"/>
                    </w:rPr>
                    <w:t>废水</w:t>
                  </w:r>
                </w:p>
              </w:tc>
              <w:tc>
                <w:tcPr>
                  <w:tcW w:w="3967" w:type="dxa"/>
                  <w:noWrap w:val="0"/>
                  <w:vAlign w:val="center"/>
                </w:tcPr>
                <w:p w14:paraId="1D784603">
                  <w:pPr>
                    <w:adjustRightInd w:val="0"/>
                    <w:snapToGrid w:val="0"/>
                    <w:jc w:val="center"/>
                    <w:rPr>
                      <w:color w:val="auto"/>
                      <w:highlight w:val="none"/>
                    </w:rPr>
                  </w:pPr>
                  <w:r>
                    <w:rPr>
                      <w:rFonts w:hint="eastAsia"/>
                      <w:color w:val="auto"/>
                      <w:highlight w:val="none"/>
                      <w:lang w:val="en-US" w:eastAsia="zh-CN"/>
                    </w:rPr>
                    <w:t>冷凝循环</w:t>
                  </w:r>
                  <w:r>
                    <w:rPr>
                      <w:color w:val="auto"/>
                      <w:highlight w:val="none"/>
                    </w:rPr>
                    <w:t>池</w:t>
                  </w:r>
                  <w:r>
                    <w:rPr>
                      <w:rFonts w:hint="eastAsia"/>
                      <w:color w:val="auto"/>
                      <w:highlight w:val="none"/>
                    </w:rPr>
                    <w:t>（容积</w:t>
                  </w:r>
                  <w:r>
                    <w:rPr>
                      <w:rFonts w:hint="eastAsia"/>
                      <w:color w:val="auto"/>
                      <w:highlight w:val="none"/>
                      <w:lang w:val="en-US" w:eastAsia="zh-CN"/>
                    </w:rPr>
                    <w:t>60</w:t>
                  </w:r>
                  <w:r>
                    <w:rPr>
                      <w:rFonts w:hint="eastAsia"/>
                      <w:color w:val="auto"/>
                      <w:highlight w:val="none"/>
                    </w:rPr>
                    <w:t>m</w:t>
                  </w:r>
                  <w:r>
                    <w:rPr>
                      <w:rFonts w:hint="eastAsia"/>
                      <w:color w:val="auto"/>
                      <w:highlight w:val="none"/>
                      <w:vertAlign w:val="superscript"/>
                    </w:rPr>
                    <w:t>3</w:t>
                  </w:r>
                  <w:r>
                    <w:rPr>
                      <w:rFonts w:hint="eastAsia"/>
                      <w:color w:val="auto"/>
                      <w:highlight w:val="none"/>
                    </w:rPr>
                    <w:t>）</w:t>
                  </w:r>
                </w:p>
              </w:tc>
              <w:tc>
                <w:tcPr>
                  <w:tcW w:w="1463" w:type="dxa"/>
                  <w:noWrap w:val="0"/>
                  <w:vAlign w:val="center"/>
                </w:tcPr>
                <w:p w14:paraId="520FBEEE">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3.0</w:t>
                  </w:r>
                </w:p>
              </w:tc>
            </w:tr>
            <w:tr w14:paraId="7B1D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restart"/>
                  <w:noWrap w:val="0"/>
                  <w:vAlign w:val="center"/>
                </w:tcPr>
                <w:p w14:paraId="7902E4EA">
                  <w:pPr>
                    <w:adjustRightInd w:val="0"/>
                    <w:snapToGrid w:val="0"/>
                    <w:jc w:val="center"/>
                    <w:rPr>
                      <w:color w:val="auto"/>
                      <w:szCs w:val="21"/>
                      <w:highlight w:val="none"/>
                    </w:rPr>
                  </w:pPr>
                  <w:r>
                    <w:rPr>
                      <w:color w:val="auto"/>
                      <w:szCs w:val="21"/>
                      <w:highlight w:val="none"/>
                    </w:rPr>
                    <w:t>废气</w:t>
                  </w:r>
                </w:p>
              </w:tc>
              <w:tc>
                <w:tcPr>
                  <w:tcW w:w="1688" w:type="dxa"/>
                  <w:noWrap w:val="0"/>
                  <w:vAlign w:val="center"/>
                </w:tcPr>
                <w:p w14:paraId="53BA9BED">
                  <w:pPr>
                    <w:adjustRightInd w:val="0"/>
                    <w:snapToGrid w:val="0"/>
                    <w:jc w:val="center"/>
                    <w:rPr>
                      <w:rFonts w:hint="eastAsia" w:eastAsia="宋体"/>
                      <w:color w:val="auto"/>
                      <w:highlight w:val="none"/>
                      <w:lang w:eastAsia="zh-CN"/>
                    </w:rPr>
                  </w:pPr>
                  <w:r>
                    <w:rPr>
                      <w:rFonts w:hint="eastAsia"/>
                      <w:color w:val="auto"/>
                      <w:highlight w:val="none"/>
                      <w:lang w:val="en-US" w:eastAsia="zh-CN"/>
                    </w:rPr>
                    <w:t>破碎、烘干废气（秸秆炭产线）</w:t>
                  </w:r>
                </w:p>
              </w:tc>
              <w:tc>
                <w:tcPr>
                  <w:tcW w:w="3967" w:type="dxa"/>
                  <w:noWrap w:val="0"/>
                  <w:vAlign w:val="center"/>
                </w:tcPr>
                <w:p w14:paraId="30AA7AD9">
                  <w:pPr>
                    <w:adjustRightInd w:val="0"/>
                    <w:snapToGrid w:val="0"/>
                    <w:jc w:val="center"/>
                    <w:rPr>
                      <w:rFonts w:hint="eastAsia" w:eastAsia="宋体"/>
                      <w:color w:val="auto"/>
                      <w:highlight w:val="none"/>
                      <w:lang w:val="en-US" w:eastAsia="zh-CN"/>
                    </w:rPr>
                  </w:pPr>
                  <w:r>
                    <w:rPr>
                      <w:rFonts w:hint="eastAsia"/>
                      <w:color w:val="auto"/>
                      <w:highlight w:val="none"/>
                      <w:lang w:val="en-US" w:eastAsia="zh-CN"/>
                    </w:rPr>
                    <w:t>袋式除尘器</w:t>
                  </w:r>
                  <w:r>
                    <w:rPr>
                      <w:rFonts w:hint="eastAsia"/>
                      <w:color w:val="auto"/>
                      <w:highlight w:val="none"/>
                    </w:rPr>
                    <w:t>+</w:t>
                  </w:r>
                  <w:r>
                    <w:rPr>
                      <w:rFonts w:hint="eastAsia"/>
                      <w:color w:val="auto"/>
                      <w:highlight w:val="none"/>
                      <w:lang w:val="en-US" w:eastAsia="zh-CN"/>
                    </w:rPr>
                    <w:t>低氮燃烧+</w:t>
                  </w:r>
                  <w:r>
                    <w:rPr>
                      <w:color w:val="auto"/>
                      <w:highlight w:val="none"/>
                    </w:rPr>
                    <w:t>15m排气筒</w:t>
                  </w:r>
                  <w:r>
                    <w:rPr>
                      <w:rFonts w:hint="eastAsia"/>
                      <w:color w:val="auto"/>
                      <w:highlight w:val="none"/>
                      <w:lang w:eastAsia="zh-CN"/>
                    </w:rPr>
                    <w:t>（</w:t>
                  </w:r>
                  <w:r>
                    <w:rPr>
                      <w:rFonts w:hint="eastAsia"/>
                      <w:color w:val="auto"/>
                      <w:highlight w:val="none"/>
                      <w:lang w:val="en-US" w:eastAsia="zh-CN"/>
                    </w:rPr>
                    <w:t>DA001</w:t>
                  </w:r>
                  <w:r>
                    <w:rPr>
                      <w:rFonts w:hint="eastAsia"/>
                      <w:color w:val="auto"/>
                      <w:highlight w:val="none"/>
                      <w:lang w:eastAsia="zh-CN"/>
                    </w:rPr>
                    <w:t>）</w:t>
                  </w:r>
                </w:p>
              </w:tc>
              <w:tc>
                <w:tcPr>
                  <w:tcW w:w="1463" w:type="dxa"/>
                  <w:noWrap w:val="0"/>
                  <w:vAlign w:val="center"/>
                </w:tcPr>
                <w:p w14:paraId="0912D497">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15</w:t>
                  </w:r>
                </w:p>
              </w:tc>
            </w:tr>
            <w:tr w14:paraId="52179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7443B2C5">
                  <w:pPr>
                    <w:adjustRightInd w:val="0"/>
                    <w:snapToGrid w:val="0"/>
                    <w:jc w:val="center"/>
                    <w:rPr>
                      <w:color w:val="auto"/>
                      <w:szCs w:val="21"/>
                      <w:highlight w:val="none"/>
                    </w:rPr>
                  </w:pPr>
                </w:p>
              </w:tc>
              <w:tc>
                <w:tcPr>
                  <w:tcW w:w="1688" w:type="dxa"/>
                  <w:noWrap w:val="0"/>
                  <w:vAlign w:val="center"/>
                </w:tcPr>
                <w:p w14:paraId="480F4EFC">
                  <w:pPr>
                    <w:adjustRightInd w:val="0"/>
                    <w:snapToGrid w:val="0"/>
                    <w:jc w:val="center"/>
                    <w:rPr>
                      <w:rFonts w:hint="default" w:eastAsia="宋体"/>
                      <w:color w:val="auto"/>
                      <w:highlight w:val="none"/>
                      <w:lang w:val="en-US" w:eastAsia="zh-CN"/>
                    </w:rPr>
                  </w:pPr>
                  <w:r>
                    <w:rPr>
                      <w:rFonts w:hint="eastAsia"/>
                      <w:color w:val="auto"/>
                      <w:highlight w:val="none"/>
                      <w:lang w:val="en-US" w:eastAsia="zh-CN"/>
                    </w:rPr>
                    <w:t>秸秆气净化装置</w:t>
                  </w:r>
                </w:p>
              </w:tc>
              <w:tc>
                <w:tcPr>
                  <w:tcW w:w="3967" w:type="dxa"/>
                  <w:noWrap w:val="0"/>
                  <w:vAlign w:val="center"/>
                </w:tcPr>
                <w:p w14:paraId="6E0F2BEA">
                  <w:pPr>
                    <w:adjustRightInd w:val="0"/>
                    <w:snapToGrid w:val="0"/>
                    <w:jc w:val="center"/>
                    <w:rPr>
                      <w:rFonts w:hint="default" w:eastAsia="宋体"/>
                      <w:color w:val="auto"/>
                      <w:highlight w:val="none"/>
                      <w:lang w:val="en-US" w:eastAsia="zh-CN"/>
                    </w:rPr>
                  </w:pPr>
                  <w:r>
                    <w:rPr>
                      <w:rFonts w:hint="eastAsia"/>
                      <w:color w:val="auto"/>
                      <w:highlight w:val="none"/>
                      <w:lang w:val="en-US" w:eastAsia="zh-CN"/>
                    </w:rPr>
                    <w:t>冷凝装置</w:t>
                  </w:r>
                </w:p>
              </w:tc>
              <w:tc>
                <w:tcPr>
                  <w:tcW w:w="1463" w:type="dxa"/>
                  <w:noWrap w:val="0"/>
                  <w:vAlign w:val="center"/>
                </w:tcPr>
                <w:p w14:paraId="7E51141F">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10</w:t>
                  </w:r>
                </w:p>
              </w:tc>
            </w:tr>
            <w:tr w14:paraId="7D7B6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33AC1501">
                  <w:pPr>
                    <w:adjustRightInd w:val="0"/>
                    <w:snapToGrid w:val="0"/>
                    <w:jc w:val="center"/>
                    <w:rPr>
                      <w:color w:val="auto"/>
                      <w:szCs w:val="21"/>
                      <w:highlight w:val="none"/>
                    </w:rPr>
                  </w:pPr>
                </w:p>
              </w:tc>
              <w:tc>
                <w:tcPr>
                  <w:tcW w:w="1688" w:type="dxa"/>
                  <w:noWrap w:val="0"/>
                  <w:vAlign w:val="center"/>
                </w:tcPr>
                <w:p w14:paraId="10EEB7B9">
                  <w:pPr>
                    <w:adjustRightInd w:val="0"/>
                    <w:snapToGrid w:val="0"/>
                    <w:jc w:val="center"/>
                    <w:rPr>
                      <w:rFonts w:hint="default"/>
                      <w:color w:val="auto"/>
                      <w:highlight w:val="none"/>
                      <w:lang w:val="en-US" w:eastAsia="zh-CN"/>
                    </w:rPr>
                  </w:pPr>
                  <w:r>
                    <w:rPr>
                      <w:rFonts w:hint="eastAsia"/>
                      <w:color w:val="auto"/>
                      <w:highlight w:val="none"/>
                      <w:lang w:val="en-US" w:eastAsia="zh-CN"/>
                    </w:rPr>
                    <w:t>发酵废气</w:t>
                  </w:r>
                </w:p>
              </w:tc>
              <w:tc>
                <w:tcPr>
                  <w:tcW w:w="3967" w:type="dxa"/>
                  <w:noWrap w:val="0"/>
                  <w:vAlign w:val="center"/>
                </w:tcPr>
                <w:p w14:paraId="1A1850E6">
                  <w:pPr>
                    <w:adjustRightInd w:val="0"/>
                    <w:snapToGrid w:val="0"/>
                    <w:jc w:val="center"/>
                    <w:rPr>
                      <w:rFonts w:hint="default"/>
                      <w:color w:val="auto"/>
                      <w:highlight w:val="none"/>
                      <w:lang w:val="en-US" w:eastAsia="zh-CN"/>
                    </w:rPr>
                  </w:pPr>
                  <w:r>
                    <w:rPr>
                      <w:rFonts w:hint="eastAsia"/>
                      <w:color w:val="auto"/>
                      <w:highlight w:val="none"/>
                      <w:lang w:val="en-US" w:eastAsia="zh-CN"/>
                    </w:rPr>
                    <w:t>生物除臭装置+15m排气筒</w:t>
                  </w:r>
                  <w:r>
                    <w:rPr>
                      <w:rFonts w:hint="eastAsia"/>
                      <w:color w:val="auto"/>
                      <w:highlight w:val="none"/>
                      <w:lang w:eastAsia="zh-CN"/>
                    </w:rPr>
                    <w:t>（</w:t>
                  </w:r>
                  <w:r>
                    <w:rPr>
                      <w:rFonts w:hint="eastAsia"/>
                      <w:color w:val="auto"/>
                      <w:highlight w:val="none"/>
                      <w:lang w:val="en-US" w:eastAsia="zh-CN"/>
                    </w:rPr>
                    <w:t>DA003</w:t>
                  </w:r>
                  <w:r>
                    <w:rPr>
                      <w:rFonts w:hint="eastAsia"/>
                      <w:color w:val="auto"/>
                      <w:highlight w:val="none"/>
                      <w:lang w:eastAsia="zh-CN"/>
                    </w:rPr>
                    <w:t>）</w:t>
                  </w:r>
                </w:p>
              </w:tc>
              <w:tc>
                <w:tcPr>
                  <w:tcW w:w="1463" w:type="dxa"/>
                  <w:noWrap w:val="0"/>
                  <w:vAlign w:val="center"/>
                </w:tcPr>
                <w:p w14:paraId="58433885">
                  <w:pPr>
                    <w:adjustRightInd w:val="0"/>
                    <w:snapToGrid w:val="0"/>
                    <w:jc w:val="center"/>
                    <w:rPr>
                      <w:rFonts w:hint="default"/>
                      <w:color w:val="auto"/>
                      <w:szCs w:val="21"/>
                      <w:highlight w:val="none"/>
                      <w:lang w:val="en-US" w:eastAsia="zh-CN"/>
                    </w:rPr>
                  </w:pPr>
                  <w:r>
                    <w:rPr>
                      <w:rFonts w:hint="eastAsia"/>
                      <w:color w:val="auto"/>
                      <w:szCs w:val="21"/>
                      <w:highlight w:val="none"/>
                      <w:lang w:val="en-US" w:eastAsia="zh-CN"/>
                    </w:rPr>
                    <w:t>20</w:t>
                  </w:r>
                </w:p>
              </w:tc>
            </w:tr>
            <w:tr w14:paraId="5ED63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47984406">
                  <w:pPr>
                    <w:adjustRightInd w:val="0"/>
                    <w:snapToGrid w:val="0"/>
                    <w:jc w:val="center"/>
                    <w:rPr>
                      <w:color w:val="auto"/>
                      <w:szCs w:val="21"/>
                      <w:highlight w:val="none"/>
                    </w:rPr>
                  </w:pPr>
                </w:p>
              </w:tc>
              <w:tc>
                <w:tcPr>
                  <w:tcW w:w="1688" w:type="dxa"/>
                  <w:noWrap w:val="0"/>
                  <w:vAlign w:val="center"/>
                </w:tcPr>
                <w:p w14:paraId="08190573">
                  <w:pPr>
                    <w:adjustRightInd w:val="0"/>
                    <w:snapToGrid w:val="0"/>
                    <w:jc w:val="center"/>
                    <w:rPr>
                      <w:rFonts w:hint="default"/>
                      <w:color w:val="auto"/>
                      <w:highlight w:val="none"/>
                      <w:lang w:val="en-US" w:eastAsia="zh-CN"/>
                    </w:rPr>
                  </w:pPr>
                  <w:r>
                    <w:rPr>
                      <w:rFonts w:hint="eastAsia"/>
                      <w:color w:val="auto"/>
                      <w:highlight w:val="none"/>
                      <w:lang w:val="en-US" w:eastAsia="zh-CN"/>
                    </w:rPr>
                    <w:t>烘干粉尘</w:t>
                  </w:r>
                </w:p>
              </w:tc>
              <w:tc>
                <w:tcPr>
                  <w:tcW w:w="3967" w:type="dxa"/>
                  <w:noWrap w:val="0"/>
                  <w:vAlign w:val="center"/>
                </w:tcPr>
                <w:p w14:paraId="2CADEBB4">
                  <w:pPr>
                    <w:adjustRightInd w:val="0"/>
                    <w:snapToGrid w:val="0"/>
                    <w:jc w:val="center"/>
                    <w:rPr>
                      <w:rFonts w:hint="eastAsia"/>
                      <w:color w:val="auto"/>
                      <w:highlight w:val="none"/>
                      <w:lang w:val="en-US" w:eastAsia="zh-CN"/>
                    </w:rPr>
                  </w:pPr>
                  <w:r>
                    <w:rPr>
                      <w:rFonts w:hint="eastAsia"/>
                      <w:color w:val="auto"/>
                      <w:highlight w:val="none"/>
                      <w:lang w:val="en-US" w:eastAsia="zh-CN"/>
                    </w:rPr>
                    <w:t>袋式除尘器+</w:t>
                  </w:r>
                  <w:r>
                    <w:rPr>
                      <w:color w:val="auto"/>
                      <w:highlight w:val="none"/>
                    </w:rPr>
                    <w:t>15m排气筒</w:t>
                  </w:r>
                  <w:r>
                    <w:rPr>
                      <w:rFonts w:hint="eastAsia"/>
                      <w:color w:val="auto"/>
                      <w:highlight w:val="none"/>
                      <w:lang w:eastAsia="zh-CN"/>
                    </w:rPr>
                    <w:t>（</w:t>
                  </w:r>
                  <w:r>
                    <w:rPr>
                      <w:rFonts w:hint="eastAsia"/>
                      <w:color w:val="auto"/>
                      <w:highlight w:val="none"/>
                      <w:lang w:val="en-US" w:eastAsia="zh-CN"/>
                    </w:rPr>
                    <w:t>DA002</w:t>
                  </w:r>
                  <w:r>
                    <w:rPr>
                      <w:rFonts w:hint="eastAsia"/>
                      <w:color w:val="auto"/>
                      <w:highlight w:val="none"/>
                      <w:lang w:eastAsia="zh-CN"/>
                    </w:rPr>
                    <w:t>）</w:t>
                  </w:r>
                </w:p>
              </w:tc>
              <w:tc>
                <w:tcPr>
                  <w:tcW w:w="1463" w:type="dxa"/>
                  <w:noWrap w:val="0"/>
                  <w:vAlign w:val="center"/>
                </w:tcPr>
                <w:p w14:paraId="2D58D913">
                  <w:pPr>
                    <w:adjustRightInd w:val="0"/>
                    <w:snapToGrid w:val="0"/>
                    <w:jc w:val="center"/>
                    <w:rPr>
                      <w:rFonts w:hint="default"/>
                      <w:color w:val="auto"/>
                      <w:szCs w:val="21"/>
                      <w:highlight w:val="none"/>
                      <w:lang w:val="en-US" w:eastAsia="zh-CN"/>
                    </w:rPr>
                  </w:pPr>
                  <w:r>
                    <w:rPr>
                      <w:rFonts w:hint="eastAsia"/>
                      <w:color w:val="auto"/>
                      <w:szCs w:val="21"/>
                      <w:highlight w:val="none"/>
                      <w:lang w:val="en-US" w:eastAsia="zh-CN"/>
                    </w:rPr>
                    <w:t>10</w:t>
                  </w:r>
                </w:p>
              </w:tc>
            </w:tr>
            <w:tr w14:paraId="60917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noWrap w:val="0"/>
                  <w:vAlign w:val="center"/>
                </w:tcPr>
                <w:p w14:paraId="70AB673E">
                  <w:pPr>
                    <w:adjustRightInd w:val="0"/>
                    <w:snapToGrid w:val="0"/>
                    <w:jc w:val="center"/>
                    <w:rPr>
                      <w:color w:val="auto"/>
                      <w:highlight w:val="none"/>
                    </w:rPr>
                  </w:pPr>
                  <w:r>
                    <w:rPr>
                      <w:color w:val="auto"/>
                      <w:highlight w:val="none"/>
                    </w:rPr>
                    <w:t>噪声</w:t>
                  </w:r>
                </w:p>
              </w:tc>
              <w:tc>
                <w:tcPr>
                  <w:tcW w:w="1688" w:type="dxa"/>
                  <w:noWrap w:val="0"/>
                  <w:vAlign w:val="center"/>
                </w:tcPr>
                <w:p w14:paraId="30F267E3">
                  <w:pPr>
                    <w:adjustRightInd w:val="0"/>
                    <w:snapToGrid w:val="0"/>
                    <w:jc w:val="center"/>
                    <w:rPr>
                      <w:color w:val="auto"/>
                      <w:highlight w:val="none"/>
                    </w:rPr>
                  </w:pPr>
                  <w:r>
                    <w:rPr>
                      <w:color w:val="auto"/>
                      <w:highlight w:val="none"/>
                    </w:rPr>
                    <w:t>设备、机械噪声</w:t>
                  </w:r>
                </w:p>
              </w:tc>
              <w:tc>
                <w:tcPr>
                  <w:tcW w:w="3967" w:type="dxa"/>
                  <w:noWrap w:val="0"/>
                  <w:vAlign w:val="center"/>
                </w:tcPr>
                <w:p w14:paraId="42344350">
                  <w:pPr>
                    <w:pStyle w:val="49"/>
                    <w:bidi w:val="0"/>
                    <w:rPr>
                      <w:color w:val="auto"/>
                      <w:highlight w:val="none"/>
                    </w:rPr>
                  </w:pPr>
                  <w:r>
                    <w:rPr>
                      <w:color w:val="auto"/>
                      <w:highlight w:val="none"/>
                    </w:rPr>
                    <w:t>高噪声设备采取车间内放置、设置减振垫等措施</w:t>
                  </w:r>
                </w:p>
              </w:tc>
              <w:tc>
                <w:tcPr>
                  <w:tcW w:w="1463" w:type="dxa"/>
                  <w:noWrap w:val="0"/>
                  <w:vAlign w:val="center"/>
                </w:tcPr>
                <w:p w14:paraId="0F850B4C">
                  <w:pPr>
                    <w:adjustRightInd w:val="0"/>
                    <w:snapToGrid w:val="0"/>
                    <w:jc w:val="center"/>
                    <w:rPr>
                      <w:color w:val="auto"/>
                      <w:szCs w:val="21"/>
                      <w:highlight w:val="none"/>
                    </w:rPr>
                  </w:pPr>
                  <w:r>
                    <w:rPr>
                      <w:rFonts w:hint="eastAsia"/>
                      <w:color w:val="auto"/>
                      <w:szCs w:val="21"/>
                      <w:highlight w:val="none"/>
                    </w:rPr>
                    <w:t>8</w:t>
                  </w:r>
                  <w:r>
                    <w:rPr>
                      <w:color w:val="auto"/>
                      <w:szCs w:val="21"/>
                      <w:highlight w:val="none"/>
                    </w:rPr>
                    <w:t>.5</w:t>
                  </w:r>
                </w:p>
              </w:tc>
            </w:tr>
            <w:tr w14:paraId="6EE57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restart"/>
                  <w:noWrap w:val="0"/>
                  <w:vAlign w:val="center"/>
                </w:tcPr>
                <w:p w14:paraId="681D955B">
                  <w:pPr>
                    <w:adjustRightInd w:val="0"/>
                    <w:snapToGrid w:val="0"/>
                    <w:jc w:val="center"/>
                    <w:rPr>
                      <w:color w:val="auto"/>
                      <w:szCs w:val="21"/>
                      <w:highlight w:val="none"/>
                    </w:rPr>
                  </w:pPr>
                  <w:r>
                    <w:rPr>
                      <w:color w:val="auto"/>
                      <w:szCs w:val="21"/>
                      <w:highlight w:val="none"/>
                    </w:rPr>
                    <w:t>固废</w:t>
                  </w:r>
                </w:p>
              </w:tc>
              <w:tc>
                <w:tcPr>
                  <w:tcW w:w="1688" w:type="dxa"/>
                  <w:noWrap w:val="0"/>
                  <w:vAlign w:val="center"/>
                </w:tcPr>
                <w:p w14:paraId="22CC3BCC">
                  <w:pPr>
                    <w:adjustRightInd w:val="0"/>
                    <w:snapToGrid w:val="0"/>
                    <w:jc w:val="center"/>
                    <w:rPr>
                      <w:color w:val="auto"/>
                      <w:highlight w:val="none"/>
                    </w:rPr>
                  </w:pPr>
                  <w:r>
                    <w:rPr>
                      <w:color w:val="auto"/>
                      <w:highlight w:val="none"/>
                    </w:rPr>
                    <w:t>生活垃圾</w:t>
                  </w:r>
                </w:p>
              </w:tc>
              <w:tc>
                <w:tcPr>
                  <w:tcW w:w="3967" w:type="dxa"/>
                  <w:noWrap w:val="0"/>
                  <w:vAlign w:val="center"/>
                </w:tcPr>
                <w:p w14:paraId="51898B30">
                  <w:pPr>
                    <w:adjustRightInd w:val="0"/>
                    <w:snapToGrid w:val="0"/>
                    <w:jc w:val="center"/>
                    <w:rPr>
                      <w:color w:val="auto"/>
                      <w:highlight w:val="none"/>
                    </w:rPr>
                  </w:pPr>
                  <w:r>
                    <w:rPr>
                      <w:rFonts w:hint="eastAsia"/>
                      <w:color w:val="auto"/>
                      <w:highlight w:val="none"/>
                      <w:lang w:val="en-US" w:eastAsia="zh-CN"/>
                    </w:rPr>
                    <w:t>若干</w:t>
                  </w:r>
                  <w:r>
                    <w:rPr>
                      <w:color w:val="auto"/>
                      <w:highlight w:val="none"/>
                    </w:rPr>
                    <w:t>垃圾收集桶</w:t>
                  </w:r>
                </w:p>
              </w:tc>
              <w:tc>
                <w:tcPr>
                  <w:tcW w:w="1463" w:type="dxa"/>
                  <w:noWrap w:val="0"/>
                  <w:vAlign w:val="center"/>
                </w:tcPr>
                <w:p w14:paraId="2BD7F4AD">
                  <w:pPr>
                    <w:adjustRightInd w:val="0"/>
                    <w:snapToGrid w:val="0"/>
                    <w:jc w:val="center"/>
                    <w:rPr>
                      <w:rFonts w:hint="eastAsia"/>
                      <w:color w:val="auto"/>
                      <w:highlight w:val="none"/>
                    </w:rPr>
                  </w:pPr>
                  <w:r>
                    <w:rPr>
                      <w:color w:val="auto"/>
                      <w:highlight w:val="none"/>
                    </w:rPr>
                    <w:t>0.</w:t>
                  </w:r>
                  <w:r>
                    <w:rPr>
                      <w:rFonts w:hint="eastAsia"/>
                      <w:color w:val="auto"/>
                      <w:highlight w:val="none"/>
                    </w:rPr>
                    <w:t>5</w:t>
                  </w:r>
                </w:p>
              </w:tc>
            </w:tr>
            <w:tr w14:paraId="2152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67255A7F">
                  <w:pPr>
                    <w:adjustRightInd w:val="0"/>
                    <w:snapToGrid w:val="0"/>
                    <w:jc w:val="center"/>
                    <w:rPr>
                      <w:color w:val="auto"/>
                      <w:szCs w:val="21"/>
                      <w:highlight w:val="none"/>
                    </w:rPr>
                  </w:pPr>
                </w:p>
              </w:tc>
              <w:tc>
                <w:tcPr>
                  <w:tcW w:w="1688" w:type="dxa"/>
                  <w:noWrap w:val="0"/>
                  <w:vAlign w:val="center"/>
                </w:tcPr>
                <w:p w14:paraId="2174CAEF">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一般固体废物</w:t>
                  </w:r>
                </w:p>
              </w:tc>
              <w:tc>
                <w:tcPr>
                  <w:tcW w:w="3967" w:type="dxa"/>
                  <w:noWrap w:val="0"/>
                  <w:vAlign w:val="center"/>
                </w:tcPr>
                <w:p w14:paraId="20B7EA06">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一般固废暂存间（30m</w:t>
                  </w:r>
                  <w:r>
                    <w:rPr>
                      <w:rFonts w:hint="eastAsia"/>
                      <w:color w:val="auto"/>
                      <w:szCs w:val="21"/>
                      <w:highlight w:val="none"/>
                      <w:vertAlign w:val="superscript"/>
                      <w:lang w:val="en-US" w:eastAsia="zh-CN"/>
                    </w:rPr>
                    <w:t>2</w:t>
                  </w:r>
                  <w:r>
                    <w:rPr>
                      <w:rFonts w:hint="eastAsia"/>
                      <w:color w:val="auto"/>
                      <w:szCs w:val="21"/>
                      <w:highlight w:val="none"/>
                      <w:lang w:val="en-US" w:eastAsia="zh-CN"/>
                    </w:rPr>
                    <w:t>）</w:t>
                  </w:r>
                </w:p>
              </w:tc>
              <w:tc>
                <w:tcPr>
                  <w:tcW w:w="1463" w:type="dxa"/>
                  <w:noWrap w:val="0"/>
                  <w:vAlign w:val="center"/>
                </w:tcPr>
                <w:p w14:paraId="210FBADE">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3.0</w:t>
                  </w:r>
                </w:p>
              </w:tc>
            </w:tr>
            <w:tr w14:paraId="24FF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18" w:type="dxa"/>
                  <w:vMerge w:val="continue"/>
                  <w:noWrap w:val="0"/>
                  <w:vAlign w:val="center"/>
                </w:tcPr>
                <w:p w14:paraId="04EB1AE8">
                  <w:pPr>
                    <w:adjustRightInd w:val="0"/>
                    <w:snapToGrid w:val="0"/>
                    <w:jc w:val="center"/>
                    <w:rPr>
                      <w:color w:val="auto"/>
                      <w:szCs w:val="21"/>
                      <w:highlight w:val="none"/>
                    </w:rPr>
                  </w:pPr>
                </w:p>
              </w:tc>
              <w:tc>
                <w:tcPr>
                  <w:tcW w:w="1688" w:type="dxa"/>
                  <w:noWrap w:val="0"/>
                  <w:vAlign w:val="center"/>
                </w:tcPr>
                <w:p w14:paraId="6946B997">
                  <w:pPr>
                    <w:adjustRightInd w:val="0"/>
                    <w:snapToGrid w:val="0"/>
                    <w:jc w:val="center"/>
                    <w:rPr>
                      <w:color w:val="auto"/>
                      <w:szCs w:val="21"/>
                      <w:highlight w:val="none"/>
                    </w:rPr>
                  </w:pPr>
                  <w:r>
                    <w:rPr>
                      <w:rFonts w:hint="eastAsia"/>
                      <w:color w:val="auto"/>
                      <w:szCs w:val="21"/>
                      <w:highlight w:val="none"/>
                      <w:lang w:val="en-US" w:eastAsia="zh-CN"/>
                    </w:rPr>
                    <w:t>危险</w:t>
                  </w:r>
                  <w:r>
                    <w:rPr>
                      <w:color w:val="auto"/>
                      <w:szCs w:val="21"/>
                      <w:highlight w:val="none"/>
                    </w:rPr>
                    <w:t>废物</w:t>
                  </w:r>
                </w:p>
              </w:tc>
              <w:tc>
                <w:tcPr>
                  <w:tcW w:w="3967" w:type="dxa"/>
                  <w:noWrap w:val="0"/>
                  <w:vAlign w:val="center"/>
                </w:tcPr>
                <w:p w14:paraId="0703DBD2">
                  <w:pPr>
                    <w:adjustRightInd w:val="0"/>
                    <w:snapToGrid w:val="0"/>
                    <w:jc w:val="center"/>
                    <w:rPr>
                      <w:color w:val="auto"/>
                      <w:highlight w:val="none"/>
                    </w:rPr>
                  </w:pPr>
                  <w:r>
                    <w:rPr>
                      <w:color w:val="auto"/>
                      <w:szCs w:val="21"/>
                      <w:highlight w:val="none"/>
                    </w:rPr>
                    <w:t>专用容器、危险废物</w:t>
                  </w:r>
                  <w:r>
                    <w:rPr>
                      <w:rFonts w:hint="eastAsia"/>
                      <w:color w:val="auto"/>
                      <w:szCs w:val="21"/>
                      <w:highlight w:val="none"/>
                      <w:lang w:val="en-US" w:eastAsia="zh-CN"/>
                    </w:rPr>
                    <w:t>贮存库</w:t>
                  </w:r>
                  <w:r>
                    <w:rPr>
                      <w:rFonts w:hint="eastAsia"/>
                      <w:color w:val="auto"/>
                      <w:szCs w:val="21"/>
                      <w:highlight w:val="none"/>
                    </w:rPr>
                    <w:t>（1</w:t>
                  </w:r>
                  <w:r>
                    <w:rPr>
                      <w:color w:val="auto"/>
                      <w:szCs w:val="21"/>
                      <w:highlight w:val="none"/>
                    </w:rPr>
                    <w:t>0m</w:t>
                  </w:r>
                  <w:r>
                    <w:rPr>
                      <w:rFonts w:hint="eastAsia"/>
                      <w:color w:val="auto"/>
                      <w:szCs w:val="21"/>
                      <w:highlight w:val="none"/>
                      <w:vertAlign w:val="superscript"/>
                      <w:lang w:val="en-US" w:eastAsia="zh-CN"/>
                    </w:rPr>
                    <w:t>2</w:t>
                  </w:r>
                  <w:r>
                    <w:rPr>
                      <w:rFonts w:hint="eastAsia"/>
                      <w:color w:val="auto"/>
                      <w:szCs w:val="21"/>
                      <w:highlight w:val="none"/>
                    </w:rPr>
                    <w:t>）</w:t>
                  </w:r>
                </w:p>
              </w:tc>
              <w:tc>
                <w:tcPr>
                  <w:tcW w:w="1463" w:type="dxa"/>
                  <w:noWrap w:val="0"/>
                  <w:vAlign w:val="center"/>
                </w:tcPr>
                <w:p w14:paraId="1440D4F6">
                  <w:pPr>
                    <w:adjustRightInd w:val="0"/>
                    <w:snapToGrid w:val="0"/>
                    <w:jc w:val="center"/>
                    <w:rPr>
                      <w:rFonts w:hint="default" w:eastAsia="宋体"/>
                      <w:color w:val="auto"/>
                      <w:szCs w:val="21"/>
                      <w:highlight w:val="none"/>
                      <w:lang w:val="en-US" w:eastAsia="zh-CN"/>
                    </w:rPr>
                  </w:pPr>
                  <w:r>
                    <w:rPr>
                      <w:rFonts w:hint="eastAsia"/>
                      <w:color w:val="auto"/>
                      <w:szCs w:val="21"/>
                      <w:highlight w:val="none"/>
                      <w:lang w:eastAsia="zh-CN"/>
                    </w:rPr>
                    <w:t>6</w:t>
                  </w:r>
                  <w:r>
                    <w:rPr>
                      <w:rFonts w:hint="eastAsia"/>
                      <w:color w:val="auto"/>
                      <w:szCs w:val="21"/>
                      <w:highlight w:val="none"/>
                      <w:lang w:val="en-US" w:eastAsia="zh-CN"/>
                    </w:rPr>
                    <w:t>.5</w:t>
                  </w:r>
                </w:p>
              </w:tc>
            </w:tr>
            <w:tr w14:paraId="202C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06" w:type="dxa"/>
                  <w:gridSpan w:val="2"/>
                  <w:noWrap w:val="0"/>
                  <w:vAlign w:val="center"/>
                </w:tcPr>
                <w:p w14:paraId="421F65E8">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环境管理</w:t>
                  </w:r>
                </w:p>
              </w:tc>
              <w:tc>
                <w:tcPr>
                  <w:tcW w:w="3967" w:type="dxa"/>
                  <w:noWrap w:val="0"/>
                  <w:vAlign w:val="center"/>
                </w:tcPr>
                <w:p w14:paraId="4CDDABA2">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企业例行监测以及验收等管理费用</w:t>
                  </w:r>
                </w:p>
              </w:tc>
              <w:tc>
                <w:tcPr>
                  <w:tcW w:w="1463" w:type="dxa"/>
                  <w:noWrap w:val="0"/>
                  <w:vAlign w:val="center"/>
                </w:tcPr>
                <w:p w14:paraId="2B8B2B63">
                  <w:pPr>
                    <w:adjustRightInd w:val="0"/>
                    <w:snapToGrid w:val="0"/>
                    <w:jc w:val="center"/>
                    <w:rPr>
                      <w:rFonts w:hint="default"/>
                      <w:color w:val="auto"/>
                      <w:szCs w:val="21"/>
                      <w:highlight w:val="none"/>
                      <w:lang w:val="en-US" w:eastAsia="zh-CN"/>
                    </w:rPr>
                  </w:pPr>
                  <w:r>
                    <w:rPr>
                      <w:rFonts w:hint="eastAsia"/>
                      <w:color w:val="auto"/>
                      <w:szCs w:val="21"/>
                      <w:highlight w:val="none"/>
                      <w:lang w:val="en-US" w:eastAsia="zh-CN"/>
                    </w:rPr>
                    <w:t>25</w:t>
                  </w:r>
                </w:p>
              </w:tc>
            </w:tr>
            <w:tr w14:paraId="09E2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73" w:type="dxa"/>
                  <w:gridSpan w:val="3"/>
                  <w:noWrap w:val="0"/>
                  <w:vAlign w:val="center"/>
                </w:tcPr>
                <w:p w14:paraId="41D728CD">
                  <w:pPr>
                    <w:adjustRightInd w:val="0"/>
                    <w:snapToGrid w:val="0"/>
                    <w:jc w:val="center"/>
                    <w:rPr>
                      <w:rFonts w:hint="eastAsia" w:eastAsia="宋体"/>
                      <w:color w:val="auto"/>
                      <w:szCs w:val="21"/>
                      <w:highlight w:val="none"/>
                      <w:lang w:eastAsia="zh-CN"/>
                    </w:rPr>
                  </w:pPr>
                  <w:r>
                    <w:rPr>
                      <w:color w:val="auto"/>
                      <w:szCs w:val="21"/>
                      <w:highlight w:val="none"/>
                    </w:rPr>
                    <w:t>合计</w:t>
                  </w:r>
                </w:p>
              </w:tc>
              <w:tc>
                <w:tcPr>
                  <w:tcW w:w="1463" w:type="dxa"/>
                  <w:noWrap w:val="0"/>
                  <w:vAlign w:val="center"/>
                </w:tcPr>
                <w:p w14:paraId="0022C349">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103.5</w:t>
                  </w:r>
                </w:p>
              </w:tc>
            </w:tr>
          </w:tbl>
          <w:p w14:paraId="49FF3A05">
            <w:pPr>
              <w:pStyle w:val="11"/>
              <w:numPr>
                <w:ilvl w:val="0"/>
                <w:numId w:val="0"/>
              </w:numPr>
              <w:bidi w:val="0"/>
              <w:ind w:right="0" w:rightChars="0"/>
              <w:rPr>
                <w:rFonts w:hint="default"/>
                <w:b/>
                <w:bCs/>
                <w:color w:val="auto"/>
                <w:highlight w:val="none"/>
                <w:lang w:val="en-US" w:eastAsia="zh-CN"/>
              </w:rPr>
            </w:pPr>
          </w:p>
        </w:tc>
      </w:tr>
    </w:tbl>
    <w:p w14:paraId="20EE501F">
      <w:pPr>
        <w:adjustRightInd w:val="0"/>
        <w:snapToGrid w:val="0"/>
        <w:spacing w:line="360" w:lineRule="auto"/>
        <w:rPr>
          <w:rFonts w:hint="eastAsia" w:ascii="宋体" w:eastAsia="宋体" w:cs="宋体"/>
          <w:b/>
          <w:color w:val="auto"/>
          <w:kern w:val="0"/>
          <w:sz w:val="28"/>
          <w:szCs w:val="28"/>
          <w:highlight w:val="none"/>
          <w:lang w:eastAsia="zh-CN"/>
        </w:rPr>
        <w:sectPr>
          <w:pgSz w:w="11907" w:h="16840"/>
          <w:pgMar w:top="1701" w:right="1531" w:bottom="2127" w:left="1531" w:header="851" w:footer="851" w:gutter="0"/>
          <w:pgNumType w:fmt="decimal"/>
          <w:cols w:space="720" w:num="1"/>
          <w:docGrid w:linePitch="312" w:charSpace="0"/>
        </w:sectPr>
      </w:pPr>
    </w:p>
    <w:p w14:paraId="7DE94819">
      <w:pPr>
        <w:pStyle w:val="22"/>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w:t>
      </w:r>
      <w:bookmarkStart w:id="9" w:name="_Hlk54167917"/>
      <w:r>
        <w:rPr>
          <w:rFonts w:hint="eastAsia" w:ascii="黑体" w:hAnsi="黑体" w:eastAsia="黑体"/>
          <w:snapToGrid w:val="0"/>
          <w:color w:val="auto"/>
          <w:sz w:val="30"/>
          <w:szCs w:val="30"/>
          <w:highlight w:val="none"/>
        </w:rPr>
        <w:t>环境保护措施监督检查清单</w:t>
      </w:r>
      <w:bookmarkEnd w:id="9"/>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1344"/>
        <w:gridCol w:w="1215"/>
        <w:gridCol w:w="2486"/>
        <w:gridCol w:w="2185"/>
      </w:tblGrid>
      <w:tr w14:paraId="55EE3A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tcBorders>
              <w:tl2br w:val="single" w:color="auto" w:sz="4" w:space="0"/>
            </w:tcBorders>
            <w:noWrap w:val="0"/>
            <w:vAlign w:val="top"/>
          </w:tcPr>
          <w:p w14:paraId="20A5659E">
            <w:pPr>
              <w:adjustRightInd w:val="0"/>
              <w:snapToGrid w:val="0"/>
              <w:ind w:firstLine="84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内容</w:t>
            </w:r>
          </w:p>
          <w:p w14:paraId="1AC53F07">
            <w:pPr>
              <w:adjustRightInd w:val="0"/>
              <w:snapToGrid w:val="0"/>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要素</w:t>
            </w:r>
          </w:p>
        </w:tc>
        <w:tc>
          <w:tcPr>
            <w:tcW w:w="1344" w:type="dxa"/>
            <w:noWrap w:val="0"/>
            <w:vAlign w:val="center"/>
          </w:tcPr>
          <w:p w14:paraId="60EBC11C">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排放口(编号、名称)/污染源</w:t>
            </w:r>
          </w:p>
        </w:tc>
        <w:tc>
          <w:tcPr>
            <w:tcW w:w="1215" w:type="dxa"/>
            <w:noWrap w:val="0"/>
            <w:vAlign w:val="center"/>
          </w:tcPr>
          <w:p w14:paraId="2387CE83">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污染物项目</w:t>
            </w:r>
          </w:p>
        </w:tc>
        <w:tc>
          <w:tcPr>
            <w:tcW w:w="2486" w:type="dxa"/>
            <w:noWrap w:val="0"/>
            <w:vAlign w:val="center"/>
          </w:tcPr>
          <w:p w14:paraId="3948D0A1">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环境保护措施</w:t>
            </w:r>
          </w:p>
        </w:tc>
        <w:tc>
          <w:tcPr>
            <w:tcW w:w="2185" w:type="dxa"/>
            <w:noWrap w:val="0"/>
            <w:vAlign w:val="center"/>
          </w:tcPr>
          <w:p w14:paraId="617AE9D2">
            <w:pPr>
              <w:adjustRightInd w:val="0"/>
              <w:snapToGrid w:val="0"/>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3378BA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vMerge w:val="restart"/>
            <w:noWrap w:val="0"/>
            <w:vAlign w:val="center"/>
          </w:tcPr>
          <w:p w14:paraId="72FF38FF">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大气环境</w:t>
            </w:r>
          </w:p>
        </w:tc>
        <w:tc>
          <w:tcPr>
            <w:tcW w:w="1344" w:type="dxa"/>
            <w:noWrap w:val="0"/>
            <w:vAlign w:val="center"/>
          </w:tcPr>
          <w:p w14:paraId="4B9F3510">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粉碎、烘干废气（DA001）</w:t>
            </w:r>
          </w:p>
        </w:tc>
        <w:tc>
          <w:tcPr>
            <w:tcW w:w="1215" w:type="dxa"/>
            <w:noWrap w:val="0"/>
            <w:vAlign w:val="center"/>
          </w:tcPr>
          <w:p w14:paraId="359A4A7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2486" w:type="dxa"/>
            <w:noWrap w:val="0"/>
            <w:vAlign w:val="center"/>
          </w:tcPr>
          <w:p w14:paraId="16505324">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袋式除尘器+低氮燃烧+15m高排气筒（DA001）</w:t>
            </w:r>
          </w:p>
        </w:tc>
        <w:tc>
          <w:tcPr>
            <w:tcW w:w="2185" w:type="dxa"/>
            <w:noWrap w:val="0"/>
            <w:vAlign w:val="center"/>
          </w:tcPr>
          <w:p w14:paraId="37E9561E">
            <w:pPr>
              <w:adjustRightInd w:val="0"/>
              <w:snapToGrid w:val="0"/>
              <w:jc w:val="center"/>
              <w:rPr>
                <w:rFonts w:hint="default" w:ascii="Times New Roman" w:hAnsi="Times New Roman" w:cs="Times New Roman"/>
                <w:color w:val="auto"/>
                <w:szCs w:val="21"/>
                <w:highlight w:val="none"/>
              </w:rPr>
            </w:pPr>
            <w:r>
              <w:rPr>
                <w:color w:val="auto"/>
                <w:highlight w:val="none"/>
              </w:rPr>
              <w:t>《大气污染物综合排放标准》（GB16297-1996）表2中二级标准</w:t>
            </w:r>
            <w:r>
              <w:rPr>
                <w:rFonts w:hint="eastAsia"/>
                <w:color w:val="auto"/>
                <w:highlight w:val="none"/>
                <w:lang w:val="en-US" w:eastAsia="zh-CN"/>
              </w:rPr>
              <w:t>以及《工业炉窑大气污染物排放标准》（GB9078-1996）中二级排放标准限值</w:t>
            </w:r>
          </w:p>
        </w:tc>
      </w:tr>
      <w:tr w14:paraId="4FA2E1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vMerge w:val="continue"/>
            <w:noWrap w:val="0"/>
            <w:vAlign w:val="center"/>
          </w:tcPr>
          <w:p w14:paraId="383CAEFE">
            <w:pPr>
              <w:adjustRightInd w:val="0"/>
              <w:snapToGrid w:val="0"/>
              <w:jc w:val="center"/>
              <w:rPr>
                <w:rFonts w:hint="default" w:ascii="Times New Roman" w:hAnsi="Times New Roman" w:cs="Times New Roman"/>
                <w:color w:val="auto"/>
                <w:szCs w:val="21"/>
                <w:highlight w:val="none"/>
              </w:rPr>
            </w:pPr>
          </w:p>
        </w:tc>
        <w:tc>
          <w:tcPr>
            <w:tcW w:w="1344" w:type="dxa"/>
            <w:noWrap w:val="0"/>
            <w:vAlign w:val="center"/>
          </w:tcPr>
          <w:p w14:paraId="4AB74463">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发酵废气（DA003）</w:t>
            </w:r>
          </w:p>
        </w:tc>
        <w:tc>
          <w:tcPr>
            <w:tcW w:w="1215" w:type="dxa"/>
            <w:noWrap w:val="0"/>
            <w:vAlign w:val="center"/>
          </w:tcPr>
          <w:p w14:paraId="17E6A48B">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NH</w:t>
            </w:r>
            <w:r>
              <w:rPr>
                <w:rFonts w:hint="eastAsia" w:cs="Times New Roman"/>
                <w:color w:val="auto"/>
                <w:szCs w:val="21"/>
                <w:highlight w:val="none"/>
                <w:vertAlign w:val="subscript"/>
                <w:lang w:val="en-US" w:eastAsia="zh-CN"/>
              </w:rPr>
              <w:t>3</w:t>
            </w:r>
            <w:r>
              <w:rPr>
                <w:rFonts w:hint="eastAsia" w:cs="Times New Roman"/>
                <w:color w:val="auto"/>
                <w:szCs w:val="21"/>
                <w:highlight w:val="none"/>
                <w:lang w:val="en-US" w:eastAsia="zh-CN"/>
              </w:rPr>
              <w:t>、H</w:t>
            </w:r>
            <w:r>
              <w:rPr>
                <w:rFonts w:hint="eastAsia" w:cs="Times New Roman"/>
                <w:color w:val="auto"/>
                <w:szCs w:val="21"/>
                <w:highlight w:val="none"/>
                <w:vertAlign w:val="subscript"/>
                <w:lang w:val="en-US" w:eastAsia="zh-CN"/>
              </w:rPr>
              <w:t>2</w:t>
            </w:r>
            <w:r>
              <w:rPr>
                <w:rFonts w:hint="eastAsia" w:cs="Times New Roman"/>
                <w:color w:val="auto"/>
                <w:szCs w:val="21"/>
                <w:highlight w:val="none"/>
                <w:lang w:val="en-US" w:eastAsia="zh-CN"/>
              </w:rPr>
              <w:t>S</w:t>
            </w:r>
          </w:p>
        </w:tc>
        <w:tc>
          <w:tcPr>
            <w:tcW w:w="2486" w:type="dxa"/>
            <w:noWrap w:val="0"/>
            <w:vAlign w:val="center"/>
          </w:tcPr>
          <w:p w14:paraId="041B2925">
            <w:pPr>
              <w:adjustRightInd w:val="0"/>
              <w:snapToGrid w:val="0"/>
              <w:jc w:val="center"/>
              <w:rPr>
                <w:rFonts w:hint="default" w:cs="Times New Roman"/>
                <w:color w:val="auto"/>
                <w:szCs w:val="21"/>
                <w:highlight w:val="none"/>
                <w:lang w:val="en-US" w:eastAsia="zh-CN"/>
              </w:rPr>
            </w:pPr>
            <w:r>
              <w:rPr>
                <w:rFonts w:hint="eastAsia"/>
                <w:color w:val="auto"/>
                <w:highlight w:val="none"/>
                <w:lang w:val="en-US" w:eastAsia="zh-CN"/>
              </w:rPr>
              <w:t>生物除臭装置+15m排气筒</w:t>
            </w:r>
            <w:r>
              <w:rPr>
                <w:rFonts w:hint="eastAsia"/>
                <w:color w:val="auto"/>
                <w:highlight w:val="none"/>
                <w:lang w:eastAsia="zh-CN"/>
              </w:rPr>
              <w:t>（</w:t>
            </w:r>
            <w:r>
              <w:rPr>
                <w:rFonts w:hint="eastAsia"/>
                <w:color w:val="auto"/>
                <w:highlight w:val="none"/>
                <w:lang w:val="en-US" w:eastAsia="zh-CN"/>
              </w:rPr>
              <w:t>DA003</w:t>
            </w:r>
            <w:r>
              <w:rPr>
                <w:rFonts w:hint="eastAsia"/>
                <w:color w:val="auto"/>
                <w:highlight w:val="none"/>
                <w:lang w:eastAsia="zh-CN"/>
              </w:rPr>
              <w:t>）</w:t>
            </w:r>
          </w:p>
        </w:tc>
        <w:tc>
          <w:tcPr>
            <w:tcW w:w="2185" w:type="dxa"/>
            <w:noWrap w:val="0"/>
            <w:vAlign w:val="center"/>
          </w:tcPr>
          <w:p w14:paraId="0B6C393B">
            <w:pPr>
              <w:adjustRightInd w:val="0"/>
              <w:snapToGrid w:val="0"/>
              <w:jc w:val="center"/>
              <w:rPr>
                <w:color w:val="auto"/>
                <w:highlight w:val="none"/>
              </w:rPr>
            </w:pPr>
            <w:r>
              <w:rPr>
                <w:rFonts w:hint="eastAsia"/>
                <w:color w:val="auto"/>
                <w:highlight w:val="none"/>
              </w:rPr>
              <w:t>《恶臭污染物排放标准》(GB14554-93)表</w:t>
            </w:r>
            <w:r>
              <w:rPr>
                <w:rFonts w:hint="eastAsia"/>
                <w:color w:val="auto"/>
                <w:highlight w:val="none"/>
                <w:lang w:val="en-US" w:eastAsia="zh-CN"/>
              </w:rPr>
              <w:t>2</w:t>
            </w:r>
            <w:r>
              <w:rPr>
                <w:rFonts w:hint="eastAsia"/>
                <w:color w:val="auto"/>
                <w:highlight w:val="none"/>
              </w:rPr>
              <w:t>中浓度限值要求</w:t>
            </w:r>
          </w:p>
        </w:tc>
      </w:tr>
      <w:tr w14:paraId="65AD2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vMerge w:val="continue"/>
            <w:noWrap w:val="0"/>
            <w:vAlign w:val="center"/>
          </w:tcPr>
          <w:p w14:paraId="2E288D60">
            <w:pPr>
              <w:adjustRightInd w:val="0"/>
              <w:snapToGrid w:val="0"/>
              <w:jc w:val="center"/>
              <w:rPr>
                <w:rFonts w:hint="default" w:ascii="Times New Roman" w:hAnsi="Times New Roman" w:cs="Times New Roman"/>
                <w:color w:val="auto"/>
                <w:szCs w:val="21"/>
                <w:highlight w:val="none"/>
              </w:rPr>
            </w:pPr>
          </w:p>
        </w:tc>
        <w:tc>
          <w:tcPr>
            <w:tcW w:w="1344" w:type="dxa"/>
            <w:noWrap w:val="0"/>
            <w:vAlign w:val="center"/>
          </w:tcPr>
          <w:p w14:paraId="490B8399">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有机肥产线粉尘（DA002）</w:t>
            </w:r>
          </w:p>
        </w:tc>
        <w:tc>
          <w:tcPr>
            <w:tcW w:w="1215" w:type="dxa"/>
            <w:noWrap w:val="0"/>
            <w:vAlign w:val="center"/>
          </w:tcPr>
          <w:p w14:paraId="7902C843">
            <w:pPr>
              <w:adjustRightInd w:val="0"/>
              <w:snapToGrid w:val="0"/>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颗粒物</w:t>
            </w:r>
          </w:p>
        </w:tc>
        <w:tc>
          <w:tcPr>
            <w:tcW w:w="2486" w:type="dxa"/>
            <w:noWrap w:val="0"/>
            <w:vAlign w:val="center"/>
          </w:tcPr>
          <w:p w14:paraId="076C0F7A">
            <w:pPr>
              <w:adjustRightInd w:val="0"/>
              <w:snapToGrid w:val="0"/>
              <w:jc w:val="center"/>
              <w:rPr>
                <w:rFonts w:hint="eastAsia" w:cs="Times New Roman"/>
                <w:color w:val="auto"/>
                <w:szCs w:val="21"/>
                <w:highlight w:val="none"/>
                <w:lang w:val="en-US" w:eastAsia="zh-CN"/>
              </w:rPr>
            </w:pPr>
            <w:r>
              <w:rPr>
                <w:rFonts w:hint="eastAsia" w:cs="Times New Roman"/>
                <w:color w:val="auto"/>
                <w:szCs w:val="21"/>
                <w:highlight w:val="none"/>
                <w:lang w:val="en-US" w:eastAsia="zh-CN"/>
              </w:rPr>
              <w:t>袋式除尘器+15m高排气筒（DA002）</w:t>
            </w:r>
          </w:p>
        </w:tc>
        <w:tc>
          <w:tcPr>
            <w:tcW w:w="2185" w:type="dxa"/>
            <w:noWrap w:val="0"/>
            <w:vAlign w:val="center"/>
          </w:tcPr>
          <w:p w14:paraId="6909EE7D">
            <w:pPr>
              <w:adjustRightInd w:val="0"/>
              <w:snapToGrid w:val="0"/>
              <w:jc w:val="center"/>
              <w:rPr>
                <w:color w:val="auto"/>
                <w:highlight w:val="none"/>
              </w:rPr>
            </w:pPr>
            <w:r>
              <w:rPr>
                <w:color w:val="auto"/>
                <w:highlight w:val="none"/>
              </w:rPr>
              <w:t>《大气污染物综合排放标准》（GB16297-1996）表2中二级标准</w:t>
            </w:r>
          </w:p>
        </w:tc>
      </w:tr>
      <w:tr w14:paraId="0DF8EF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vMerge w:val="continue"/>
            <w:noWrap w:val="0"/>
            <w:vAlign w:val="center"/>
          </w:tcPr>
          <w:p w14:paraId="6A03F200">
            <w:pPr>
              <w:adjustRightInd w:val="0"/>
              <w:snapToGrid w:val="0"/>
              <w:jc w:val="center"/>
              <w:rPr>
                <w:rFonts w:hint="default" w:ascii="Times New Roman" w:hAnsi="Times New Roman" w:cs="Times New Roman"/>
                <w:color w:val="auto"/>
                <w:szCs w:val="21"/>
                <w:highlight w:val="none"/>
              </w:rPr>
            </w:pPr>
          </w:p>
        </w:tc>
        <w:tc>
          <w:tcPr>
            <w:tcW w:w="1344" w:type="dxa"/>
            <w:noWrap w:val="0"/>
            <w:vAlign w:val="center"/>
          </w:tcPr>
          <w:p w14:paraId="52EAC283">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食堂油烟</w:t>
            </w:r>
          </w:p>
        </w:tc>
        <w:tc>
          <w:tcPr>
            <w:tcW w:w="1215" w:type="dxa"/>
            <w:noWrap w:val="0"/>
            <w:vAlign w:val="center"/>
          </w:tcPr>
          <w:p w14:paraId="4EE6F975">
            <w:pPr>
              <w:adjustRightInd w:val="0"/>
              <w:snapToGrid w:val="0"/>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油烟</w:t>
            </w:r>
          </w:p>
        </w:tc>
        <w:tc>
          <w:tcPr>
            <w:tcW w:w="2486" w:type="dxa"/>
            <w:noWrap w:val="0"/>
            <w:vAlign w:val="center"/>
          </w:tcPr>
          <w:p w14:paraId="46DFEB59">
            <w:pPr>
              <w:adjustRightInd w:val="0"/>
              <w:snapToGrid w:val="0"/>
              <w:jc w:val="center"/>
              <w:rPr>
                <w:rFonts w:hint="default" w:ascii="Times New Roman" w:hAnsi="Times New Roman" w:cs="Times New Roman"/>
                <w:color w:val="auto"/>
                <w:szCs w:val="21"/>
                <w:highlight w:val="none"/>
              </w:rPr>
            </w:pPr>
            <w:r>
              <w:rPr>
                <w:rFonts w:hint="eastAsia"/>
                <w:color w:val="auto"/>
                <w:highlight w:val="none"/>
              </w:rPr>
              <w:t>油烟净化</w:t>
            </w:r>
            <w:r>
              <w:rPr>
                <w:rFonts w:hint="eastAsia"/>
                <w:color w:val="auto"/>
                <w:highlight w:val="none"/>
                <w:lang w:val="en-US" w:eastAsia="zh-CN"/>
              </w:rPr>
              <w:t>装置（净化效率60%）</w:t>
            </w:r>
          </w:p>
        </w:tc>
        <w:tc>
          <w:tcPr>
            <w:tcW w:w="2185" w:type="dxa"/>
            <w:noWrap w:val="0"/>
            <w:vAlign w:val="center"/>
          </w:tcPr>
          <w:p w14:paraId="5EB6B59B">
            <w:pPr>
              <w:adjustRightInd w:val="0"/>
              <w:snapToGrid w:val="0"/>
              <w:jc w:val="center"/>
              <w:rPr>
                <w:rFonts w:hint="default" w:ascii="Times New Roman" w:hAnsi="Times New Roman" w:cs="Times New Roman"/>
                <w:color w:val="auto"/>
                <w:szCs w:val="21"/>
                <w:highlight w:val="none"/>
              </w:rPr>
            </w:pPr>
            <w:r>
              <w:rPr>
                <w:rFonts w:hint="eastAsia"/>
                <w:color w:val="auto"/>
                <w:highlight w:val="none"/>
              </w:rPr>
              <w:t>《饮食业油烟排放标准（试行）》（GB18483-2001）</w:t>
            </w:r>
          </w:p>
        </w:tc>
      </w:tr>
      <w:tr w14:paraId="7CD245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noWrap w:val="0"/>
            <w:vAlign w:val="center"/>
          </w:tcPr>
          <w:p w14:paraId="2C145C7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地表水环境</w:t>
            </w:r>
          </w:p>
        </w:tc>
        <w:tc>
          <w:tcPr>
            <w:tcW w:w="1344" w:type="dxa"/>
            <w:noWrap w:val="0"/>
            <w:vAlign w:val="center"/>
          </w:tcPr>
          <w:p w14:paraId="7EA808EE">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生活污水</w:t>
            </w:r>
          </w:p>
        </w:tc>
        <w:tc>
          <w:tcPr>
            <w:tcW w:w="1215" w:type="dxa"/>
            <w:noWrap w:val="0"/>
            <w:vAlign w:val="center"/>
          </w:tcPr>
          <w:p w14:paraId="5AD65BE9">
            <w:pPr>
              <w:adjustRightInd w:val="0"/>
              <w:snapToGrid w:val="0"/>
              <w:jc w:val="center"/>
              <w:rPr>
                <w:rFonts w:hint="default" w:ascii="Times New Roman" w:hAnsi="Times New Roman" w:cs="Times New Roman"/>
                <w:color w:val="auto"/>
                <w:szCs w:val="21"/>
                <w:highlight w:val="none"/>
              </w:rPr>
            </w:pPr>
            <w:r>
              <w:rPr>
                <w:color w:val="auto"/>
                <w:szCs w:val="21"/>
                <w:highlight w:val="none"/>
              </w:rPr>
              <w:t>p</w:t>
            </w:r>
            <w:r>
              <w:rPr>
                <w:rFonts w:hint="eastAsia"/>
                <w:color w:val="auto"/>
                <w:szCs w:val="21"/>
                <w:highlight w:val="none"/>
              </w:rPr>
              <w:t>H、COD、BOD</w:t>
            </w:r>
            <w:r>
              <w:rPr>
                <w:rFonts w:hint="eastAsia"/>
                <w:color w:val="auto"/>
                <w:szCs w:val="21"/>
                <w:highlight w:val="none"/>
                <w:vertAlign w:val="subscript"/>
              </w:rPr>
              <w:t>5</w:t>
            </w:r>
            <w:r>
              <w:rPr>
                <w:color w:val="auto"/>
                <w:szCs w:val="21"/>
                <w:highlight w:val="none"/>
              </w:rPr>
              <w:t>、</w:t>
            </w:r>
            <w:r>
              <w:rPr>
                <w:rFonts w:hint="eastAsia"/>
                <w:color w:val="auto"/>
                <w:szCs w:val="21"/>
                <w:highlight w:val="none"/>
              </w:rPr>
              <w:t>SS</w:t>
            </w:r>
            <w:r>
              <w:rPr>
                <w:color w:val="auto"/>
                <w:szCs w:val="21"/>
                <w:highlight w:val="none"/>
              </w:rPr>
              <w:t>、氨氮</w:t>
            </w:r>
          </w:p>
        </w:tc>
        <w:tc>
          <w:tcPr>
            <w:tcW w:w="2486" w:type="dxa"/>
            <w:noWrap w:val="0"/>
            <w:vAlign w:val="center"/>
          </w:tcPr>
          <w:p w14:paraId="07C0DF8A">
            <w:pPr>
              <w:adjustRightInd w:val="0"/>
              <w:snapToGrid w:val="0"/>
              <w:jc w:val="center"/>
              <w:rPr>
                <w:rFonts w:hint="default" w:ascii="Times New Roman" w:hAnsi="Times New Roman" w:eastAsia="宋体" w:cs="Times New Roman"/>
                <w:color w:val="auto"/>
                <w:szCs w:val="21"/>
                <w:highlight w:val="none"/>
                <w:lang w:val="en-US" w:eastAsia="zh-CN"/>
              </w:rPr>
            </w:pPr>
            <w:r>
              <w:rPr>
                <w:color w:val="auto"/>
                <w:highlight w:val="none"/>
              </w:rPr>
              <w:t>设置</w:t>
            </w:r>
            <w:r>
              <w:rPr>
                <w:rFonts w:hint="eastAsia"/>
                <w:color w:val="auto"/>
                <w:highlight w:val="none"/>
              </w:rPr>
              <w:t>1座容积为</w:t>
            </w:r>
            <w:r>
              <w:rPr>
                <w:rFonts w:hint="eastAsia"/>
                <w:color w:val="auto"/>
                <w:highlight w:val="none"/>
                <w:lang w:val="en-US" w:eastAsia="zh-CN"/>
              </w:rPr>
              <w:t>8</w:t>
            </w:r>
            <w:r>
              <w:rPr>
                <w:rFonts w:eastAsia="Times New Roman"/>
                <w:color w:val="auto"/>
                <w:highlight w:val="none"/>
              </w:rPr>
              <w:t>m</w:t>
            </w:r>
            <w:r>
              <w:rPr>
                <w:rFonts w:eastAsia="Times New Roman"/>
                <w:color w:val="auto"/>
                <w:highlight w:val="none"/>
                <w:vertAlign w:val="superscript"/>
              </w:rPr>
              <w:t>3</w:t>
            </w:r>
            <w:r>
              <w:rPr>
                <w:color w:val="auto"/>
                <w:highlight w:val="none"/>
              </w:rPr>
              <w:t>化粪池</w:t>
            </w:r>
          </w:p>
        </w:tc>
        <w:tc>
          <w:tcPr>
            <w:tcW w:w="2185" w:type="dxa"/>
            <w:noWrap w:val="0"/>
            <w:vAlign w:val="center"/>
          </w:tcPr>
          <w:p w14:paraId="50784864">
            <w:pPr>
              <w:adjustRightInd w:val="0"/>
              <w:snapToGrid w:val="0"/>
              <w:jc w:val="center"/>
              <w:rPr>
                <w:rFonts w:hint="default" w:ascii="Times New Roman" w:hAnsi="Times New Roman" w:cs="Times New Roman"/>
                <w:color w:val="auto"/>
                <w:szCs w:val="21"/>
                <w:highlight w:val="none"/>
              </w:rPr>
            </w:pPr>
            <w:r>
              <w:rPr>
                <w:color w:val="auto"/>
                <w:szCs w:val="21"/>
                <w:highlight w:val="none"/>
              </w:rPr>
              <w:t>化粪池粪便定期清掏用作农肥</w:t>
            </w:r>
          </w:p>
        </w:tc>
      </w:tr>
      <w:tr w14:paraId="5C5AD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noWrap w:val="0"/>
            <w:vAlign w:val="center"/>
          </w:tcPr>
          <w:p w14:paraId="7126B472">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声环境</w:t>
            </w:r>
          </w:p>
        </w:tc>
        <w:tc>
          <w:tcPr>
            <w:tcW w:w="1344" w:type="dxa"/>
            <w:noWrap w:val="0"/>
            <w:vAlign w:val="center"/>
          </w:tcPr>
          <w:p w14:paraId="03C02D15">
            <w:pPr>
              <w:pStyle w:val="49"/>
              <w:bidi w:val="0"/>
              <w:rPr>
                <w:rFonts w:hint="eastAsia"/>
                <w:color w:val="auto"/>
                <w:highlight w:val="none"/>
                <w:lang w:val="en-US" w:eastAsia="zh-CN"/>
              </w:rPr>
            </w:pPr>
            <w:r>
              <w:rPr>
                <w:rFonts w:hint="eastAsia"/>
                <w:color w:val="auto"/>
                <w:highlight w:val="none"/>
              </w:rPr>
              <w:t>设备</w:t>
            </w:r>
          </w:p>
        </w:tc>
        <w:tc>
          <w:tcPr>
            <w:tcW w:w="1215" w:type="dxa"/>
            <w:noWrap w:val="0"/>
            <w:vAlign w:val="center"/>
          </w:tcPr>
          <w:p w14:paraId="70F17158">
            <w:pPr>
              <w:pStyle w:val="49"/>
              <w:bidi w:val="0"/>
              <w:rPr>
                <w:rFonts w:hint="eastAsia"/>
                <w:color w:val="auto"/>
                <w:highlight w:val="none"/>
                <w:lang w:val="en-US" w:eastAsia="zh-CN"/>
              </w:rPr>
            </w:pPr>
            <w:r>
              <w:rPr>
                <w:color w:val="auto"/>
                <w:highlight w:val="none"/>
              </w:rPr>
              <w:t>连续等效A声级</w:t>
            </w:r>
          </w:p>
        </w:tc>
        <w:tc>
          <w:tcPr>
            <w:tcW w:w="2486" w:type="dxa"/>
            <w:noWrap w:val="0"/>
            <w:vAlign w:val="center"/>
          </w:tcPr>
          <w:p w14:paraId="6203CCC8">
            <w:pPr>
              <w:pStyle w:val="49"/>
              <w:bidi w:val="0"/>
              <w:rPr>
                <w:rFonts w:hint="eastAsia"/>
                <w:color w:val="auto"/>
                <w:highlight w:val="none"/>
                <w:lang w:val="en-US" w:eastAsia="zh-CN"/>
              </w:rPr>
            </w:pPr>
            <w:r>
              <w:rPr>
                <w:color w:val="auto"/>
                <w:highlight w:val="none"/>
              </w:rPr>
              <w:t>低噪声设备、</w:t>
            </w:r>
            <w:r>
              <w:rPr>
                <w:color w:val="auto"/>
                <w:szCs w:val="21"/>
                <w:highlight w:val="none"/>
              </w:rPr>
              <w:t>设置减振垫</w:t>
            </w:r>
            <w:r>
              <w:rPr>
                <w:color w:val="auto"/>
                <w:highlight w:val="none"/>
              </w:rPr>
              <w:t>、房间隔声</w:t>
            </w:r>
          </w:p>
        </w:tc>
        <w:tc>
          <w:tcPr>
            <w:tcW w:w="2185" w:type="dxa"/>
            <w:noWrap w:val="0"/>
            <w:vAlign w:val="center"/>
          </w:tcPr>
          <w:p w14:paraId="562D8833">
            <w:pPr>
              <w:pStyle w:val="49"/>
              <w:bidi w:val="0"/>
              <w:rPr>
                <w:rFonts w:hint="default"/>
                <w:color w:val="auto"/>
                <w:highlight w:val="none"/>
                <w:lang w:val="en-US" w:eastAsia="zh-CN"/>
              </w:rPr>
            </w:pPr>
            <w:r>
              <w:rPr>
                <w:color w:val="auto"/>
                <w:highlight w:val="none"/>
              </w:rPr>
              <w:t>《工业企业厂界环境噪声排放标准》（GB12348-2008）2类标准</w:t>
            </w:r>
          </w:p>
        </w:tc>
      </w:tr>
      <w:tr w14:paraId="26906E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noWrap w:val="0"/>
            <w:vAlign w:val="center"/>
          </w:tcPr>
          <w:p w14:paraId="77BD50D9">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电磁辐射</w:t>
            </w:r>
          </w:p>
        </w:tc>
        <w:tc>
          <w:tcPr>
            <w:tcW w:w="1344" w:type="dxa"/>
            <w:noWrap w:val="0"/>
            <w:vAlign w:val="center"/>
          </w:tcPr>
          <w:p w14:paraId="2EB66C22">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1215" w:type="dxa"/>
            <w:noWrap w:val="0"/>
            <w:vAlign w:val="center"/>
          </w:tcPr>
          <w:p w14:paraId="60C0CE99">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2486" w:type="dxa"/>
            <w:noWrap w:val="0"/>
            <w:vAlign w:val="center"/>
          </w:tcPr>
          <w:p w14:paraId="6D0E2833">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c>
          <w:tcPr>
            <w:tcW w:w="2185" w:type="dxa"/>
            <w:noWrap w:val="0"/>
            <w:vAlign w:val="center"/>
          </w:tcPr>
          <w:p w14:paraId="73A71A35">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w:t>
            </w:r>
          </w:p>
        </w:tc>
      </w:tr>
      <w:tr w14:paraId="76F160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830" w:type="dxa"/>
            <w:noWrap w:val="0"/>
            <w:vAlign w:val="center"/>
          </w:tcPr>
          <w:p w14:paraId="490E7CDC">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固体废物</w:t>
            </w:r>
          </w:p>
        </w:tc>
        <w:tc>
          <w:tcPr>
            <w:tcW w:w="7230" w:type="dxa"/>
            <w:gridSpan w:val="4"/>
            <w:noWrap w:val="0"/>
            <w:vAlign w:val="center"/>
          </w:tcPr>
          <w:p w14:paraId="2B077285">
            <w:pPr>
              <w:pStyle w:val="49"/>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color w:val="auto"/>
                <w:highlight w:val="none"/>
                <w:lang w:val="en-US" w:eastAsia="zh-CN"/>
              </w:rPr>
            </w:pPr>
            <w:r>
              <w:rPr>
                <w:color w:val="auto"/>
                <w:highlight w:val="none"/>
              </w:rPr>
              <w:t>场内设垃圾收集桶，生活垃圾定点收集后由环卫清运</w:t>
            </w:r>
            <w:r>
              <w:rPr>
                <w:rFonts w:hint="eastAsia"/>
                <w:color w:val="auto"/>
                <w:highlight w:val="none"/>
                <w:lang w:eastAsia="zh-CN"/>
              </w:rPr>
              <w:t>；</w:t>
            </w:r>
            <w:r>
              <w:rPr>
                <w:rFonts w:hint="eastAsia"/>
                <w:color w:val="auto"/>
                <w:highlight w:val="none"/>
                <w:lang w:val="en-US" w:eastAsia="zh-CN"/>
              </w:rPr>
              <w:t>炭化炉灰渣和收集粉尘集中收集后，回用于生产；废包装材料收集后，外售综合利用；废机油、废包装桶、废含油纱布及手套集中收集，暂存于危废贮存库，及时交由有资质的单位处置。</w:t>
            </w:r>
          </w:p>
          <w:p w14:paraId="3A931E43">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szCs w:val="21"/>
                <w:highlight w:val="none"/>
                <w:lang w:val="en-US"/>
              </w:rPr>
            </w:pPr>
            <w:r>
              <w:rPr>
                <w:rFonts w:hint="default"/>
                <w:color w:val="auto"/>
                <w:highlight w:val="none"/>
                <w:lang w:val="en-US" w:eastAsia="zh-CN"/>
              </w:rPr>
              <w:t>本项目在炭化车间西南侧设1座一般固废暂存间，面积约30m</w:t>
            </w:r>
            <w:r>
              <w:rPr>
                <w:rFonts w:hint="default"/>
                <w:color w:val="auto"/>
                <w:highlight w:val="none"/>
                <w:vertAlign w:val="superscript"/>
                <w:lang w:val="en-US" w:eastAsia="zh-CN"/>
              </w:rPr>
              <w:t>2</w:t>
            </w:r>
            <w:r>
              <w:rPr>
                <w:rFonts w:hint="default"/>
                <w:color w:val="auto"/>
                <w:highlight w:val="none"/>
                <w:lang w:val="en-US" w:eastAsia="zh-CN"/>
              </w:rPr>
              <w:t>。一般工业固体废物分类分区存放，采取防渗漏、防雨淋及防扬尘等措施，并按照《环境保护图形标志-固体废物贮存（处置）场》（GB15562.2-1995）要求设置环境保护图形标志。</w:t>
            </w:r>
            <w:r>
              <w:rPr>
                <w:rFonts w:hint="eastAsia"/>
                <w:color w:val="auto"/>
                <w:highlight w:val="none"/>
                <w:lang w:val="en-US" w:eastAsia="zh-CN"/>
              </w:rPr>
              <w:t>并设置</w:t>
            </w:r>
            <w:r>
              <w:rPr>
                <w:rFonts w:hint="default"/>
                <w:color w:val="auto"/>
                <w:highlight w:val="none"/>
                <w:lang w:val="en-US" w:eastAsia="zh-CN"/>
              </w:rPr>
              <w:t>本项目在炭化车间西南侧设危废</w:t>
            </w:r>
            <w:r>
              <w:rPr>
                <w:rFonts w:hint="eastAsia"/>
                <w:color w:val="auto"/>
                <w:highlight w:val="none"/>
                <w:lang w:val="en-US" w:eastAsia="zh-CN"/>
              </w:rPr>
              <w:t>贮存库</w:t>
            </w:r>
            <w:r>
              <w:rPr>
                <w:rFonts w:hint="default"/>
                <w:color w:val="auto"/>
                <w:highlight w:val="none"/>
                <w:lang w:val="en-US" w:eastAsia="zh-CN"/>
              </w:rPr>
              <w:t>1座，面积约10m</w:t>
            </w:r>
            <w:r>
              <w:rPr>
                <w:rFonts w:hint="default"/>
                <w:color w:val="auto"/>
                <w:highlight w:val="none"/>
                <w:vertAlign w:val="superscript"/>
                <w:lang w:val="en-US" w:eastAsia="zh-CN"/>
              </w:rPr>
              <w:t>2</w:t>
            </w:r>
            <w:r>
              <w:rPr>
                <w:rFonts w:hint="default"/>
                <w:color w:val="auto"/>
                <w:highlight w:val="none"/>
                <w:lang w:val="en-US" w:eastAsia="zh-CN"/>
              </w:rPr>
              <w:t>。项目危险废物的暂存应按照危险废物管理和处置要求进行。根据国家《危险废物贮存污染控制标准》（GB18597-2023）、《危险废物识别标志设置技术规范》（HJ1276-2022）和《危险废物污染防治技术政策》中有关规定</w:t>
            </w:r>
            <w:r>
              <w:rPr>
                <w:rFonts w:hint="eastAsia"/>
                <w:color w:val="auto"/>
                <w:highlight w:val="none"/>
                <w:lang w:val="en-US" w:eastAsia="zh-CN"/>
              </w:rPr>
              <w:t>进行建设。</w:t>
            </w:r>
          </w:p>
        </w:tc>
      </w:tr>
      <w:tr w14:paraId="56103E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830" w:type="dxa"/>
            <w:noWrap w:val="0"/>
            <w:vAlign w:val="center"/>
          </w:tcPr>
          <w:p w14:paraId="100CEF7B">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土壤及地下水</w:t>
            </w:r>
          </w:p>
          <w:p w14:paraId="7430F5CD">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污染防治措施</w:t>
            </w:r>
          </w:p>
        </w:tc>
        <w:tc>
          <w:tcPr>
            <w:tcW w:w="7230" w:type="dxa"/>
            <w:gridSpan w:val="4"/>
            <w:noWrap w:val="0"/>
            <w:vAlign w:val="center"/>
          </w:tcPr>
          <w:p w14:paraId="221BCF4A">
            <w:pPr>
              <w:pStyle w:val="49"/>
              <w:bidi w:val="0"/>
              <w:jc w:val="both"/>
              <w:rPr>
                <w:rFonts w:hint="default"/>
                <w:color w:val="auto"/>
                <w:highlight w:val="none"/>
                <w:lang w:val="en-US" w:eastAsia="zh-CN"/>
              </w:rPr>
            </w:pPr>
            <w:r>
              <w:rPr>
                <w:rFonts w:hint="eastAsia"/>
                <w:color w:val="auto"/>
                <w:highlight w:val="none"/>
                <w:lang w:val="en-US" w:eastAsia="zh-CN"/>
              </w:rPr>
              <w:t>①重点防渗区：危废贮存库</w:t>
            </w:r>
            <w:r>
              <w:rPr>
                <w:rFonts w:hint="default"/>
                <w:color w:val="auto"/>
                <w:highlight w:val="none"/>
                <w:lang w:val="en-US" w:eastAsia="zh-CN"/>
              </w:rPr>
              <w:t>防渗层为至少1m厚黏土层（渗透系数≤10-</w:t>
            </w:r>
            <w:r>
              <w:rPr>
                <w:rFonts w:hint="eastAsia"/>
                <w:color w:val="auto"/>
                <w:highlight w:val="none"/>
                <w:lang w:val="en-US" w:eastAsia="zh-CN"/>
              </w:rPr>
              <w:t>10</w:t>
            </w:r>
            <w:r>
              <w:rPr>
                <w:rFonts w:hint="default"/>
                <w:color w:val="auto"/>
                <w:highlight w:val="none"/>
                <w:lang w:val="en-US" w:eastAsia="zh-CN"/>
              </w:rPr>
              <w:t>cm/s）+防渗混凝土+防渗膜（2mm厚HDPE膜）+防渗涂料（环氧树脂地坪漆，且液态危废收集容器下方设置钢制防渗托盘等。储罐围堰区</w:t>
            </w:r>
            <w:r>
              <w:rPr>
                <w:rFonts w:hint="eastAsia"/>
                <w:color w:val="auto"/>
                <w:highlight w:val="none"/>
                <w:lang w:val="en-US" w:eastAsia="zh-CN"/>
              </w:rPr>
              <w:t>、</w:t>
            </w:r>
            <w:r>
              <w:rPr>
                <w:rFonts w:hint="default"/>
                <w:color w:val="auto"/>
                <w:highlight w:val="none"/>
                <w:lang w:val="en-US" w:eastAsia="zh-CN"/>
              </w:rPr>
              <w:t>加臭装置围堰区</w:t>
            </w:r>
            <w:r>
              <w:rPr>
                <w:rFonts w:hint="eastAsia"/>
                <w:color w:val="auto"/>
                <w:highlight w:val="none"/>
                <w:lang w:val="en-US" w:eastAsia="zh-CN"/>
              </w:rPr>
              <w:t>以及</w:t>
            </w:r>
            <w:r>
              <w:rPr>
                <w:rFonts w:hint="default"/>
                <w:color w:val="auto"/>
                <w:highlight w:val="none"/>
                <w:lang w:val="en-US" w:eastAsia="zh-CN"/>
              </w:rPr>
              <w:t>化粪池防渗层为至少1m厚黏土层（渗透系数≤10-7cm/s）+防渗混凝土+防渗膜（2mm厚HDPE膜）。</w:t>
            </w:r>
          </w:p>
          <w:p w14:paraId="0A56B223">
            <w:pPr>
              <w:jc w:val="both"/>
              <w:rPr>
                <w:rFonts w:hint="eastAsia"/>
                <w:color w:val="auto"/>
                <w:highlight w:val="none"/>
                <w:lang w:val="en-US" w:eastAsia="zh-CN"/>
              </w:rPr>
            </w:pPr>
            <w:r>
              <w:rPr>
                <w:rFonts w:hint="eastAsia"/>
                <w:color w:val="auto"/>
                <w:highlight w:val="none"/>
                <w:lang w:val="en-US" w:eastAsia="zh-CN"/>
              </w:rPr>
              <w:t>②一般防渗区：除重点防渗区外的生产区、原料仓库、一般固废暂存区、成品库及消防水池等，</w:t>
            </w:r>
            <w:r>
              <w:rPr>
                <w:rFonts w:hint="default"/>
                <w:color w:val="auto"/>
                <w:highlight w:val="none"/>
                <w:lang w:val="en-US" w:eastAsia="zh-CN"/>
              </w:rPr>
              <w:t>采取粘土铺底+防渗混凝土进行防渗</w:t>
            </w:r>
            <w:r>
              <w:rPr>
                <w:rFonts w:hint="eastAsia"/>
                <w:color w:val="auto"/>
                <w:highlight w:val="none"/>
                <w:lang w:val="en-US" w:eastAsia="zh-CN"/>
              </w:rPr>
              <w:t>。</w:t>
            </w:r>
          </w:p>
          <w:p w14:paraId="23517985">
            <w:pPr>
              <w:pStyle w:val="49"/>
              <w:bidi w:val="0"/>
              <w:jc w:val="both"/>
              <w:rPr>
                <w:rFonts w:hint="default"/>
                <w:color w:val="auto"/>
                <w:highlight w:val="none"/>
                <w:lang w:val="en-US" w:eastAsia="zh-CN"/>
              </w:rPr>
            </w:pPr>
            <w:r>
              <w:rPr>
                <w:rFonts w:hint="eastAsia"/>
                <w:color w:val="auto"/>
                <w:highlight w:val="none"/>
                <w:lang w:val="en-US" w:eastAsia="zh-CN"/>
              </w:rPr>
              <w:t>③简单防渗区：站房、厂区道路等，采取水泥硬化。</w:t>
            </w:r>
          </w:p>
        </w:tc>
      </w:tr>
      <w:tr w14:paraId="0F3A9C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830" w:type="dxa"/>
            <w:noWrap w:val="0"/>
            <w:vAlign w:val="center"/>
          </w:tcPr>
          <w:p w14:paraId="5AD7AE53">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生态保护措施</w:t>
            </w:r>
          </w:p>
        </w:tc>
        <w:tc>
          <w:tcPr>
            <w:tcW w:w="7230" w:type="dxa"/>
            <w:gridSpan w:val="4"/>
            <w:noWrap w:val="0"/>
            <w:vAlign w:val="center"/>
          </w:tcPr>
          <w:p w14:paraId="2125FFBA">
            <w:pPr>
              <w:adjustRightInd w:val="0"/>
              <w:snapToGrid w:val="0"/>
              <w:jc w:val="center"/>
              <w:rPr>
                <w:rFonts w:hint="eastAsia" w:ascii="Times New Roman" w:hAnsi="Times New Roman" w:eastAsia="宋体" w:cs="Times New Roman"/>
                <w:color w:val="auto"/>
                <w:szCs w:val="21"/>
                <w:highlight w:val="none"/>
                <w:lang w:eastAsia="zh-CN"/>
              </w:rPr>
            </w:pPr>
            <w:r>
              <w:rPr>
                <w:rFonts w:hint="eastAsia" w:ascii="Times New Roman" w:hAnsi="Times New Roman" w:eastAsia="宋体" w:cs="Times New Roman"/>
                <w:color w:val="auto"/>
                <w:szCs w:val="21"/>
                <w:highlight w:val="none"/>
                <w:lang w:eastAsia="zh-CN"/>
              </w:rPr>
              <w:t>项目建成后道路及厂内空地全部采用硬化地面，运营期污染物产量较少且得到很好地治理。因此，该项目的建设对周围生态环境产生破坏和影响较小。</w:t>
            </w:r>
          </w:p>
        </w:tc>
      </w:tr>
      <w:tr w14:paraId="05030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830" w:type="dxa"/>
            <w:noWrap w:val="0"/>
            <w:vAlign w:val="center"/>
          </w:tcPr>
          <w:p w14:paraId="51F6CF90">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环境风险</w:t>
            </w:r>
          </w:p>
          <w:p w14:paraId="4733A8F3">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防范措施</w:t>
            </w:r>
          </w:p>
        </w:tc>
        <w:tc>
          <w:tcPr>
            <w:tcW w:w="7230" w:type="dxa"/>
            <w:gridSpan w:val="4"/>
            <w:noWrap w:val="0"/>
            <w:vAlign w:val="center"/>
          </w:tcPr>
          <w:p w14:paraId="3CA5098B">
            <w:pPr>
              <w:adjustRightInd w:val="0"/>
              <w:snapToGrid w:val="0"/>
              <w:jc w:val="left"/>
              <w:rPr>
                <w:rFonts w:hint="default" w:ascii="Times New Roman" w:hAnsi="Times New Roman" w:cs="Times New Roman"/>
                <w:color w:val="auto"/>
                <w:sz w:val="21"/>
                <w:szCs w:val="21"/>
                <w:highlight w:val="none"/>
              </w:rPr>
            </w:pPr>
            <w:r>
              <w:rPr>
                <w:rFonts w:hint="default" w:ascii="Times New Roman" w:hAnsi="Times New Roman" w:cs="Times New Roman"/>
                <w:color w:val="auto"/>
                <w:szCs w:val="21"/>
                <w:highlight w:val="none"/>
              </w:rPr>
              <w:t>加强操作管理，确保处理设备正常稳定运行，编制突发环境事件应急预案并备案，储备应急物资，定期进行应急演练。</w:t>
            </w:r>
            <w:r>
              <w:rPr>
                <w:rFonts w:hint="default" w:ascii="Times New Roman" w:hAnsi="Times New Roman" w:cs="Times New Roman"/>
                <w:color w:val="auto"/>
                <w:sz w:val="21"/>
                <w:szCs w:val="21"/>
                <w:highlight w:val="none"/>
              </w:rPr>
              <w:t>为防止事故的发生，</w:t>
            </w:r>
            <w:r>
              <w:rPr>
                <w:rFonts w:hint="default" w:ascii="Times New Roman" w:hAnsi="Times New Roman" w:cs="Times New Roman"/>
                <w:color w:val="auto"/>
                <w:sz w:val="21"/>
                <w:szCs w:val="21"/>
                <w:highlight w:val="none"/>
                <w:lang w:val="en-US" w:eastAsia="zh-CN"/>
              </w:rPr>
              <w:t>并提出</w:t>
            </w:r>
            <w:r>
              <w:rPr>
                <w:rFonts w:hint="default" w:ascii="Times New Roman" w:hAnsi="Times New Roman" w:cs="Times New Roman"/>
                <w:color w:val="auto"/>
                <w:sz w:val="21"/>
                <w:szCs w:val="21"/>
                <w:highlight w:val="none"/>
              </w:rPr>
              <w:t>以下防范措施：</w:t>
            </w:r>
          </w:p>
          <w:p w14:paraId="4C8D826E">
            <w:pPr>
              <w:pStyle w:val="3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w:t>
            </w:r>
            <w:r>
              <w:rPr>
                <w:rStyle w:val="48"/>
                <w:rFonts w:hint="default" w:ascii="Times New Roman" w:hAnsi="Times New Roman" w:cs="Times New Roman"/>
                <w:color w:val="auto"/>
                <w:highlight w:val="none"/>
              </w:rPr>
              <w:t>在对秸秆气设施运行及停气检修时必须严格按照有关安全生产的规定进行。天然气管道及秸秆气燃烧设备的设计和施工中，应严格按照《工业企业煤气安全规程》（GB6222-86）等安全生产的有关规定进行。</w:t>
            </w:r>
          </w:p>
          <w:p w14:paraId="529EE3C3">
            <w:pPr>
              <w:pStyle w:val="3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加强员工的教育，提高员工的责任心和主观能动性：完善并严格遵守相关的操作规程，加强岗位培训，落实岗位责任制；加强设备管理，特别是对易产生有毒物质泄漏的部位加强检查。除生产必须用人外，严禁携带火柴、打火机、烟头等火种进入。不准穿有钉鞋和化纤衣服的人员，以及汽车、电瓶车或其他机动车辆进入。</w:t>
            </w:r>
          </w:p>
          <w:p w14:paraId="529693F0">
            <w:pPr>
              <w:pStyle w:val="3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建立事故预防、监测、检验、报警系统，应设置CO浓度检测报警装置；采取技术、工艺、设备、管理等综合预防措施，避免煤气意外泄漏事故发生；在易产生泄漏的位置设置检测仪和自动报警器，当发生泄漏事故时能及时报警，使事故能够得到及时扼杀；生产场所应设置相应的通风设施，确保工作人员不受有害气体的危害；对输送管道、管件等以及与之相关的设备进行重点安全监督。</w:t>
            </w:r>
          </w:p>
          <w:p w14:paraId="5AD9E3B2">
            <w:pPr>
              <w:pStyle w:val="3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④提高项目生产的自动化控制水平，减少生产系统的操作偏差，确保拟建项目的生产安全。</w:t>
            </w:r>
          </w:p>
          <w:p w14:paraId="69EB6969">
            <w:pPr>
              <w:pStyle w:val="35"/>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⑤加强事故管理，在生产过程中注意对</w:t>
            </w:r>
            <w:r>
              <w:rPr>
                <w:rFonts w:hint="default" w:ascii="Times New Roman" w:hAnsi="Times New Roman" w:cs="Times New Roman"/>
                <w:color w:val="auto"/>
                <w:sz w:val="21"/>
                <w:szCs w:val="21"/>
                <w:highlight w:val="none"/>
                <w:lang w:eastAsia="zh-CN"/>
              </w:rPr>
              <w:t>其他</w:t>
            </w:r>
            <w:r>
              <w:rPr>
                <w:rFonts w:hint="default" w:ascii="Times New Roman" w:hAnsi="Times New Roman" w:cs="Times New Roman"/>
                <w:color w:val="auto"/>
                <w:sz w:val="21"/>
                <w:szCs w:val="21"/>
                <w:highlight w:val="none"/>
              </w:rPr>
              <w:t>单位相关事故的研究，充分吸取经验和教训。</w:t>
            </w:r>
          </w:p>
          <w:p w14:paraId="0126FE2D">
            <w:pPr>
              <w:pStyle w:val="35"/>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⑥储罐区建设提出以下要求：</w:t>
            </w:r>
          </w:p>
          <w:p w14:paraId="6CC1FF7F">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地面采用混凝土或经防腐处理的钢结构建设，宜采用防静电硬质环氧树脂材料，防止静电积聚和液体渗透。</w:t>
            </w:r>
          </w:p>
          <w:p w14:paraId="75EB2B22">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储存场所必须达到三防要求既防风、防水、防晒，离开地表水域150m外。</w:t>
            </w:r>
          </w:p>
          <w:p w14:paraId="19719B0D">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场所围墙分割区域不能同种类物品放置同一区域。</w:t>
            </w:r>
          </w:p>
          <w:p w14:paraId="2B95DA93">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储罐区设置围堰，围堰有效容积不小于区内最大储罐容积的 110%。</w:t>
            </w:r>
          </w:p>
          <w:p w14:paraId="489A8258">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库区必须有宽敞的人员行走通道便于货物进出和运输。</w:t>
            </w:r>
          </w:p>
          <w:p w14:paraId="116DF528">
            <w:pPr>
              <w:pStyle w:val="49"/>
              <w:numPr>
                <w:ilvl w:val="0"/>
                <w:numId w:val="15"/>
              </w:numPr>
              <w:bidi w:val="0"/>
              <w:jc w:val="left"/>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配置灭火器具。</w:t>
            </w:r>
          </w:p>
          <w:p w14:paraId="00CFEDF8">
            <w:pPr>
              <w:pStyle w:val="35"/>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lang w:val="en-US" w:eastAsia="zh-CN"/>
              </w:rPr>
              <w:t>⑦秸秆原料库应采取防尘防爆措施，厂房内电气设备采用防爆型，设置粉尘浓度监测报警装置，加强通风除尘，防止粉尘积聚达到爆炸下限。</w:t>
            </w:r>
          </w:p>
        </w:tc>
      </w:tr>
      <w:tr w14:paraId="6A60DF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30" w:type="dxa"/>
            <w:noWrap w:val="0"/>
            <w:vAlign w:val="center"/>
          </w:tcPr>
          <w:p w14:paraId="11B25607">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其他环境</w:t>
            </w:r>
          </w:p>
          <w:p w14:paraId="786CEFF4">
            <w:pPr>
              <w:adjustRightInd w:val="0"/>
              <w:snapToGrid w:val="0"/>
              <w:jc w:val="center"/>
              <w:rPr>
                <w:rFonts w:hint="default" w:ascii="Times New Roman" w:hAnsi="Times New Roman" w:cs="Times New Roman"/>
                <w:color w:val="auto"/>
                <w:spacing w:val="-8"/>
                <w:szCs w:val="21"/>
                <w:highlight w:val="none"/>
              </w:rPr>
            </w:pPr>
            <w:r>
              <w:rPr>
                <w:rFonts w:hint="default" w:ascii="Times New Roman" w:hAnsi="Times New Roman" w:cs="Times New Roman"/>
                <w:color w:val="auto"/>
                <w:spacing w:val="-8"/>
                <w:szCs w:val="21"/>
                <w:highlight w:val="none"/>
              </w:rPr>
              <w:t>管理要求</w:t>
            </w:r>
          </w:p>
        </w:tc>
        <w:tc>
          <w:tcPr>
            <w:tcW w:w="7230" w:type="dxa"/>
            <w:gridSpan w:val="4"/>
            <w:noWrap w:val="0"/>
            <w:vAlign w:val="center"/>
          </w:tcPr>
          <w:p w14:paraId="3EE453EB">
            <w:pPr>
              <w:pStyle w:val="49"/>
              <w:numPr>
                <w:ilvl w:val="0"/>
                <w:numId w:val="16"/>
              </w:numPr>
              <w:bidi w:val="0"/>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环境管理要求</w:t>
            </w:r>
          </w:p>
          <w:p w14:paraId="7A40BAE5">
            <w:pPr>
              <w:pStyle w:val="49"/>
              <w:numPr>
                <w:ilvl w:val="0"/>
                <w:numId w:val="17"/>
              </w:numPr>
              <w:bidi w:val="0"/>
              <w:ind w:leftChars="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建立环境保护管理制度和年度环境管理工作计划；</w:t>
            </w:r>
          </w:p>
          <w:p w14:paraId="0E97367F">
            <w:pPr>
              <w:pStyle w:val="49"/>
              <w:numPr>
                <w:ilvl w:val="0"/>
                <w:numId w:val="17"/>
              </w:numPr>
              <w:bidi w:val="0"/>
              <w:ind w:left="0" w:leftChars="0" w:firstLine="0" w:firstLineChars="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建立本工程环境保护档案（包括环评、环保竣工验收、污染源监测、环保设备运行记录、</w:t>
            </w:r>
            <w:r>
              <w:rPr>
                <w:rFonts w:hint="default" w:ascii="Times New Roman" w:hAnsi="Times New Roman" w:cs="Times New Roman"/>
                <w:color w:val="auto"/>
                <w:highlight w:val="none"/>
                <w:lang w:eastAsia="zh-CN"/>
              </w:rPr>
              <w:t>台账</w:t>
            </w:r>
            <w:r>
              <w:rPr>
                <w:rFonts w:hint="default" w:ascii="Times New Roman" w:hAnsi="Times New Roman" w:cs="Times New Roman"/>
                <w:color w:val="auto"/>
                <w:highlight w:val="none"/>
              </w:rPr>
              <w:t>（记录原辅材料的使用量、废弃量）</w:t>
            </w:r>
            <w:r>
              <w:rPr>
                <w:rFonts w:hint="default" w:ascii="Times New Roman" w:hAnsi="Times New Roman" w:cs="Times New Roman"/>
                <w:color w:val="auto"/>
                <w:highlight w:val="none"/>
                <w:lang w:eastAsia="zh-CN"/>
              </w:rPr>
              <w:t>及其他</w:t>
            </w:r>
            <w:r>
              <w:rPr>
                <w:rFonts w:hint="default" w:ascii="Times New Roman" w:hAnsi="Times New Roman" w:cs="Times New Roman"/>
                <w:color w:val="auto"/>
                <w:highlight w:val="none"/>
              </w:rPr>
              <w:t>环境统计资料等）；</w:t>
            </w:r>
          </w:p>
          <w:p w14:paraId="3E1AB4AA">
            <w:pPr>
              <w:pStyle w:val="49"/>
              <w:numPr>
                <w:ilvl w:val="0"/>
                <w:numId w:val="17"/>
              </w:numPr>
              <w:bidi w:val="0"/>
              <w:ind w:left="0" w:leftChars="0" w:firstLine="0" w:firstLineChars="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强化对环保设施运行监督、管理的职能，建立全厂完善的环保设施运行、维护、维修等技术档案；加强对环保设施操作人员的技术培训，确保环保设施处于正常运行情况，污染物排放连续达标；开展定期、不定期环境与污染源监测，发现问题及时处理；</w:t>
            </w:r>
          </w:p>
          <w:p w14:paraId="00FAA2E1">
            <w:pPr>
              <w:pStyle w:val="49"/>
              <w:numPr>
                <w:ilvl w:val="0"/>
                <w:numId w:val="17"/>
              </w:numPr>
              <w:bidi w:val="0"/>
              <w:ind w:left="0" w:leftChars="0" w:firstLine="0" w:firstLineChars="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开展环保宣传与职工培训，提高环保意识教育，提升企业的环境管理水平；</w:t>
            </w:r>
          </w:p>
          <w:p w14:paraId="0D0EEFB3">
            <w:pPr>
              <w:pStyle w:val="49"/>
              <w:numPr>
                <w:ilvl w:val="0"/>
                <w:numId w:val="0"/>
              </w:numPr>
              <w:bidi w:val="0"/>
              <w:ind w:leftChars="0"/>
              <w:jc w:val="both"/>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2、排污许可</w:t>
            </w:r>
          </w:p>
          <w:p w14:paraId="03B31F56">
            <w:pPr>
              <w:adjustRightInd w:val="0"/>
              <w:snapToGrid w:val="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按照《国务院办公厅关于印发控制污染物排放许可制度实施方案的通知》（国办发〔2016〕81号）、《环境保护部关于印发〈“十三五”环境影响评价改革实施方案〉的通知》（环环评〔2016〕95号）、《建设项目环境影响评价分类管理名录》和《固定污染源排污许可分类管理名录（2019）》有关要求，建设单位应</w:t>
            </w:r>
            <w:r>
              <w:rPr>
                <w:rFonts w:hint="default" w:ascii="Times New Roman" w:hAnsi="Times New Roman" w:cs="Times New Roman"/>
                <w:color w:val="auto"/>
                <w:highlight w:val="none"/>
                <w:lang w:val="en-US" w:eastAsia="zh-CN"/>
              </w:rPr>
              <w:t>申领</w:t>
            </w:r>
            <w:r>
              <w:rPr>
                <w:rFonts w:hint="default" w:ascii="Times New Roman" w:hAnsi="Times New Roman" w:cs="Times New Roman"/>
                <w:color w:val="auto"/>
                <w:highlight w:val="none"/>
              </w:rPr>
              <w:t>国家排污许可证，做到持证排污，不得无证排污或不按证排污。并根据《环境管理台账及排污许可证执行报告技术规范  总则（试行）》（HJ944-2018）具体要求，做好环境管理台账的记录，并定期上传公示排污许可证执行报告。</w:t>
            </w:r>
          </w:p>
          <w:p w14:paraId="6FE6DF86">
            <w:pPr>
              <w:adjustRightInd w:val="0"/>
              <w:snapToGrid w:val="0"/>
              <w:jc w:val="both"/>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3、环境监测</w:t>
            </w:r>
          </w:p>
          <w:p w14:paraId="12161F30">
            <w:pPr>
              <w:adjustRightInd w:val="0"/>
              <w:snapToGrid w:val="0"/>
              <w:jc w:val="both"/>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按照监测计划的频次和要求进行监测，并保留监测原始记录，每次数据应及时由专人整理、统计，如有异常，立即向上级有关部门通报，并做好监测资料的归档、备查工作，建议建设单位定期将监测数据上墙公示，接受公众监督。</w:t>
            </w:r>
          </w:p>
          <w:p w14:paraId="5226518A">
            <w:pPr>
              <w:adjustRightInd w:val="0"/>
              <w:snapToGrid w:val="0"/>
              <w:jc w:val="both"/>
              <w:rPr>
                <w:rFonts w:hint="default" w:ascii="Times New Roman" w:hAnsi="Times New Roman" w:eastAsia="宋体" w:cs="Times New Roman"/>
                <w:b/>
                <w:bCs/>
                <w:color w:val="auto"/>
                <w:highlight w:val="none"/>
                <w:lang w:val="en-US" w:eastAsia="zh-CN"/>
              </w:rPr>
            </w:pPr>
            <w:r>
              <w:rPr>
                <w:rFonts w:hint="default" w:ascii="Times New Roman" w:hAnsi="Times New Roman" w:eastAsia="宋体" w:cs="Times New Roman"/>
                <w:b/>
                <w:bCs/>
                <w:color w:val="auto"/>
                <w:highlight w:val="none"/>
                <w:lang w:val="en-US" w:eastAsia="zh-CN"/>
              </w:rPr>
              <w:t>4、竣工验收</w:t>
            </w:r>
          </w:p>
          <w:p w14:paraId="19AFCF13">
            <w:pPr>
              <w:keepNext w:val="0"/>
              <w:keepLines w:val="0"/>
              <w:widowControl/>
              <w:suppressLineNumbers w:val="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根据现行《建设项目竣工环境保护验收暂行办法》，建设单位自行验收。验收合格后，方可投入生产或者使用。</w:t>
            </w:r>
          </w:p>
          <w:p w14:paraId="563E4DFF">
            <w:pPr>
              <w:pStyle w:val="6"/>
              <w:rPr>
                <w:rFonts w:hint="default" w:ascii="Times New Roman" w:hAnsi="Times New Roman" w:eastAsia="宋体" w:cs="Times New Roman"/>
                <w:color w:val="auto"/>
                <w:kern w:val="0"/>
                <w:sz w:val="21"/>
                <w:szCs w:val="21"/>
                <w:highlight w:val="none"/>
                <w:lang w:val="en-US" w:eastAsia="zh-CN" w:bidi="ar"/>
              </w:rPr>
            </w:pPr>
          </w:p>
          <w:p w14:paraId="2284B77D">
            <w:pPr>
              <w:rPr>
                <w:rFonts w:hint="default" w:ascii="Times New Roman" w:hAnsi="Times New Roman" w:eastAsia="宋体" w:cs="Times New Roman"/>
                <w:color w:val="auto"/>
                <w:kern w:val="0"/>
                <w:sz w:val="21"/>
                <w:szCs w:val="21"/>
                <w:highlight w:val="none"/>
                <w:lang w:val="en-US" w:eastAsia="zh-CN" w:bidi="ar"/>
              </w:rPr>
            </w:pPr>
          </w:p>
          <w:p w14:paraId="6BD94ABD">
            <w:pPr>
              <w:pStyle w:val="6"/>
              <w:rPr>
                <w:rFonts w:hint="default" w:ascii="Times New Roman" w:hAnsi="Times New Roman" w:eastAsia="宋体" w:cs="Times New Roman"/>
                <w:color w:val="auto"/>
                <w:kern w:val="0"/>
                <w:sz w:val="21"/>
                <w:szCs w:val="21"/>
                <w:highlight w:val="none"/>
                <w:lang w:val="en-US" w:eastAsia="zh-CN" w:bidi="ar"/>
              </w:rPr>
            </w:pPr>
          </w:p>
          <w:p w14:paraId="609310D5">
            <w:pPr>
              <w:rPr>
                <w:rFonts w:hint="default" w:ascii="Times New Roman" w:hAnsi="Times New Roman" w:eastAsia="宋体" w:cs="Times New Roman"/>
                <w:color w:val="auto"/>
                <w:kern w:val="0"/>
                <w:sz w:val="21"/>
                <w:szCs w:val="21"/>
                <w:highlight w:val="none"/>
                <w:lang w:val="en-US" w:eastAsia="zh-CN" w:bidi="ar"/>
              </w:rPr>
            </w:pPr>
          </w:p>
          <w:p w14:paraId="590AFE03">
            <w:pPr>
              <w:pStyle w:val="6"/>
              <w:rPr>
                <w:rFonts w:hint="default" w:ascii="Times New Roman" w:hAnsi="Times New Roman" w:eastAsia="宋体" w:cs="Times New Roman"/>
                <w:color w:val="auto"/>
                <w:kern w:val="0"/>
                <w:sz w:val="21"/>
                <w:szCs w:val="21"/>
                <w:highlight w:val="none"/>
                <w:lang w:val="en-US" w:eastAsia="zh-CN" w:bidi="ar"/>
              </w:rPr>
            </w:pPr>
            <w:bookmarkStart w:id="10" w:name="_GoBack"/>
            <w:bookmarkEnd w:id="10"/>
          </w:p>
          <w:p w14:paraId="6BEC1036">
            <w:pPr>
              <w:rPr>
                <w:rFonts w:hint="default" w:ascii="Times New Roman" w:hAnsi="Times New Roman" w:eastAsia="宋体" w:cs="Times New Roman"/>
                <w:color w:val="auto"/>
                <w:kern w:val="0"/>
                <w:sz w:val="21"/>
                <w:szCs w:val="21"/>
                <w:highlight w:val="none"/>
                <w:lang w:val="en-US" w:eastAsia="zh-CN" w:bidi="ar"/>
              </w:rPr>
            </w:pPr>
          </w:p>
          <w:p w14:paraId="10CDCFA4">
            <w:pPr>
              <w:pStyle w:val="6"/>
              <w:rPr>
                <w:rFonts w:hint="default" w:ascii="Times New Roman" w:hAnsi="Times New Roman" w:eastAsia="宋体" w:cs="Times New Roman"/>
                <w:color w:val="auto"/>
                <w:kern w:val="0"/>
                <w:sz w:val="21"/>
                <w:szCs w:val="21"/>
                <w:highlight w:val="none"/>
                <w:lang w:val="en-US" w:eastAsia="zh-CN" w:bidi="ar"/>
              </w:rPr>
            </w:pPr>
          </w:p>
          <w:p w14:paraId="50A074B9">
            <w:pPr>
              <w:rPr>
                <w:rFonts w:hint="default" w:ascii="Times New Roman" w:hAnsi="Times New Roman" w:eastAsia="宋体" w:cs="Times New Roman"/>
                <w:color w:val="auto"/>
                <w:kern w:val="0"/>
                <w:sz w:val="21"/>
                <w:szCs w:val="21"/>
                <w:highlight w:val="none"/>
                <w:lang w:val="en-US" w:eastAsia="zh-CN" w:bidi="ar"/>
              </w:rPr>
            </w:pPr>
          </w:p>
          <w:p w14:paraId="0A3D5158">
            <w:pPr>
              <w:pStyle w:val="6"/>
              <w:rPr>
                <w:rFonts w:hint="default" w:ascii="Times New Roman" w:hAnsi="Times New Roman" w:eastAsia="宋体" w:cs="Times New Roman"/>
                <w:color w:val="auto"/>
                <w:kern w:val="0"/>
                <w:sz w:val="21"/>
                <w:szCs w:val="21"/>
                <w:highlight w:val="none"/>
                <w:lang w:val="en-US" w:eastAsia="zh-CN" w:bidi="ar"/>
              </w:rPr>
            </w:pPr>
          </w:p>
          <w:p w14:paraId="3D735F67">
            <w:pPr>
              <w:rPr>
                <w:rFonts w:hint="default" w:ascii="Times New Roman" w:hAnsi="Times New Roman" w:eastAsia="宋体" w:cs="Times New Roman"/>
                <w:color w:val="auto"/>
                <w:kern w:val="0"/>
                <w:sz w:val="21"/>
                <w:szCs w:val="21"/>
                <w:highlight w:val="none"/>
                <w:lang w:val="en-US" w:eastAsia="zh-CN" w:bidi="ar"/>
              </w:rPr>
            </w:pPr>
          </w:p>
          <w:p w14:paraId="396DE748">
            <w:pPr>
              <w:pStyle w:val="6"/>
              <w:rPr>
                <w:rFonts w:hint="default" w:ascii="Times New Roman" w:hAnsi="Times New Roman" w:eastAsia="宋体" w:cs="Times New Roman"/>
                <w:color w:val="auto"/>
                <w:kern w:val="0"/>
                <w:sz w:val="21"/>
                <w:szCs w:val="21"/>
                <w:highlight w:val="none"/>
                <w:lang w:val="en-US" w:eastAsia="zh-CN" w:bidi="ar"/>
              </w:rPr>
            </w:pPr>
          </w:p>
          <w:p w14:paraId="6DA6DD90">
            <w:pPr>
              <w:rPr>
                <w:rFonts w:hint="default" w:ascii="Times New Roman" w:hAnsi="Times New Roman" w:eastAsia="宋体" w:cs="Times New Roman"/>
                <w:color w:val="auto"/>
                <w:kern w:val="0"/>
                <w:sz w:val="21"/>
                <w:szCs w:val="21"/>
                <w:highlight w:val="none"/>
                <w:lang w:val="en-US" w:eastAsia="zh-CN" w:bidi="ar"/>
              </w:rPr>
            </w:pPr>
          </w:p>
          <w:p w14:paraId="7F9D4C67">
            <w:pPr>
              <w:pStyle w:val="6"/>
              <w:rPr>
                <w:rFonts w:hint="default" w:ascii="Times New Roman" w:hAnsi="Times New Roman" w:eastAsia="宋体" w:cs="Times New Roman"/>
                <w:color w:val="auto"/>
                <w:kern w:val="0"/>
                <w:sz w:val="21"/>
                <w:szCs w:val="21"/>
                <w:highlight w:val="none"/>
                <w:lang w:val="en-US" w:eastAsia="zh-CN" w:bidi="ar"/>
              </w:rPr>
            </w:pPr>
          </w:p>
          <w:p w14:paraId="4672BBAC">
            <w:pPr>
              <w:pStyle w:val="6"/>
              <w:ind w:left="0" w:leftChars="0" w:firstLine="0" w:firstLineChars="0"/>
              <w:rPr>
                <w:rFonts w:hint="default" w:ascii="Times New Roman" w:hAnsi="Times New Roman" w:cs="Times New Roman"/>
                <w:color w:val="auto"/>
                <w:highlight w:val="none"/>
                <w:lang w:val="en-US" w:eastAsia="zh-CN"/>
              </w:rPr>
            </w:pPr>
          </w:p>
          <w:p w14:paraId="21559D56">
            <w:pPr>
              <w:rPr>
                <w:rFonts w:hint="default" w:ascii="Times New Roman" w:hAnsi="Times New Roman" w:eastAsia="宋体" w:cs="Times New Roman"/>
                <w:color w:val="auto"/>
                <w:kern w:val="0"/>
                <w:sz w:val="21"/>
                <w:szCs w:val="21"/>
                <w:highlight w:val="none"/>
                <w:lang w:val="en-US" w:eastAsia="zh-CN" w:bidi="ar"/>
              </w:rPr>
            </w:pPr>
          </w:p>
          <w:p w14:paraId="3106DAE1">
            <w:pPr>
              <w:pStyle w:val="6"/>
              <w:ind w:left="0" w:leftChars="0" w:firstLine="0" w:firstLineChars="0"/>
              <w:rPr>
                <w:rFonts w:hint="default" w:ascii="Times New Roman" w:hAnsi="Times New Roman" w:cs="Times New Roman"/>
                <w:color w:val="auto"/>
                <w:highlight w:val="none"/>
                <w:lang w:val="en-US" w:eastAsia="zh-CN"/>
              </w:rPr>
            </w:pPr>
          </w:p>
        </w:tc>
      </w:tr>
    </w:tbl>
    <w:p w14:paraId="283BFBC1">
      <w:pPr>
        <w:pStyle w:val="22"/>
        <w:jc w:val="center"/>
        <w:outlineLvl w:val="0"/>
        <w:rPr>
          <w:rFonts w:ascii="黑体" w:hAnsi="黑体" w:eastAsia="黑体"/>
          <w:snapToGrid w:val="0"/>
          <w:color w:val="auto"/>
          <w:sz w:val="30"/>
          <w:szCs w:val="30"/>
          <w:highlight w:val="none"/>
        </w:rPr>
      </w:pPr>
      <w:r>
        <w:rPr>
          <w:snapToGrid w:val="0"/>
          <w:color w:val="auto"/>
          <w:highlight w:val="none"/>
        </w:rPr>
        <w:br w:type="page"/>
      </w:r>
      <w:r>
        <w:rPr>
          <w:rFonts w:hint="eastAsia" w:ascii="黑体" w:hAnsi="黑体" w:eastAsia="黑体"/>
          <w:snapToGrid w:val="0"/>
          <w:color w:val="auto"/>
          <w:sz w:val="30"/>
          <w:szCs w:val="30"/>
          <w:highlight w:val="none"/>
        </w:rP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280E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2DF19311">
            <w:pPr>
              <w:pStyle w:val="11"/>
              <w:bidi w:val="0"/>
              <w:jc w:val="both"/>
              <w:rPr>
                <w:rFonts w:hint="default"/>
                <w:color w:val="auto"/>
                <w:highlight w:val="none"/>
                <w:lang w:val="en-US" w:eastAsia="zh-CN"/>
              </w:rPr>
            </w:pPr>
          </w:p>
          <w:p w14:paraId="6C9199DF">
            <w:pPr>
              <w:pStyle w:val="11"/>
              <w:bidi w:val="0"/>
              <w:rPr>
                <w:rFonts w:hint="default" w:ascii="Times New Roman" w:hAnsi="Times New Roman" w:cs="Times New Roman"/>
                <w:color w:val="auto"/>
                <w:sz w:val="24"/>
                <w:highlight w:val="none"/>
              </w:rPr>
            </w:pPr>
            <w:r>
              <w:rPr>
                <w:rFonts w:hint="default"/>
                <w:color w:val="auto"/>
                <w:highlight w:val="none"/>
                <w:lang w:val="en-US" w:eastAsia="zh-CN"/>
              </w:rPr>
              <w:t>洋县戚氏镇秸秆综合利用项目，符合国家及地方产业政策、满足相关环境管理政策要求</w:t>
            </w:r>
            <w:r>
              <w:rPr>
                <w:rFonts w:hint="eastAsia"/>
                <w:color w:val="auto"/>
                <w:highlight w:val="none"/>
                <w:lang w:val="en-US" w:eastAsia="zh-CN"/>
              </w:rPr>
              <w:t>，</w:t>
            </w:r>
            <w:r>
              <w:rPr>
                <w:rFonts w:hint="default"/>
                <w:color w:val="auto"/>
                <w:highlight w:val="none"/>
                <w:lang w:val="en-US" w:eastAsia="zh-CN"/>
              </w:rPr>
              <w:t>选址环境合理</w:t>
            </w:r>
            <w:r>
              <w:rPr>
                <w:rFonts w:hint="eastAsia"/>
                <w:color w:val="auto"/>
                <w:highlight w:val="none"/>
                <w:lang w:val="en-US" w:eastAsia="zh-CN"/>
              </w:rPr>
              <w:t>。</w:t>
            </w:r>
            <w:r>
              <w:rPr>
                <w:rFonts w:hint="eastAsia"/>
                <w:color w:val="auto"/>
                <w:highlight w:val="none"/>
              </w:rPr>
              <w:t>项目建成后，过程控制和污染防治技术较完备</w:t>
            </w:r>
            <w:r>
              <w:rPr>
                <w:rFonts w:hint="eastAsia"/>
                <w:color w:val="auto"/>
                <w:highlight w:val="none"/>
                <w:lang w:eastAsia="zh-CN"/>
              </w:rPr>
              <w:t>，</w:t>
            </w:r>
            <w:r>
              <w:rPr>
                <w:rFonts w:hint="eastAsia"/>
                <w:color w:val="auto"/>
                <w:highlight w:val="none"/>
              </w:rPr>
              <w:t>污染防治措施可行，环境风险可控。在认真执行“三同时”制度，落实评价提出的污染物防治措施及建议的前提下，从环保角度考虑，本项目建设可行。</w:t>
            </w:r>
          </w:p>
          <w:p w14:paraId="1FC35007">
            <w:pPr>
              <w:pStyle w:val="11"/>
              <w:bidi w:val="0"/>
              <w:jc w:val="both"/>
              <w:rPr>
                <w:rFonts w:hint="default"/>
                <w:color w:val="auto"/>
                <w:highlight w:val="none"/>
                <w:lang w:val="en-US" w:eastAsia="zh-CN"/>
              </w:rPr>
            </w:pPr>
          </w:p>
        </w:tc>
      </w:tr>
    </w:tbl>
    <w:p w14:paraId="7B4D8942">
      <w:pPr>
        <w:rPr>
          <w:rFonts w:ascii="宋体"/>
          <w:color w:val="auto"/>
          <w:highlight w:val="none"/>
        </w:rPr>
        <w:sectPr>
          <w:pgSz w:w="11906" w:h="16838"/>
          <w:pgMar w:top="1701" w:right="1531" w:bottom="1701" w:left="1531" w:header="851" w:footer="851" w:gutter="0"/>
          <w:pgNumType w:fmt="decimal"/>
          <w:cols w:space="720" w:num="1"/>
          <w:docGrid w:linePitch="312" w:charSpace="0"/>
        </w:sectPr>
      </w:pPr>
    </w:p>
    <w:p w14:paraId="2E35C756">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textAlignment w:val="auto"/>
        <w:outlineLvl w:val="0"/>
        <w:rPr>
          <w:rFonts w:ascii="黑体" w:hAnsi="黑体" w:eastAsia="黑体"/>
          <w:snapToGrid w:val="0"/>
          <w:color w:val="auto"/>
          <w:sz w:val="32"/>
          <w:szCs w:val="32"/>
          <w:highlight w:val="none"/>
        </w:rPr>
      </w:pPr>
      <w:r>
        <w:rPr>
          <w:rFonts w:hint="eastAsia" w:ascii="黑体" w:hAnsi="黑体" w:eastAsia="黑体"/>
          <w:snapToGrid w:val="0"/>
          <w:color w:val="auto"/>
          <w:sz w:val="32"/>
          <w:szCs w:val="32"/>
          <w:highlight w:val="none"/>
        </w:rPr>
        <w:t>附表</w:t>
      </w:r>
    </w:p>
    <w:p w14:paraId="71DFFCE9">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360" w:lineRule="auto"/>
        <w:jc w:val="center"/>
        <w:textAlignment w:val="auto"/>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26"/>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990"/>
        <w:gridCol w:w="974"/>
        <w:gridCol w:w="1607"/>
        <w:gridCol w:w="1276"/>
        <w:gridCol w:w="1701"/>
        <w:gridCol w:w="1559"/>
        <w:gridCol w:w="1761"/>
        <w:gridCol w:w="1441"/>
        <w:gridCol w:w="1344"/>
      </w:tblGrid>
      <w:tr w14:paraId="441308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tcBorders>
              <w:tl2br w:val="single" w:color="auto" w:sz="4" w:space="0"/>
            </w:tcBorders>
            <w:noWrap w:val="0"/>
            <w:tcMar>
              <w:left w:w="28" w:type="dxa"/>
              <w:right w:w="28" w:type="dxa"/>
            </w:tcMar>
            <w:vAlign w:val="center"/>
          </w:tcPr>
          <w:p w14:paraId="412C212D">
            <w:pPr>
              <w:pStyle w:val="49"/>
              <w:spacing w:beforeLines="0" w:afterLines="0" w:line="240" w:lineRule="auto"/>
              <w:jc w:val="right"/>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项目</w:t>
            </w:r>
          </w:p>
          <w:p w14:paraId="6812567A">
            <w:pPr>
              <w:pStyle w:val="49"/>
              <w:spacing w:beforeLines="0" w:afterLines="0" w:line="240" w:lineRule="auto"/>
              <w:jc w:val="left"/>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分类</w:t>
            </w:r>
          </w:p>
        </w:tc>
        <w:tc>
          <w:tcPr>
            <w:tcW w:w="1964" w:type="dxa"/>
            <w:gridSpan w:val="2"/>
            <w:noWrap w:val="0"/>
            <w:tcMar>
              <w:left w:w="28" w:type="dxa"/>
              <w:right w:w="28" w:type="dxa"/>
            </w:tcMar>
            <w:vAlign w:val="center"/>
          </w:tcPr>
          <w:p w14:paraId="28DBF265">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污染物名称</w:t>
            </w:r>
          </w:p>
        </w:tc>
        <w:tc>
          <w:tcPr>
            <w:tcW w:w="1607" w:type="dxa"/>
            <w:noWrap w:val="0"/>
            <w:tcMar>
              <w:left w:w="28" w:type="dxa"/>
              <w:right w:w="28" w:type="dxa"/>
            </w:tcMar>
            <w:vAlign w:val="center"/>
          </w:tcPr>
          <w:p w14:paraId="094BACC7">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现有工程</w:t>
            </w:r>
          </w:p>
          <w:p w14:paraId="4361D243">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排放量（固体废物产生量）</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1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kern w:val="2"/>
                <w:szCs w:val="21"/>
                <w:highlight w:val="none"/>
              </w:rPr>
              <w:t>①</w:t>
            </w:r>
            <w:r>
              <w:rPr>
                <w:rFonts w:hint="default" w:ascii="Times New Roman" w:hAnsi="Times New Roman" w:eastAsia="宋体" w:cs="Times New Roman"/>
                <w:snapToGrid w:val="0"/>
                <w:color w:val="auto"/>
                <w:spacing w:val="-6"/>
                <w:kern w:val="21"/>
                <w:szCs w:val="21"/>
                <w:highlight w:val="none"/>
              </w:rPr>
              <w:fldChar w:fldCharType="end"/>
            </w:r>
          </w:p>
        </w:tc>
        <w:tc>
          <w:tcPr>
            <w:tcW w:w="1276" w:type="dxa"/>
            <w:noWrap w:val="0"/>
            <w:tcMar>
              <w:left w:w="28" w:type="dxa"/>
              <w:right w:w="28" w:type="dxa"/>
            </w:tcMar>
            <w:vAlign w:val="center"/>
          </w:tcPr>
          <w:p w14:paraId="7CFCECB5">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现有工程</w:t>
            </w:r>
          </w:p>
          <w:p w14:paraId="5A830E1F">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许可排放量</w:t>
            </w:r>
          </w:p>
          <w:p w14:paraId="0F8CEBD6">
            <w:pPr>
              <w:pStyle w:val="49"/>
              <w:spacing w:beforeLines="0" w:afterLines="0"/>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2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snapToGrid w:val="0"/>
                <w:color w:val="auto"/>
                <w:spacing w:val="-6"/>
                <w:kern w:val="21"/>
                <w:szCs w:val="21"/>
                <w:highlight w:val="none"/>
              </w:rPr>
              <w:t>②</w:t>
            </w:r>
            <w:r>
              <w:rPr>
                <w:rFonts w:hint="default" w:ascii="Times New Roman" w:hAnsi="Times New Roman" w:eastAsia="宋体" w:cs="Times New Roman"/>
                <w:snapToGrid w:val="0"/>
                <w:color w:val="auto"/>
                <w:spacing w:val="-6"/>
                <w:kern w:val="21"/>
                <w:szCs w:val="21"/>
                <w:highlight w:val="none"/>
              </w:rPr>
              <w:fldChar w:fldCharType="end"/>
            </w:r>
          </w:p>
        </w:tc>
        <w:tc>
          <w:tcPr>
            <w:tcW w:w="1701" w:type="dxa"/>
            <w:noWrap w:val="0"/>
            <w:tcMar>
              <w:left w:w="28" w:type="dxa"/>
              <w:right w:w="28" w:type="dxa"/>
            </w:tcMar>
            <w:vAlign w:val="center"/>
          </w:tcPr>
          <w:p w14:paraId="7E8E2EBA">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在建工程</w:t>
            </w:r>
          </w:p>
          <w:p w14:paraId="701E5772">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排放量（固体废物产生量）</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3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kern w:val="2"/>
                <w:szCs w:val="21"/>
                <w:highlight w:val="none"/>
              </w:rPr>
              <w:t>③</w:t>
            </w:r>
            <w:r>
              <w:rPr>
                <w:rFonts w:hint="default" w:ascii="Times New Roman" w:hAnsi="Times New Roman" w:eastAsia="宋体" w:cs="Times New Roman"/>
                <w:snapToGrid w:val="0"/>
                <w:color w:val="auto"/>
                <w:spacing w:val="-6"/>
                <w:kern w:val="21"/>
                <w:szCs w:val="21"/>
                <w:highlight w:val="none"/>
              </w:rPr>
              <w:fldChar w:fldCharType="end"/>
            </w:r>
          </w:p>
        </w:tc>
        <w:tc>
          <w:tcPr>
            <w:tcW w:w="1559" w:type="dxa"/>
            <w:noWrap w:val="0"/>
            <w:tcMar>
              <w:left w:w="28" w:type="dxa"/>
              <w:right w:w="28" w:type="dxa"/>
            </w:tcMar>
            <w:vAlign w:val="center"/>
          </w:tcPr>
          <w:p w14:paraId="112F6CB0">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本项目</w:t>
            </w:r>
          </w:p>
          <w:p w14:paraId="74C82246">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排放量（固体废物产生量）</w:t>
            </w: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4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kern w:val="2"/>
                <w:szCs w:val="21"/>
                <w:highlight w:val="none"/>
              </w:rPr>
              <w:t>④</w:t>
            </w:r>
            <w:r>
              <w:rPr>
                <w:rFonts w:hint="default" w:ascii="Times New Roman" w:hAnsi="Times New Roman" w:eastAsia="宋体" w:cs="Times New Roman"/>
                <w:snapToGrid w:val="0"/>
                <w:color w:val="auto"/>
                <w:spacing w:val="-6"/>
                <w:kern w:val="21"/>
                <w:szCs w:val="21"/>
                <w:highlight w:val="none"/>
              </w:rPr>
              <w:fldChar w:fldCharType="end"/>
            </w:r>
          </w:p>
        </w:tc>
        <w:tc>
          <w:tcPr>
            <w:tcW w:w="1761" w:type="dxa"/>
            <w:noWrap w:val="0"/>
            <w:tcMar>
              <w:left w:w="28" w:type="dxa"/>
              <w:right w:w="28" w:type="dxa"/>
            </w:tcMar>
            <w:vAlign w:val="center"/>
          </w:tcPr>
          <w:p w14:paraId="74A092A6">
            <w:pPr>
              <w:pStyle w:val="49"/>
              <w:spacing w:beforeLines="0" w:afterLines="0" w:line="240" w:lineRule="auto"/>
              <w:rPr>
                <w:rFonts w:hint="default" w:ascii="Times New Roman" w:hAnsi="Times New Roman" w:eastAsia="宋体" w:cs="Times New Roman"/>
                <w:snapToGrid w:val="0"/>
                <w:color w:val="auto"/>
                <w:spacing w:val="-16"/>
                <w:kern w:val="21"/>
                <w:szCs w:val="21"/>
                <w:highlight w:val="none"/>
              </w:rPr>
            </w:pPr>
            <w:r>
              <w:rPr>
                <w:rFonts w:hint="default" w:ascii="Times New Roman" w:hAnsi="Times New Roman" w:eastAsia="宋体" w:cs="Times New Roman"/>
                <w:snapToGrid w:val="0"/>
                <w:color w:val="auto"/>
                <w:spacing w:val="-16"/>
                <w:kern w:val="21"/>
                <w:szCs w:val="21"/>
                <w:highlight w:val="none"/>
              </w:rPr>
              <w:t>以新带老削减量</w:t>
            </w:r>
          </w:p>
          <w:p w14:paraId="26B02A32">
            <w:pPr>
              <w:pStyle w:val="49"/>
              <w:spacing w:beforeLines="0" w:afterLines="0" w:line="240" w:lineRule="auto"/>
              <w:rPr>
                <w:rFonts w:hint="default" w:ascii="Times New Roman" w:hAnsi="Times New Roman" w:eastAsia="宋体" w:cs="Times New Roman"/>
                <w:snapToGrid w:val="0"/>
                <w:color w:val="auto"/>
                <w:spacing w:val="-16"/>
                <w:kern w:val="21"/>
                <w:szCs w:val="21"/>
                <w:highlight w:val="none"/>
              </w:rPr>
            </w:pPr>
            <w:r>
              <w:rPr>
                <w:rFonts w:hint="default" w:ascii="Times New Roman" w:hAnsi="Times New Roman" w:eastAsia="宋体" w:cs="Times New Roman"/>
                <w:snapToGrid w:val="0"/>
                <w:color w:val="auto"/>
                <w:spacing w:val="-16"/>
                <w:kern w:val="21"/>
                <w:szCs w:val="21"/>
                <w:highlight w:val="none"/>
              </w:rPr>
              <w:t>（新建项目不填）</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5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kern w:val="2"/>
                <w:szCs w:val="21"/>
                <w:highlight w:val="none"/>
              </w:rPr>
              <w:t>⑤</w:t>
            </w:r>
            <w:r>
              <w:rPr>
                <w:rFonts w:hint="default" w:ascii="Times New Roman" w:hAnsi="Times New Roman" w:eastAsia="宋体" w:cs="Times New Roman"/>
                <w:snapToGrid w:val="0"/>
                <w:color w:val="auto"/>
                <w:spacing w:val="-16"/>
                <w:kern w:val="21"/>
                <w:szCs w:val="21"/>
                <w:highlight w:val="none"/>
              </w:rPr>
              <w:fldChar w:fldCharType="end"/>
            </w:r>
          </w:p>
        </w:tc>
        <w:tc>
          <w:tcPr>
            <w:tcW w:w="1441" w:type="dxa"/>
            <w:noWrap w:val="0"/>
            <w:tcMar>
              <w:left w:w="28" w:type="dxa"/>
              <w:right w:w="28" w:type="dxa"/>
            </w:tcMar>
            <w:vAlign w:val="center"/>
          </w:tcPr>
          <w:p w14:paraId="27457C32">
            <w:pPr>
              <w:pStyle w:val="49"/>
              <w:spacing w:beforeLines="0" w:afterLines="0" w:line="240" w:lineRule="auto"/>
              <w:rPr>
                <w:rFonts w:hint="default" w:ascii="Times New Roman" w:hAnsi="Times New Roman" w:eastAsia="宋体" w:cs="Times New Roman"/>
                <w:snapToGrid w:val="0"/>
                <w:color w:val="auto"/>
                <w:spacing w:val="-16"/>
                <w:kern w:val="21"/>
                <w:szCs w:val="21"/>
                <w:highlight w:val="none"/>
              </w:rPr>
            </w:pPr>
            <w:r>
              <w:rPr>
                <w:rFonts w:hint="default" w:ascii="Times New Roman" w:hAnsi="Times New Roman" w:eastAsia="宋体" w:cs="Times New Roman"/>
                <w:snapToGrid w:val="0"/>
                <w:color w:val="auto"/>
                <w:spacing w:val="-16"/>
                <w:kern w:val="21"/>
                <w:szCs w:val="21"/>
                <w:highlight w:val="none"/>
              </w:rPr>
              <w:t>本项目建成后</w:t>
            </w:r>
          </w:p>
          <w:p w14:paraId="4A4A6C78">
            <w:pPr>
              <w:pStyle w:val="49"/>
              <w:spacing w:beforeLines="0" w:afterLines="0" w:line="240" w:lineRule="auto"/>
              <w:rPr>
                <w:rFonts w:hint="default" w:ascii="Times New Roman" w:hAnsi="Times New Roman" w:eastAsia="宋体" w:cs="Times New Roman"/>
                <w:snapToGrid w:val="0"/>
                <w:color w:val="auto"/>
                <w:spacing w:val="-16"/>
                <w:kern w:val="21"/>
                <w:szCs w:val="21"/>
                <w:highlight w:val="none"/>
              </w:rPr>
            </w:pPr>
            <w:r>
              <w:rPr>
                <w:rFonts w:hint="default" w:ascii="Times New Roman" w:hAnsi="Times New Roman" w:eastAsia="宋体" w:cs="Times New Roman"/>
                <w:snapToGrid w:val="0"/>
                <w:color w:val="auto"/>
                <w:spacing w:val="-16"/>
                <w:kern w:val="21"/>
                <w:szCs w:val="21"/>
                <w:highlight w:val="none"/>
              </w:rPr>
              <w:t>全厂排放量（固体废物产生量）</w:t>
            </w:r>
            <w:r>
              <w:rPr>
                <w:rFonts w:hint="default" w:ascii="Times New Roman" w:hAnsi="Times New Roman" w:eastAsia="宋体" w:cs="Times New Roman"/>
                <w:snapToGrid w:val="0"/>
                <w:color w:val="auto"/>
                <w:spacing w:val="-16"/>
                <w:kern w:val="21"/>
                <w:szCs w:val="21"/>
                <w:highlight w:val="none"/>
              </w:rPr>
              <w:fldChar w:fldCharType="begin"/>
            </w:r>
            <w:r>
              <w:rPr>
                <w:rFonts w:hint="default" w:ascii="Times New Roman" w:hAnsi="Times New Roman" w:eastAsia="宋体" w:cs="Times New Roman"/>
                <w:snapToGrid w:val="0"/>
                <w:color w:val="auto"/>
                <w:spacing w:val="-16"/>
                <w:kern w:val="21"/>
                <w:szCs w:val="21"/>
                <w:highlight w:val="none"/>
              </w:rPr>
              <w:instrText xml:space="preserve"> = 6 \* GB3 \* MERGEFORMAT </w:instrText>
            </w:r>
            <w:r>
              <w:rPr>
                <w:rFonts w:hint="default" w:ascii="Times New Roman" w:hAnsi="Times New Roman" w:eastAsia="宋体" w:cs="Times New Roman"/>
                <w:snapToGrid w:val="0"/>
                <w:color w:val="auto"/>
                <w:spacing w:val="-16"/>
                <w:kern w:val="21"/>
                <w:szCs w:val="21"/>
                <w:highlight w:val="none"/>
              </w:rPr>
              <w:fldChar w:fldCharType="separate"/>
            </w:r>
            <w:r>
              <w:rPr>
                <w:rFonts w:hint="default" w:ascii="Times New Roman" w:hAnsi="Times New Roman" w:eastAsia="宋体" w:cs="Times New Roman"/>
                <w:color w:val="auto"/>
                <w:kern w:val="2"/>
                <w:szCs w:val="21"/>
                <w:highlight w:val="none"/>
              </w:rPr>
              <w:t>⑥</w:t>
            </w:r>
            <w:r>
              <w:rPr>
                <w:rFonts w:hint="default" w:ascii="Times New Roman" w:hAnsi="Times New Roman" w:eastAsia="宋体" w:cs="Times New Roman"/>
                <w:snapToGrid w:val="0"/>
                <w:color w:val="auto"/>
                <w:spacing w:val="-16"/>
                <w:kern w:val="21"/>
                <w:szCs w:val="21"/>
                <w:highlight w:val="none"/>
              </w:rPr>
              <w:fldChar w:fldCharType="end"/>
            </w:r>
          </w:p>
        </w:tc>
        <w:tc>
          <w:tcPr>
            <w:tcW w:w="1344" w:type="dxa"/>
            <w:noWrap w:val="0"/>
            <w:tcMar>
              <w:left w:w="28" w:type="dxa"/>
              <w:right w:w="28" w:type="dxa"/>
            </w:tcMar>
            <w:vAlign w:val="center"/>
          </w:tcPr>
          <w:p w14:paraId="356D71C5">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t>变化量</w:t>
            </w:r>
          </w:p>
          <w:p w14:paraId="7CB067F9">
            <w:pPr>
              <w:pStyle w:val="49"/>
              <w:spacing w:beforeLines="0" w:afterLines="0" w:line="240" w:lineRule="auto"/>
              <w:rPr>
                <w:rFonts w:hint="default" w:ascii="Times New Roman" w:hAnsi="Times New Roman" w:eastAsia="宋体" w:cs="Times New Roman"/>
                <w:snapToGrid w:val="0"/>
                <w:color w:val="auto"/>
                <w:spacing w:val="-6"/>
                <w:kern w:val="21"/>
                <w:szCs w:val="21"/>
                <w:highlight w:val="none"/>
              </w:rPr>
            </w:pPr>
            <w:r>
              <w:rPr>
                <w:rFonts w:hint="default" w:ascii="Times New Roman" w:hAnsi="Times New Roman" w:eastAsia="宋体" w:cs="Times New Roman"/>
                <w:snapToGrid w:val="0"/>
                <w:color w:val="auto"/>
                <w:spacing w:val="-6"/>
                <w:kern w:val="21"/>
                <w:szCs w:val="21"/>
                <w:highlight w:val="none"/>
              </w:rPr>
              <w:fldChar w:fldCharType="begin"/>
            </w:r>
            <w:r>
              <w:rPr>
                <w:rFonts w:hint="default" w:ascii="Times New Roman" w:hAnsi="Times New Roman" w:eastAsia="宋体" w:cs="Times New Roman"/>
                <w:snapToGrid w:val="0"/>
                <w:color w:val="auto"/>
                <w:spacing w:val="-6"/>
                <w:kern w:val="21"/>
                <w:szCs w:val="21"/>
                <w:highlight w:val="none"/>
              </w:rPr>
              <w:instrText xml:space="preserve"> = 7 \* GB3 \* MERGEFORMAT </w:instrText>
            </w:r>
            <w:r>
              <w:rPr>
                <w:rFonts w:hint="default" w:ascii="Times New Roman" w:hAnsi="Times New Roman" w:eastAsia="宋体" w:cs="Times New Roman"/>
                <w:snapToGrid w:val="0"/>
                <w:color w:val="auto"/>
                <w:spacing w:val="-6"/>
                <w:kern w:val="21"/>
                <w:szCs w:val="21"/>
                <w:highlight w:val="none"/>
              </w:rPr>
              <w:fldChar w:fldCharType="separate"/>
            </w:r>
            <w:r>
              <w:rPr>
                <w:rFonts w:hint="default" w:ascii="Times New Roman" w:hAnsi="Times New Roman" w:eastAsia="宋体" w:cs="Times New Roman"/>
                <w:color w:val="auto"/>
                <w:kern w:val="2"/>
                <w:szCs w:val="21"/>
                <w:highlight w:val="none"/>
              </w:rPr>
              <w:t>⑦</w:t>
            </w:r>
            <w:r>
              <w:rPr>
                <w:rFonts w:hint="default" w:ascii="Times New Roman" w:hAnsi="Times New Roman" w:eastAsia="宋体" w:cs="Times New Roman"/>
                <w:snapToGrid w:val="0"/>
                <w:color w:val="auto"/>
                <w:spacing w:val="-6"/>
                <w:kern w:val="21"/>
                <w:szCs w:val="21"/>
                <w:highlight w:val="none"/>
              </w:rPr>
              <w:fldChar w:fldCharType="end"/>
            </w:r>
          </w:p>
        </w:tc>
      </w:tr>
      <w:tr w14:paraId="5CEF4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restart"/>
            <w:noWrap w:val="0"/>
            <w:vAlign w:val="center"/>
          </w:tcPr>
          <w:p w14:paraId="00995C2E">
            <w:pPr>
              <w:pStyle w:val="49"/>
              <w:spacing w:beforeLines="0" w:afterLines="0" w:line="240" w:lineRule="auto"/>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废气</w:t>
            </w:r>
          </w:p>
        </w:tc>
        <w:tc>
          <w:tcPr>
            <w:tcW w:w="990" w:type="dxa"/>
            <w:vMerge w:val="restart"/>
            <w:noWrap w:val="0"/>
            <w:vAlign w:val="center"/>
          </w:tcPr>
          <w:p w14:paraId="217CDED0">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lang w:val="en-US" w:eastAsia="zh-CN"/>
              </w:rPr>
              <w:t>DA001</w:t>
            </w:r>
          </w:p>
        </w:tc>
        <w:tc>
          <w:tcPr>
            <w:tcW w:w="974" w:type="dxa"/>
            <w:noWrap w:val="0"/>
            <w:vAlign w:val="center"/>
          </w:tcPr>
          <w:p w14:paraId="62303623">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颗粒物</w:t>
            </w:r>
          </w:p>
        </w:tc>
        <w:tc>
          <w:tcPr>
            <w:tcW w:w="1607" w:type="dxa"/>
            <w:noWrap w:val="0"/>
            <w:vAlign w:val="center"/>
          </w:tcPr>
          <w:p w14:paraId="2511AB7D">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Cs w:val="21"/>
                <w:highlight w:val="none"/>
                <w:lang w:val="en-US" w:eastAsia="zh-CN"/>
              </w:rPr>
            </w:pPr>
            <w:r>
              <w:rPr>
                <w:rFonts w:ascii="Times New Roman"/>
                <w:snapToGrid w:val="0"/>
                <w:color w:val="auto"/>
                <w:kern w:val="21"/>
                <w:szCs w:val="21"/>
                <w:highlight w:val="none"/>
              </w:rPr>
              <w:t>0</w:t>
            </w:r>
          </w:p>
        </w:tc>
        <w:tc>
          <w:tcPr>
            <w:tcW w:w="1276" w:type="dxa"/>
            <w:noWrap w:val="0"/>
            <w:vAlign w:val="center"/>
          </w:tcPr>
          <w:p w14:paraId="2A65D5F9">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Cs w:val="21"/>
                <w:highlight w:val="none"/>
                <w:lang w:val="en-US" w:eastAsia="zh-CN"/>
              </w:rPr>
            </w:pPr>
            <w:r>
              <w:rPr>
                <w:rFonts w:ascii="Times New Roman"/>
                <w:snapToGrid w:val="0"/>
                <w:color w:val="auto"/>
                <w:kern w:val="21"/>
                <w:szCs w:val="21"/>
                <w:highlight w:val="none"/>
              </w:rPr>
              <w:t>0</w:t>
            </w:r>
          </w:p>
        </w:tc>
        <w:tc>
          <w:tcPr>
            <w:tcW w:w="1701" w:type="dxa"/>
            <w:noWrap w:val="0"/>
            <w:vAlign w:val="center"/>
          </w:tcPr>
          <w:p w14:paraId="6557CE26">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Cs w:val="21"/>
                <w:highlight w:val="none"/>
                <w:lang w:val="en-US" w:eastAsia="zh-CN"/>
              </w:rPr>
            </w:pPr>
            <w:r>
              <w:rPr>
                <w:rFonts w:ascii="Times New Roman"/>
                <w:snapToGrid w:val="0"/>
                <w:color w:val="auto"/>
                <w:kern w:val="21"/>
                <w:szCs w:val="21"/>
                <w:highlight w:val="none"/>
              </w:rPr>
              <w:t>0</w:t>
            </w:r>
          </w:p>
        </w:tc>
        <w:tc>
          <w:tcPr>
            <w:tcW w:w="1559" w:type="dxa"/>
            <w:noWrap w:val="0"/>
            <w:vAlign w:val="center"/>
          </w:tcPr>
          <w:p w14:paraId="6129CBDF">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1.826</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048D6BF1">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441" w:type="dxa"/>
            <w:noWrap w:val="0"/>
            <w:vAlign w:val="center"/>
          </w:tcPr>
          <w:p w14:paraId="6E22C35D">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1.826</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79D54E35">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+1.826</w:t>
            </w:r>
            <w:r>
              <w:rPr>
                <w:rFonts w:hint="eastAsia" w:ascii="Times New Roman" w:hAnsi="Times New Roman" w:eastAsia="宋体" w:cs="Times New Roman"/>
                <w:snapToGrid w:val="0"/>
                <w:color w:val="auto"/>
                <w:kern w:val="21"/>
                <w:szCs w:val="21"/>
                <w:highlight w:val="none"/>
                <w:lang w:val="en-US" w:eastAsia="zh-CN"/>
              </w:rPr>
              <w:t>t/a</w:t>
            </w:r>
          </w:p>
        </w:tc>
      </w:tr>
      <w:tr w14:paraId="69D78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tcBorders/>
            <w:noWrap w:val="0"/>
            <w:vAlign w:val="center"/>
          </w:tcPr>
          <w:p w14:paraId="7FA60D5C">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990" w:type="dxa"/>
            <w:vMerge w:val="continue"/>
            <w:noWrap w:val="0"/>
            <w:vAlign w:val="center"/>
          </w:tcPr>
          <w:p w14:paraId="02F084B6">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p>
        </w:tc>
        <w:tc>
          <w:tcPr>
            <w:tcW w:w="974" w:type="dxa"/>
            <w:noWrap w:val="0"/>
            <w:vAlign w:val="center"/>
          </w:tcPr>
          <w:p w14:paraId="59F8199E">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color w:val="auto"/>
                <w:szCs w:val="21"/>
                <w:highlight w:val="none"/>
              </w:rPr>
              <w:t>SO</w:t>
            </w:r>
            <w:r>
              <w:rPr>
                <w:color w:val="auto"/>
                <w:szCs w:val="21"/>
                <w:highlight w:val="none"/>
                <w:vertAlign w:val="subscript"/>
              </w:rPr>
              <w:t>2</w:t>
            </w:r>
          </w:p>
        </w:tc>
        <w:tc>
          <w:tcPr>
            <w:tcW w:w="1607" w:type="dxa"/>
            <w:noWrap w:val="0"/>
            <w:vAlign w:val="center"/>
          </w:tcPr>
          <w:p w14:paraId="3C510C08">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276" w:type="dxa"/>
            <w:noWrap w:val="0"/>
            <w:vAlign w:val="center"/>
          </w:tcPr>
          <w:p w14:paraId="217E5367">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701" w:type="dxa"/>
            <w:noWrap w:val="0"/>
            <w:vAlign w:val="center"/>
          </w:tcPr>
          <w:p w14:paraId="140C1151">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559" w:type="dxa"/>
            <w:noWrap w:val="0"/>
            <w:vAlign w:val="center"/>
          </w:tcPr>
          <w:p w14:paraId="0BC338AB">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2.372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0C61E4AC">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441" w:type="dxa"/>
            <w:noWrap w:val="0"/>
            <w:vAlign w:val="center"/>
          </w:tcPr>
          <w:p w14:paraId="753ECF77">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2.372</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2EE2EA04">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+2.372</w:t>
            </w:r>
            <w:r>
              <w:rPr>
                <w:rFonts w:hint="eastAsia" w:ascii="Times New Roman" w:hAnsi="Times New Roman" w:eastAsia="宋体" w:cs="Times New Roman"/>
                <w:snapToGrid w:val="0"/>
                <w:color w:val="auto"/>
                <w:kern w:val="21"/>
                <w:szCs w:val="21"/>
                <w:highlight w:val="none"/>
                <w:lang w:val="en-US" w:eastAsia="zh-CN"/>
              </w:rPr>
              <w:t>t/a</w:t>
            </w:r>
          </w:p>
        </w:tc>
      </w:tr>
      <w:tr w14:paraId="594FAF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tcBorders/>
            <w:noWrap w:val="0"/>
            <w:vAlign w:val="center"/>
          </w:tcPr>
          <w:p w14:paraId="07F8C4A6">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990" w:type="dxa"/>
            <w:vMerge w:val="continue"/>
            <w:noWrap w:val="0"/>
            <w:vAlign w:val="center"/>
          </w:tcPr>
          <w:p w14:paraId="306BCBF8">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p>
        </w:tc>
        <w:tc>
          <w:tcPr>
            <w:tcW w:w="974" w:type="dxa"/>
            <w:noWrap w:val="0"/>
            <w:vAlign w:val="center"/>
          </w:tcPr>
          <w:p w14:paraId="25ED4298">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color w:val="auto"/>
                <w:szCs w:val="21"/>
                <w:highlight w:val="none"/>
              </w:rPr>
              <w:t>NO</w:t>
            </w:r>
            <w:r>
              <w:rPr>
                <w:color w:val="auto"/>
                <w:szCs w:val="21"/>
                <w:highlight w:val="none"/>
                <w:vertAlign w:val="subscript"/>
              </w:rPr>
              <w:t>X</w:t>
            </w:r>
          </w:p>
        </w:tc>
        <w:tc>
          <w:tcPr>
            <w:tcW w:w="1607" w:type="dxa"/>
            <w:noWrap w:val="0"/>
            <w:vAlign w:val="center"/>
          </w:tcPr>
          <w:p w14:paraId="789C199D">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276" w:type="dxa"/>
            <w:noWrap w:val="0"/>
            <w:vAlign w:val="center"/>
          </w:tcPr>
          <w:p w14:paraId="7D1832F5">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701" w:type="dxa"/>
            <w:noWrap w:val="0"/>
            <w:vAlign w:val="center"/>
          </w:tcPr>
          <w:p w14:paraId="65FBB486">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559" w:type="dxa"/>
            <w:noWrap w:val="0"/>
            <w:vAlign w:val="center"/>
          </w:tcPr>
          <w:p w14:paraId="5C82FDD3">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1.7</w:t>
            </w:r>
            <w:r>
              <w:rPr>
                <w:rFonts w:hint="eastAsia" w:cs="Times New Roman"/>
                <w:snapToGrid w:val="0"/>
                <w:color w:val="auto"/>
                <w:kern w:val="21"/>
                <w:szCs w:val="21"/>
                <w:highlight w:val="none"/>
                <w:lang w:val="en-US" w:eastAsia="zh-CN"/>
              </w:rPr>
              <w:t>02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68118FFE">
            <w:pPr>
              <w:jc w:val="center"/>
              <w:rPr>
                <w:rFonts w:hint="default" w:ascii="Times New Roman" w:hAnsi="Times New Roman" w:eastAsia="宋体" w:cs="Times New Roman"/>
                <w:snapToGrid w:val="0"/>
                <w:color w:val="auto"/>
                <w:kern w:val="21"/>
                <w:szCs w:val="21"/>
                <w:highlight w:val="none"/>
                <w:lang w:val="en-US" w:eastAsia="zh-CN"/>
              </w:rPr>
            </w:pPr>
            <w:r>
              <w:rPr>
                <w:snapToGrid w:val="0"/>
                <w:color w:val="auto"/>
                <w:kern w:val="21"/>
                <w:szCs w:val="21"/>
                <w:highlight w:val="none"/>
              </w:rPr>
              <w:t>0</w:t>
            </w:r>
          </w:p>
        </w:tc>
        <w:tc>
          <w:tcPr>
            <w:tcW w:w="1441" w:type="dxa"/>
            <w:noWrap w:val="0"/>
            <w:vAlign w:val="center"/>
          </w:tcPr>
          <w:p w14:paraId="36F63860">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hAnsi="Times New Roman" w:eastAsia="宋体" w:cs="Times New Roman"/>
                <w:snapToGrid w:val="0"/>
                <w:color w:val="auto"/>
                <w:kern w:val="21"/>
                <w:szCs w:val="21"/>
                <w:highlight w:val="none"/>
                <w:lang w:val="en-US" w:eastAsia="zh-CN"/>
              </w:rPr>
              <w:t>1.7</w:t>
            </w:r>
            <w:r>
              <w:rPr>
                <w:rFonts w:hint="eastAsia" w:cs="Times New Roman"/>
                <w:snapToGrid w:val="0"/>
                <w:color w:val="auto"/>
                <w:kern w:val="21"/>
                <w:szCs w:val="21"/>
                <w:highlight w:val="none"/>
                <w:lang w:val="en-US" w:eastAsia="zh-CN"/>
              </w:rPr>
              <w:t>02</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4B957300">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hAnsi="Times New Roman" w:cs="Times New Roman"/>
                <w:snapToGrid w:val="0"/>
                <w:color w:val="auto"/>
                <w:kern w:val="21"/>
                <w:szCs w:val="21"/>
                <w:highlight w:val="none"/>
                <w:lang w:val="en-US" w:eastAsia="zh-CN"/>
              </w:rPr>
              <w:t>+</w:t>
            </w:r>
            <w:r>
              <w:rPr>
                <w:rFonts w:hint="eastAsia" w:ascii="Times New Roman" w:hAnsi="Times New Roman" w:eastAsia="宋体" w:cs="Times New Roman"/>
                <w:snapToGrid w:val="0"/>
                <w:color w:val="auto"/>
                <w:kern w:val="21"/>
                <w:szCs w:val="21"/>
                <w:highlight w:val="none"/>
                <w:lang w:val="en-US" w:eastAsia="zh-CN"/>
              </w:rPr>
              <w:t>1.7</w:t>
            </w:r>
            <w:r>
              <w:rPr>
                <w:rFonts w:hint="eastAsia" w:cs="Times New Roman"/>
                <w:snapToGrid w:val="0"/>
                <w:color w:val="auto"/>
                <w:kern w:val="21"/>
                <w:szCs w:val="21"/>
                <w:highlight w:val="none"/>
                <w:lang w:val="en-US" w:eastAsia="zh-CN"/>
              </w:rPr>
              <w:t>02</w:t>
            </w:r>
            <w:r>
              <w:rPr>
                <w:rFonts w:hint="eastAsia" w:ascii="Times New Roman" w:hAnsi="Times New Roman" w:eastAsia="宋体" w:cs="Times New Roman"/>
                <w:snapToGrid w:val="0"/>
                <w:color w:val="auto"/>
                <w:kern w:val="21"/>
                <w:szCs w:val="21"/>
                <w:highlight w:val="none"/>
                <w:lang w:val="en-US" w:eastAsia="zh-CN"/>
              </w:rPr>
              <w:t>t/a</w:t>
            </w:r>
          </w:p>
        </w:tc>
      </w:tr>
      <w:tr w14:paraId="713A0C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tcBorders/>
            <w:noWrap w:val="0"/>
            <w:vAlign w:val="center"/>
          </w:tcPr>
          <w:p w14:paraId="23ECC826">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990" w:type="dxa"/>
            <w:noWrap w:val="0"/>
            <w:vAlign w:val="center"/>
          </w:tcPr>
          <w:p w14:paraId="06B9B4E2">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default" w:ascii="Times New Roman" w:hAnsi="Times New Roman" w:eastAsia="宋体" w:cs="Times New Roman"/>
                <w:snapToGrid w:val="0"/>
                <w:color w:val="auto"/>
                <w:kern w:val="21"/>
                <w:szCs w:val="21"/>
                <w:highlight w:val="none"/>
                <w:lang w:val="en-US" w:eastAsia="zh-CN"/>
              </w:rPr>
              <w:t>DA00</w:t>
            </w:r>
            <w:r>
              <w:rPr>
                <w:rFonts w:hint="eastAsia" w:cs="Times New Roman"/>
                <w:snapToGrid w:val="0"/>
                <w:color w:val="auto"/>
                <w:kern w:val="21"/>
                <w:szCs w:val="21"/>
                <w:highlight w:val="none"/>
                <w:lang w:val="en-US" w:eastAsia="zh-CN"/>
              </w:rPr>
              <w:t>2</w:t>
            </w:r>
          </w:p>
        </w:tc>
        <w:tc>
          <w:tcPr>
            <w:tcW w:w="974" w:type="dxa"/>
            <w:noWrap w:val="0"/>
            <w:vAlign w:val="center"/>
          </w:tcPr>
          <w:p w14:paraId="059E8C46">
            <w:pPr>
              <w:pStyle w:val="49"/>
              <w:spacing w:beforeLines="0" w:afterLines="0" w:line="240" w:lineRule="auto"/>
              <w:rPr>
                <w:color w:val="auto"/>
                <w:szCs w:val="21"/>
                <w:highlight w:val="none"/>
              </w:rPr>
            </w:pPr>
            <w:r>
              <w:rPr>
                <w:rFonts w:hint="eastAsia" w:ascii="Times New Roman" w:hAnsi="Times New Roman" w:eastAsia="宋体" w:cs="Times New Roman"/>
                <w:snapToGrid w:val="0"/>
                <w:color w:val="auto"/>
                <w:kern w:val="21"/>
                <w:szCs w:val="21"/>
                <w:highlight w:val="none"/>
                <w:lang w:val="en-US" w:eastAsia="zh-CN"/>
              </w:rPr>
              <w:t>颗粒物</w:t>
            </w:r>
          </w:p>
        </w:tc>
        <w:tc>
          <w:tcPr>
            <w:tcW w:w="1607" w:type="dxa"/>
            <w:shd w:val="clear" w:color="auto" w:fill="auto"/>
            <w:noWrap w:val="0"/>
            <w:vAlign w:val="center"/>
          </w:tcPr>
          <w:p w14:paraId="6AD4C8F3">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276" w:type="dxa"/>
            <w:shd w:val="clear" w:color="auto" w:fill="auto"/>
            <w:noWrap w:val="0"/>
            <w:vAlign w:val="center"/>
          </w:tcPr>
          <w:p w14:paraId="084E5854">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701" w:type="dxa"/>
            <w:shd w:val="clear" w:color="auto" w:fill="auto"/>
            <w:noWrap w:val="0"/>
            <w:vAlign w:val="center"/>
          </w:tcPr>
          <w:p w14:paraId="780B5517">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559" w:type="dxa"/>
            <w:shd w:val="clear" w:color="auto" w:fill="auto"/>
            <w:noWrap w:val="0"/>
            <w:vAlign w:val="center"/>
          </w:tcPr>
          <w:p w14:paraId="1E80BC46">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0.133</w:t>
            </w:r>
            <w:r>
              <w:rPr>
                <w:rFonts w:hint="eastAsia" w:ascii="Times New Roman" w:hAnsi="Times New Roman" w:eastAsia="宋体" w:cs="Times New Roman"/>
                <w:snapToGrid w:val="0"/>
                <w:color w:val="auto"/>
                <w:kern w:val="21"/>
                <w:szCs w:val="21"/>
                <w:highlight w:val="none"/>
                <w:lang w:val="en-US" w:eastAsia="zh-CN"/>
              </w:rPr>
              <w:t>t/a</w:t>
            </w:r>
          </w:p>
        </w:tc>
        <w:tc>
          <w:tcPr>
            <w:tcW w:w="1761" w:type="dxa"/>
            <w:shd w:val="clear" w:color="auto" w:fill="auto"/>
            <w:noWrap w:val="0"/>
            <w:vAlign w:val="center"/>
          </w:tcPr>
          <w:p w14:paraId="2205FEBF">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441" w:type="dxa"/>
            <w:noWrap w:val="0"/>
            <w:vAlign w:val="center"/>
          </w:tcPr>
          <w:p w14:paraId="06BDC04E">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0.133</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4A17D049">
            <w:pPr>
              <w:pStyle w:val="49"/>
              <w:spacing w:beforeLines="0" w:afterLines="0" w:line="240" w:lineRule="auto"/>
              <w:ind w:left="0" w:leftChars="0" w:firstLine="0" w:firstLineChars="0"/>
              <w:rPr>
                <w:rFonts w:hint="eastAsia" w:ascii="Times New Roman" w:hAnsi="Times New Roman"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+0.133</w:t>
            </w:r>
            <w:r>
              <w:rPr>
                <w:rFonts w:hint="eastAsia" w:ascii="Times New Roman" w:hAnsi="Times New Roman" w:eastAsia="宋体" w:cs="Times New Roman"/>
                <w:snapToGrid w:val="0"/>
                <w:color w:val="auto"/>
                <w:kern w:val="21"/>
                <w:szCs w:val="21"/>
                <w:highlight w:val="none"/>
                <w:lang w:val="en-US" w:eastAsia="zh-CN"/>
              </w:rPr>
              <w:t>t/a</w:t>
            </w:r>
          </w:p>
        </w:tc>
      </w:tr>
      <w:tr w14:paraId="47CABC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tcBorders/>
            <w:noWrap w:val="0"/>
            <w:vAlign w:val="center"/>
          </w:tcPr>
          <w:p w14:paraId="2A046D2C">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990" w:type="dxa"/>
            <w:vMerge w:val="restart"/>
            <w:noWrap w:val="0"/>
            <w:vAlign w:val="center"/>
          </w:tcPr>
          <w:p w14:paraId="356CFA09">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DA003</w:t>
            </w:r>
          </w:p>
        </w:tc>
        <w:tc>
          <w:tcPr>
            <w:tcW w:w="974" w:type="dxa"/>
            <w:noWrap w:val="0"/>
            <w:vAlign w:val="center"/>
          </w:tcPr>
          <w:p w14:paraId="0E93CF9E">
            <w:pPr>
              <w:pStyle w:val="49"/>
              <w:spacing w:beforeLines="0" w:afterLines="0" w:line="240" w:lineRule="auto"/>
              <w:rPr>
                <w:rFonts w:hint="default" w:ascii="Times New Roman" w:hAnsi="Times New Roman" w:eastAsia="宋体" w:cs="Times New Roman"/>
                <w:snapToGrid w:val="0"/>
                <w:color w:val="auto"/>
                <w:kern w:val="21"/>
                <w:szCs w:val="21"/>
                <w:highlight w:val="none"/>
                <w:vertAlign w:val="subscript"/>
                <w:lang w:val="en-US" w:eastAsia="zh-CN"/>
              </w:rPr>
            </w:pPr>
            <w:r>
              <w:rPr>
                <w:rFonts w:hint="eastAsia" w:cs="Times New Roman"/>
                <w:snapToGrid w:val="0"/>
                <w:color w:val="auto"/>
                <w:kern w:val="21"/>
                <w:szCs w:val="21"/>
                <w:highlight w:val="none"/>
                <w:lang w:val="en-US" w:eastAsia="zh-CN"/>
              </w:rPr>
              <w:t>NH</w:t>
            </w:r>
            <w:r>
              <w:rPr>
                <w:rFonts w:hint="eastAsia" w:cs="Times New Roman"/>
                <w:snapToGrid w:val="0"/>
                <w:color w:val="auto"/>
                <w:kern w:val="21"/>
                <w:szCs w:val="21"/>
                <w:highlight w:val="none"/>
                <w:vertAlign w:val="subscript"/>
                <w:lang w:val="en-US" w:eastAsia="zh-CN"/>
              </w:rPr>
              <w:t>3</w:t>
            </w:r>
          </w:p>
        </w:tc>
        <w:tc>
          <w:tcPr>
            <w:tcW w:w="1607" w:type="dxa"/>
            <w:shd w:val="clear"/>
            <w:noWrap w:val="0"/>
            <w:vAlign w:val="center"/>
          </w:tcPr>
          <w:p w14:paraId="45E2F6D0">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276" w:type="dxa"/>
            <w:shd w:val="clear"/>
            <w:noWrap w:val="0"/>
            <w:vAlign w:val="center"/>
          </w:tcPr>
          <w:p w14:paraId="3D09A260">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701" w:type="dxa"/>
            <w:shd w:val="clear"/>
            <w:noWrap w:val="0"/>
            <w:vAlign w:val="center"/>
          </w:tcPr>
          <w:p w14:paraId="5C80A6C2">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559" w:type="dxa"/>
            <w:shd w:val="clear" w:color="auto" w:fill="auto"/>
            <w:noWrap w:val="0"/>
            <w:vAlign w:val="center"/>
          </w:tcPr>
          <w:p w14:paraId="3B34F34B">
            <w:pPr>
              <w:pStyle w:val="49"/>
              <w:spacing w:beforeLines="0" w:afterLines="0" w:line="240" w:lineRule="auto"/>
              <w:ind w:left="0" w:leftChars="0" w:firstLine="0" w:firstLineChars="0"/>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0.010</w:t>
            </w:r>
            <w:r>
              <w:rPr>
                <w:rFonts w:hint="eastAsia" w:ascii="Times New Roman" w:hAnsi="Times New Roman" w:eastAsia="宋体" w:cs="Times New Roman"/>
                <w:snapToGrid w:val="0"/>
                <w:color w:val="auto"/>
                <w:kern w:val="21"/>
                <w:szCs w:val="21"/>
                <w:highlight w:val="none"/>
                <w:lang w:val="en-US" w:eastAsia="zh-CN"/>
              </w:rPr>
              <w:t>t/a</w:t>
            </w:r>
          </w:p>
        </w:tc>
        <w:tc>
          <w:tcPr>
            <w:tcW w:w="1761" w:type="dxa"/>
            <w:shd w:val="clear" w:color="auto" w:fill="auto"/>
            <w:noWrap w:val="0"/>
            <w:vAlign w:val="center"/>
          </w:tcPr>
          <w:p w14:paraId="509CC2E8">
            <w:pPr>
              <w:jc w:val="center"/>
              <w:rPr>
                <w:rFonts w:hint="eastAsia" w:eastAsia="宋体"/>
                <w:i w:val="0"/>
                <w:iCs w:val="0"/>
                <w:snapToGrid w:val="0"/>
                <w:color w:val="auto"/>
                <w:kern w:val="21"/>
                <w:szCs w:val="21"/>
                <w:highlight w:val="none"/>
                <w:lang w:val="en-US" w:eastAsia="zh-CN"/>
              </w:rPr>
            </w:pPr>
            <w:r>
              <w:rPr>
                <w:rFonts w:hint="eastAsia"/>
                <w:i w:val="0"/>
                <w:iCs w:val="0"/>
                <w:snapToGrid w:val="0"/>
                <w:color w:val="auto"/>
                <w:kern w:val="21"/>
                <w:szCs w:val="21"/>
                <w:highlight w:val="none"/>
                <w:lang w:val="en-US" w:eastAsia="zh-CN"/>
              </w:rPr>
              <w:t>0</w:t>
            </w:r>
          </w:p>
        </w:tc>
        <w:tc>
          <w:tcPr>
            <w:tcW w:w="1441" w:type="dxa"/>
            <w:shd w:val="clear" w:color="auto" w:fill="auto"/>
            <w:noWrap w:val="0"/>
            <w:vAlign w:val="center"/>
          </w:tcPr>
          <w:p w14:paraId="441CCC2C">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0.010</w:t>
            </w:r>
            <w:r>
              <w:rPr>
                <w:rFonts w:hint="eastAsia" w:ascii="Times New Roman" w:hAnsi="Times New Roman" w:eastAsia="宋体" w:cs="Times New Roman"/>
                <w:snapToGrid w:val="0"/>
                <w:color w:val="auto"/>
                <w:kern w:val="21"/>
                <w:szCs w:val="21"/>
                <w:highlight w:val="none"/>
                <w:lang w:val="en-US" w:eastAsia="zh-CN"/>
              </w:rPr>
              <w:t>t/a</w:t>
            </w:r>
          </w:p>
        </w:tc>
        <w:tc>
          <w:tcPr>
            <w:tcW w:w="1344" w:type="dxa"/>
            <w:shd w:val="clear" w:color="auto" w:fill="auto"/>
            <w:noWrap w:val="0"/>
            <w:vAlign w:val="center"/>
          </w:tcPr>
          <w:p w14:paraId="503DE524">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+0.010</w:t>
            </w:r>
            <w:r>
              <w:rPr>
                <w:rFonts w:hint="eastAsia" w:ascii="Times New Roman" w:hAnsi="Times New Roman" w:eastAsia="宋体" w:cs="Times New Roman"/>
                <w:snapToGrid w:val="0"/>
                <w:color w:val="auto"/>
                <w:kern w:val="21"/>
                <w:szCs w:val="21"/>
                <w:highlight w:val="none"/>
                <w:lang w:val="en-US" w:eastAsia="zh-CN"/>
              </w:rPr>
              <w:t>t/a</w:t>
            </w:r>
          </w:p>
        </w:tc>
      </w:tr>
      <w:tr w14:paraId="2E236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tcBorders/>
            <w:noWrap w:val="0"/>
            <w:vAlign w:val="center"/>
          </w:tcPr>
          <w:p w14:paraId="59464675">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990" w:type="dxa"/>
            <w:vMerge w:val="continue"/>
            <w:tcBorders/>
            <w:noWrap w:val="0"/>
            <w:vAlign w:val="center"/>
          </w:tcPr>
          <w:p w14:paraId="7EBF59B5">
            <w:pPr>
              <w:pStyle w:val="49"/>
              <w:spacing w:beforeLines="0" w:afterLines="0" w:line="240" w:lineRule="auto"/>
              <w:rPr>
                <w:rFonts w:hint="eastAsia" w:cs="Times New Roman"/>
                <w:snapToGrid w:val="0"/>
                <w:color w:val="auto"/>
                <w:kern w:val="21"/>
                <w:szCs w:val="21"/>
                <w:highlight w:val="none"/>
                <w:lang w:val="en-US" w:eastAsia="zh-CN"/>
              </w:rPr>
            </w:pPr>
          </w:p>
        </w:tc>
        <w:tc>
          <w:tcPr>
            <w:tcW w:w="974" w:type="dxa"/>
            <w:noWrap w:val="0"/>
            <w:vAlign w:val="center"/>
          </w:tcPr>
          <w:p w14:paraId="75899CBB">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H</w:t>
            </w:r>
            <w:r>
              <w:rPr>
                <w:rFonts w:hint="eastAsia" w:cs="Times New Roman"/>
                <w:snapToGrid w:val="0"/>
                <w:color w:val="auto"/>
                <w:kern w:val="21"/>
                <w:szCs w:val="21"/>
                <w:highlight w:val="none"/>
                <w:vertAlign w:val="subscript"/>
                <w:lang w:val="en-US" w:eastAsia="zh-CN"/>
              </w:rPr>
              <w:t>2</w:t>
            </w:r>
            <w:r>
              <w:rPr>
                <w:rFonts w:hint="eastAsia" w:cs="Times New Roman"/>
                <w:snapToGrid w:val="0"/>
                <w:color w:val="auto"/>
                <w:kern w:val="21"/>
                <w:szCs w:val="21"/>
                <w:highlight w:val="none"/>
                <w:lang w:val="en-US" w:eastAsia="zh-CN"/>
              </w:rPr>
              <w:t>S</w:t>
            </w:r>
          </w:p>
        </w:tc>
        <w:tc>
          <w:tcPr>
            <w:tcW w:w="1607" w:type="dxa"/>
            <w:shd w:val="clear" w:color="auto" w:fill="auto"/>
            <w:noWrap w:val="0"/>
            <w:vAlign w:val="center"/>
          </w:tcPr>
          <w:p w14:paraId="3BE4C663">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276" w:type="dxa"/>
            <w:shd w:val="clear" w:color="auto" w:fill="auto"/>
            <w:noWrap w:val="0"/>
            <w:vAlign w:val="center"/>
          </w:tcPr>
          <w:p w14:paraId="01F1FB29">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701" w:type="dxa"/>
            <w:shd w:val="clear" w:color="auto" w:fill="auto"/>
            <w:noWrap w:val="0"/>
            <w:vAlign w:val="center"/>
          </w:tcPr>
          <w:p w14:paraId="20AC2FA6">
            <w:pPr>
              <w:pStyle w:val="49"/>
              <w:spacing w:beforeLines="0" w:afterLines="0" w:line="240" w:lineRule="auto"/>
              <w:ind w:left="0" w:leftChars="0" w:firstLine="0" w:firstLineChars="0"/>
              <w:rPr>
                <w:rFonts w:hint="default" w:ascii="Times New Roman" w:hAnsi="Times New Roman" w:eastAsia="宋体" w:cs="Times New Roman"/>
                <w:snapToGrid w:val="0"/>
                <w:color w:val="auto"/>
                <w:kern w:val="21"/>
                <w:sz w:val="21"/>
                <w:szCs w:val="21"/>
                <w:highlight w:val="none"/>
                <w:lang w:val="en-US" w:eastAsia="zh-CN" w:bidi="ar-SA"/>
              </w:rPr>
            </w:pPr>
            <w:r>
              <w:rPr>
                <w:rFonts w:ascii="Times New Roman"/>
                <w:snapToGrid w:val="0"/>
                <w:color w:val="auto"/>
                <w:kern w:val="21"/>
                <w:szCs w:val="21"/>
                <w:highlight w:val="none"/>
              </w:rPr>
              <w:t>0</w:t>
            </w:r>
          </w:p>
        </w:tc>
        <w:tc>
          <w:tcPr>
            <w:tcW w:w="1559" w:type="dxa"/>
            <w:shd w:val="clear" w:color="auto" w:fill="auto"/>
            <w:noWrap w:val="0"/>
            <w:vAlign w:val="center"/>
          </w:tcPr>
          <w:p w14:paraId="115FD4A9">
            <w:pPr>
              <w:pStyle w:val="49"/>
              <w:spacing w:beforeLines="0" w:afterLines="0" w:line="240" w:lineRule="auto"/>
              <w:ind w:left="0" w:leftChars="0" w:firstLine="0" w:firstLineChars="0"/>
              <w:rPr>
                <w:rFonts w:hint="default" w:cs="Times New Roman"/>
                <w:snapToGrid w:val="0"/>
                <w:color w:val="auto"/>
                <w:kern w:val="21"/>
                <w:szCs w:val="21"/>
                <w:highlight w:val="none"/>
                <w:lang w:val="en-US" w:eastAsia="zh-CN"/>
              </w:rPr>
            </w:pPr>
            <w:r>
              <w:rPr>
                <w:rFonts w:hint="eastAsia" w:cs="Times New Roman"/>
                <w:snapToGrid w:val="0"/>
                <w:color w:val="auto"/>
                <w:kern w:val="21"/>
                <w:szCs w:val="21"/>
                <w:highlight w:val="none"/>
                <w:lang w:val="en-US" w:eastAsia="zh-CN"/>
              </w:rPr>
              <w:t>0.0010</w:t>
            </w:r>
            <w:r>
              <w:rPr>
                <w:rFonts w:hint="eastAsia" w:ascii="Times New Roman" w:hAnsi="Times New Roman" w:eastAsia="宋体" w:cs="Times New Roman"/>
                <w:snapToGrid w:val="0"/>
                <w:color w:val="auto"/>
                <w:kern w:val="21"/>
                <w:szCs w:val="21"/>
                <w:highlight w:val="none"/>
                <w:lang w:val="en-US" w:eastAsia="zh-CN"/>
              </w:rPr>
              <w:t>t/a</w:t>
            </w:r>
          </w:p>
        </w:tc>
        <w:tc>
          <w:tcPr>
            <w:tcW w:w="1761" w:type="dxa"/>
            <w:shd w:val="clear" w:color="auto" w:fill="auto"/>
            <w:noWrap w:val="0"/>
            <w:vAlign w:val="center"/>
          </w:tcPr>
          <w:p w14:paraId="75A90A0F">
            <w:pPr>
              <w:jc w:val="center"/>
              <w:rPr>
                <w:rFonts w:hint="eastAsia" w:eastAsia="宋体"/>
                <w:i w:val="0"/>
                <w:iCs w:val="0"/>
                <w:snapToGrid w:val="0"/>
                <w:color w:val="auto"/>
                <w:kern w:val="21"/>
                <w:szCs w:val="21"/>
                <w:highlight w:val="none"/>
                <w:lang w:val="en-US" w:eastAsia="zh-CN"/>
              </w:rPr>
            </w:pPr>
            <w:r>
              <w:rPr>
                <w:rFonts w:hint="eastAsia"/>
                <w:i w:val="0"/>
                <w:iCs w:val="0"/>
                <w:snapToGrid w:val="0"/>
                <w:color w:val="auto"/>
                <w:kern w:val="21"/>
                <w:szCs w:val="21"/>
                <w:highlight w:val="none"/>
                <w:lang w:val="en-US" w:eastAsia="zh-CN"/>
              </w:rPr>
              <w:t>0</w:t>
            </w:r>
          </w:p>
        </w:tc>
        <w:tc>
          <w:tcPr>
            <w:tcW w:w="1441" w:type="dxa"/>
            <w:shd w:val="clear" w:color="auto" w:fill="auto"/>
            <w:noWrap w:val="0"/>
            <w:vAlign w:val="center"/>
          </w:tcPr>
          <w:p w14:paraId="74533FBE">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0.0010</w:t>
            </w:r>
            <w:r>
              <w:rPr>
                <w:rFonts w:hint="eastAsia" w:ascii="Times New Roman" w:hAnsi="Times New Roman" w:eastAsia="宋体" w:cs="Times New Roman"/>
                <w:snapToGrid w:val="0"/>
                <w:color w:val="auto"/>
                <w:kern w:val="21"/>
                <w:szCs w:val="21"/>
                <w:highlight w:val="none"/>
                <w:lang w:val="en-US" w:eastAsia="zh-CN"/>
              </w:rPr>
              <w:t>t/a</w:t>
            </w:r>
          </w:p>
        </w:tc>
        <w:tc>
          <w:tcPr>
            <w:tcW w:w="1344" w:type="dxa"/>
            <w:shd w:val="clear" w:color="auto" w:fill="auto"/>
            <w:noWrap w:val="0"/>
            <w:vAlign w:val="center"/>
          </w:tcPr>
          <w:p w14:paraId="663898AC">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 w:val="21"/>
                <w:szCs w:val="21"/>
                <w:highlight w:val="none"/>
                <w:lang w:val="en-US" w:eastAsia="zh-CN" w:bidi="ar-SA"/>
              </w:rPr>
            </w:pPr>
            <w:r>
              <w:rPr>
                <w:rFonts w:hint="eastAsia" w:cs="Times New Roman"/>
                <w:snapToGrid w:val="0"/>
                <w:color w:val="auto"/>
                <w:kern w:val="21"/>
                <w:szCs w:val="21"/>
                <w:highlight w:val="none"/>
                <w:lang w:val="en-US" w:eastAsia="zh-CN"/>
              </w:rPr>
              <w:t>+0.0010</w:t>
            </w:r>
            <w:r>
              <w:rPr>
                <w:rFonts w:hint="eastAsia" w:ascii="Times New Roman" w:hAnsi="Times New Roman" w:eastAsia="宋体" w:cs="Times New Roman"/>
                <w:snapToGrid w:val="0"/>
                <w:color w:val="auto"/>
                <w:kern w:val="21"/>
                <w:szCs w:val="21"/>
                <w:highlight w:val="none"/>
                <w:lang w:val="en-US" w:eastAsia="zh-CN"/>
              </w:rPr>
              <w:t>t/a</w:t>
            </w:r>
          </w:p>
        </w:tc>
      </w:tr>
      <w:tr w14:paraId="4BCAC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restart"/>
            <w:noWrap w:val="0"/>
            <w:vAlign w:val="center"/>
          </w:tcPr>
          <w:p w14:paraId="0D9E391B">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Cs w:val="21"/>
                <w:highlight w:val="none"/>
                <w:lang w:val="en-US" w:eastAsia="zh-CN"/>
              </w:rPr>
            </w:pPr>
            <w:r>
              <w:rPr>
                <w:rFonts w:ascii="Times New Roman"/>
                <w:snapToGrid w:val="0"/>
                <w:color w:val="auto"/>
                <w:kern w:val="21"/>
                <w:szCs w:val="21"/>
                <w:highlight w:val="none"/>
              </w:rPr>
              <w:t>废水</w:t>
            </w:r>
          </w:p>
        </w:tc>
        <w:tc>
          <w:tcPr>
            <w:tcW w:w="1964" w:type="dxa"/>
            <w:gridSpan w:val="2"/>
            <w:noWrap w:val="0"/>
            <w:vAlign w:val="center"/>
          </w:tcPr>
          <w:p w14:paraId="08933C97">
            <w:pPr>
              <w:jc w:val="center"/>
              <w:rPr>
                <w:rFonts w:hint="eastAsia" w:ascii="Times New Roman" w:hAnsi="Times New Roman" w:eastAsia="宋体" w:cs="Times New Roman"/>
                <w:snapToGrid w:val="0"/>
                <w:color w:val="auto"/>
                <w:kern w:val="21"/>
                <w:szCs w:val="21"/>
                <w:highlight w:val="none"/>
                <w:lang w:val="en-US" w:eastAsia="zh-CN"/>
              </w:rPr>
            </w:pPr>
            <w:r>
              <w:rPr>
                <w:color w:val="auto"/>
                <w:szCs w:val="21"/>
                <w:highlight w:val="none"/>
              </w:rPr>
              <w:t>COD</w:t>
            </w:r>
          </w:p>
        </w:tc>
        <w:tc>
          <w:tcPr>
            <w:tcW w:w="1607" w:type="dxa"/>
            <w:noWrap w:val="0"/>
            <w:vAlign w:val="center"/>
          </w:tcPr>
          <w:p w14:paraId="4C08C87A">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276" w:type="dxa"/>
            <w:noWrap w:val="0"/>
            <w:vAlign w:val="center"/>
          </w:tcPr>
          <w:p w14:paraId="56CE9247">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701" w:type="dxa"/>
            <w:noWrap w:val="0"/>
            <w:vAlign w:val="center"/>
          </w:tcPr>
          <w:p w14:paraId="15489795">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559" w:type="dxa"/>
            <w:noWrap w:val="0"/>
            <w:vAlign w:val="center"/>
          </w:tcPr>
          <w:p w14:paraId="60120A33">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0.0547</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3D6A071D">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441" w:type="dxa"/>
            <w:noWrap w:val="0"/>
            <w:vAlign w:val="center"/>
          </w:tcPr>
          <w:p w14:paraId="4F180445">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0.0547</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6D8B5BE0">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+0.0547</w:t>
            </w:r>
            <w:r>
              <w:rPr>
                <w:rFonts w:hint="eastAsia" w:ascii="Times New Roman" w:hAnsi="Times New Roman" w:eastAsia="宋体" w:cs="Times New Roman"/>
                <w:snapToGrid w:val="0"/>
                <w:color w:val="auto"/>
                <w:kern w:val="21"/>
                <w:szCs w:val="21"/>
                <w:highlight w:val="none"/>
                <w:lang w:val="en-US" w:eastAsia="zh-CN"/>
              </w:rPr>
              <w:t>t/a</w:t>
            </w:r>
          </w:p>
        </w:tc>
      </w:tr>
      <w:tr w14:paraId="30B44E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58257422">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Cs w:val="21"/>
                <w:highlight w:val="none"/>
                <w:lang w:val="en-US" w:eastAsia="zh-CN"/>
              </w:rPr>
            </w:pPr>
          </w:p>
        </w:tc>
        <w:tc>
          <w:tcPr>
            <w:tcW w:w="1964" w:type="dxa"/>
            <w:gridSpan w:val="2"/>
            <w:noWrap w:val="0"/>
            <w:vAlign w:val="center"/>
          </w:tcPr>
          <w:p w14:paraId="29603B66">
            <w:pPr>
              <w:jc w:val="center"/>
              <w:rPr>
                <w:rFonts w:hint="eastAsia" w:ascii="Times New Roman" w:hAnsi="Times New Roman" w:eastAsia="宋体" w:cs="Times New Roman"/>
                <w:snapToGrid w:val="0"/>
                <w:color w:val="auto"/>
                <w:kern w:val="21"/>
                <w:szCs w:val="21"/>
                <w:highlight w:val="none"/>
                <w:vertAlign w:val="subscript"/>
                <w:lang w:val="en-US" w:eastAsia="zh-CN"/>
              </w:rPr>
            </w:pPr>
            <w:r>
              <w:rPr>
                <w:color w:val="auto"/>
                <w:szCs w:val="21"/>
                <w:highlight w:val="none"/>
              </w:rPr>
              <w:t>BOD</w:t>
            </w:r>
            <w:r>
              <w:rPr>
                <w:rFonts w:hint="eastAsia"/>
                <w:color w:val="auto"/>
                <w:szCs w:val="21"/>
                <w:highlight w:val="none"/>
                <w:vertAlign w:val="subscript"/>
                <w:lang w:val="en-US" w:eastAsia="zh-CN"/>
              </w:rPr>
              <w:t>5</w:t>
            </w:r>
          </w:p>
        </w:tc>
        <w:tc>
          <w:tcPr>
            <w:tcW w:w="1607" w:type="dxa"/>
            <w:noWrap w:val="0"/>
            <w:vAlign w:val="center"/>
          </w:tcPr>
          <w:p w14:paraId="01A2128C">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276" w:type="dxa"/>
            <w:noWrap w:val="0"/>
            <w:vAlign w:val="center"/>
          </w:tcPr>
          <w:p w14:paraId="10D201D1">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701" w:type="dxa"/>
            <w:noWrap w:val="0"/>
            <w:vAlign w:val="center"/>
          </w:tcPr>
          <w:p w14:paraId="6A77EA75">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559" w:type="dxa"/>
            <w:noWrap w:val="0"/>
            <w:vAlign w:val="center"/>
          </w:tcPr>
          <w:p w14:paraId="0C33018D">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0.0252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2F482922">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441" w:type="dxa"/>
            <w:noWrap w:val="0"/>
            <w:vAlign w:val="center"/>
          </w:tcPr>
          <w:p w14:paraId="4FAE7310">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0.0252</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1B7C3C25">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+0.0252</w:t>
            </w:r>
            <w:r>
              <w:rPr>
                <w:rFonts w:hint="eastAsia" w:ascii="Times New Roman" w:hAnsi="Times New Roman" w:eastAsia="宋体" w:cs="Times New Roman"/>
                <w:snapToGrid w:val="0"/>
                <w:color w:val="auto"/>
                <w:kern w:val="21"/>
                <w:szCs w:val="21"/>
                <w:highlight w:val="none"/>
                <w:lang w:val="en-US" w:eastAsia="zh-CN"/>
              </w:rPr>
              <w:t>t/a</w:t>
            </w:r>
          </w:p>
        </w:tc>
      </w:tr>
      <w:tr w14:paraId="375B72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65F6AA4B">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Cs w:val="21"/>
                <w:highlight w:val="none"/>
                <w:lang w:val="en-US" w:eastAsia="zh-CN"/>
              </w:rPr>
            </w:pPr>
          </w:p>
        </w:tc>
        <w:tc>
          <w:tcPr>
            <w:tcW w:w="1964" w:type="dxa"/>
            <w:gridSpan w:val="2"/>
            <w:noWrap w:val="0"/>
            <w:vAlign w:val="center"/>
          </w:tcPr>
          <w:p w14:paraId="2489118C">
            <w:pPr>
              <w:jc w:val="center"/>
              <w:rPr>
                <w:rFonts w:hint="eastAsia" w:ascii="Times New Roman" w:hAnsi="Times New Roman" w:eastAsia="宋体" w:cs="Times New Roman"/>
                <w:snapToGrid w:val="0"/>
                <w:color w:val="auto"/>
                <w:kern w:val="21"/>
                <w:szCs w:val="21"/>
                <w:highlight w:val="none"/>
                <w:lang w:val="en-US" w:eastAsia="zh-CN"/>
              </w:rPr>
            </w:pPr>
            <w:r>
              <w:rPr>
                <w:color w:val="auto"/>
                <w:szCs w:val="21"/>
                <w:highlight w:val="none"/>
              </w:rPr>
              <w:t>SS</w:t>
            </w:r>
          </w:p>
        </w:tc>
        <w:tc>
          <w:tcPr>
            <w:tcW w:w="1607" w:type="dxa"/>
            <w:noWrap w:val="0"/>
            <w:vAlign w:val="center"/>
          </w:tcPr>
          <w:p w14:paraId="2CE25AE1">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276" w:type="dxa"/>
            <w:noWrap w:val="0"/>
            <w:vAlign w:val="center"/>
          </w:tcPr>
          <w:p w14:paraId="1E60A816">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701" w:type="dxa"/>
            <w:noWrap w:val="0"/>
            <w:vAlign w:val="center"/>
          </w:tcPr>
          <w:p w14:paraId="1D2BADBA">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559" w:type="dxa"/>
            <w:noWrap w:val="0"/>
            <w:vAlign w:val="center"/>
          </w:tcPr>
          <w:p w14:paraId="28091DEB">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0.0224</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74926934">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441" w:type="dxa"/>
            <w:noWrap w:val="0"/>
            <w:vAlign w:val="center"/>
          </w:tcPr>
          <w:p w14:paraId="34678F36">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0.0224</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43CF25E5">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+0.0224</w:t>
            </w:r>
            <w:r>
              <w:rPr>
                <w:rFonts w:hint="eastAsia" w:ascii="Times New Roman" w:hAnsi="Times New Roman" w:eastAsia="宋体" w:cs="Times New Roman"/>
                <w:snapToGrid w:val="0"/>
                <w:color w:val="auto"/>
                <w:kern w:val="21"/>
                <w:szCs w:val="21"/>
                <w:highlight w:val="none"/>
                <w:lang w:val="en-US" w:eastAsia="zh-CN"/>
              </w:rPr>
              <w:t>t/a</w:t>
            </w:r>
          </w:p>
        </w:tc>
      </w:tr>
      <w:tr w14:paraId="11FF66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17F8DC03">
            <w:pPr>
              <w:pStyle w:val="49"/>
              <w:spacing w:beforeLines="0" w:afterLines="0" w:line="240" w:lineRule="auto"/>
              <w:ind w:left="0" w:leftChars="0" w:firstLine="0" w:firstLineChars="0"/>
              <w:rPr>
                <w:rFonts w:hint="eastAsia" w:ascii="Times New Roman" w:hAnsi="Times New Roman" w:eastAsia="宋体" w:cs="Times New Roman"/>
                <w:snapToGrid w:val="0"/>
                <w:color w:val="auto"/>
                <w:kern w:val="21"/>
                <w:szCs w:val="21"/>
                <w:highlight w:val="none"/>
                <w:lang w:val="en-US" w:eastAsia="zh-CN"/>
              </w:rPr>
            </w:pPr>
          </w:p>
        </w:tc>
        <w:tc>
          <w:tcPr>
            <w:tcW w:w="1964" w:type="dxa"/>
            <w:gridSpan w:val="2"/>
            <w:noWrap w:val="0"/>
            <w:vAlign w:val="center"/>
          </w:tcPr>
          <w:p w14:paraId="364570E0">
            <w:pPr>
              <w:jc w:val="center"/>
              <w:rPr>
                <w:rFonts w:hint="eastAsia" w:ascii="Times New Roman" w:hAnsi="Times New Roman" w:eastAsia="宋体" w:cs="Times New Roman"/>
                <w:snapToGrid w:val="0"/>
                <w:color w:val="auto"/>
                <w:kern w:val="21"/>
                <w:szCs w:val="21"/>
                <w:highlight w:val="none"/>
                <w:lang w:val="en-US" w:eastAsia="zh-CN"/>
              </w:rPr>
            </w:pPr>
            <w:r>
              <w:rPr>
                <w:color w:val="auto"/>
                <w:szCs w:val="21"/>
                <w:highlight w:val="none"/>
              </w:rPr>
              <w:t>氨氮</w:t>
            </w:r>
          </w:p>
        </w:tc>
        <w:tc>
          <w:tcPr>
            <w:tcW w:w="1607" w:type="dxa"/>
            <w:noWrap w:val="0"/>
            <w:vAlign w:val="center"/>
          </w:tcPr>
          <w:p w14:paraId="06C385D3">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276" w:type="dxa"/>
            <w:noWrap w:val="0"/>
            <w:vAlign w:val="center"/>
          </w:tcPr>
          <w:p w14:paraId="32287954">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701" w:type="dxa"/>
            <w:noWrap w:val="0"/>
            <w:vAlign w:val="center"/>
          </w:tcPr>
          <w:p w14:paraId="42549AA2">
            <w:pPr>
              <w:jc w:val="center"/>
              <w:rPr>
                <w:rFonts w:hint="default" w:eastAsia="宋体"/>
                <w:snapToGrid w:val="0"/>
                <w:color w:val="auto"/>
                <w:kern w:val="21"/>
                <w:szCs w:val="21"/>
                <w:highlight w:val="none"/>
                <w:vertAlign w:val="subscript"/>
                <w:lang w:val="en-US" w:eastAsia="zh-CN"/>
              </w:rPr>
            </w:pPr>
            <w:r>
              <w:rPr>
                <w:rFonts w:hint="eastAsia"/>
                <w:snapToGrid w:val="0"/>
                <w:color w:val="auto"/>
                <w:kern w:val="21"/>
                <w:szCs w:val="21"/>
                <w:highlight w:val="none"/>
                <w:lang w:val="en-US" w:eastAsia="zh-CN"/>
              </w:rPr>
              <w:t>0</w:t>
            </w:r>
          </w:p>
        </w:tc>
        <w:tc>
          <w:tcPr>
            <w:tcW w:w="1559" w:type="dxa"/>
            <w:noWrap w:val="0"/>
            <w:vAlign w:val="center"/>
          </w:tcPr>
          <w:p w14:paraId="24DF260C">
            <w:pPr>
              <w:pStyle w:val="49"/>
              <w:bidi w:val="0"/>
              <w:ind w:left="0" w:leftChars="0" w:firstLine="0" w:firstLineChars="0"/>
              <w:jc w:val="center"/>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0.0070</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48433CDE">
            <w:pPr>
              <w:snapToGrid w:val="0"/>
              <w:jc w:val="center"/>
              <w:rPr>
                <w:rFonts w:hint="default" w:ascii="Times New Roman" w:hAnsi="Times New Roman" w:eastAsia="宋体" w:cs="Times New Roman"/>
                <w:snapToGrid w:val="0"/>
                <w:color w:val="auto"/>
                <w:kern w:val="21"/>
                <w:szCs w:val="21"/>
                <w:highlight w:val="none"/>
              </w:rPr>
            </w:pPr>
            <w:r>
              <w:rPr>
                <w:rFonts w:hint="eastAsia"/>
                <w:snapToGrid w:val="0"/>
                <w:color w:val="auto"/>
                <w:kern w:val="21"/>
                <w:szCs w:val="21"/>
                <w:highlight w:val="none"/>
              </w:rPr>
              <w:t>0</w:t>
            </w:r>
          </w:p>
        </w:tc>
        <w:tc>
          <w:tcPr>
            <w:tcW w:w="1441" w:type="dxa"/>
            <w:noWrap w:val="0"/>
            <w:vAlign w:val="center"/>
          </w:tcPr>
          <w:p w14:paraId="7AC21FC7">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0.0070</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40273762">
            <w:pPr>
              <w:pStyle w:val="49"/>
              <w:bidi w:val="0"/>
              <w:ind w:left="0" w:leftChars="0" w:firstLine="0" w:firstLineChars="0"/>
              <w:jc w:val="center"/>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+0.0070</w:t>
            </w:r>
            <w:r>
              <w:rPr>
                <w:rFonts w:hint="eastAsia" w:ascii="Times New Roman" w:hAnsi="Times New Roman" w:eastAsia="宋体" w:cs="Times New Roman"/>
                <w:snapToGrid w:val="0"/>
                <w:color w:val="auto"/>
                <w:kern w:val="21"/>
                <w:szCs w:val="21"/>
                <w:highlight w:val="none"/>
                <w:lang w:val="en-US" w:eastAsia="zh-CN"/>
              </w:rPr>
              <w:t>t/a</w:t>
            </w:r>
          </w:p>
        </w:tc>
      </w:tr>
      <w:tr w14:paraId="773231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noWrap w:val="0"/>
            <w:vAlign w:val="center"/>
          </w:tcPr>
          <w:p w14:paraId="5CD00389">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生活垃圾</w:t>
            </w:r>
          </w:p>
        </w:tc>
        <w:tc>
          <w:tcPr>
            <w:tcW w:w="1964" w:type="dxa"/>
            <w:gridSpan w:val="2"/>
            <w:noWrap w:val="0"/>
            <w:vAlign w:val="center"/>
          </w:tcPr>
          <w:p w14:paraId="1188660A">
            <w:pPr>
              <w:pStyle w:val="49"/>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生活垃圾</w:t>
            </w:r>
          </w:p>
        </w:tc>
        <w:tc>
          <w:tcPr>
            <w:tcW w:w="1607" w:type="dxa"/>
            <w:noWrap w:val="0"/>
            <w:vAlign w:val="center"/>
          </w:tcPr>
          <w:p w14:paraId="7C860D32">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276" w:type="dxa"/>
            <w:noWrap w:val="0"/>
            <w:vAlign w:val="center"/>
          </w:tcPr>
          <w:p w14:paraId="7A9F8FFD">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701" w:type="dxa"/>
            <w:noWrap w:val="0"/>
            <w:vAlign w:val="center"/>
          </w:tcPr>
          <w:p w14:paraId="13238736">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559" w:type="dxa"/>
            <w:noWrap w:val="0"/>
            <w:vAlign w:val="center"/>
          </w:tcPr>
          <w:p w14:paraId="42E94C00">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1.8</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10CD9C29">
            <w:pPr>
              <w:snapToGrid w:val="0"/>
              <w:jc w:val="center"/>
              <w:rPr>
                <w:rFonts w:hint="default" w:ascii="Times New Roman" w:hAnsi="Times New Roman" w:eastAsia="宋体" w:cs="Times New Roman"/>
                <w:snapToGrid w:val="0"/>
                <w:color w:val="auto"/>
                <w:kern w:val="21"/>
                <w:szCs w:val="21"/>
                <w:highlight w:val="none"/>
              </w:rPr>
            </w:pPr>
            <w:r>
              <w:rPr>
                <w:rFonts w:hint="eastAsia"/>
                <w:snapToGrid w:val="0"/>
                <w:color w:val="auto"/>
                <w:kern w:val="21"/>
                <w:szCs w:val="21"/>
                <w:highlight w:val="none"/>
              </w:rPr>
              <w:t>0</w:t>
            </w:r>
          </w:p>
        </w:tc>
        <w:tc>
          <w:tcPr>
            <w:tcW w:w="1441" w:type="dxa"/>
            <w:noWrap w:val="0"/>
            <w:vAlign w:val="center"/>
          </w:tcPr>
          <w:p w14:paraId="107D1DF0">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1.8</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3ABB566B">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+1.8</w:t>
            </w:r>
            <w:r>
              <w:rPr>
                <w:rFonts w:hint="eastAsia" w:ascii="Times New Roman" w:hAnsi="Times New Roman" w:eastAsia="宋体" w:cs="Times New Roman"/>
                <w:snapToGrid w:val="0"/>
                <w:color w:val="auto"/>
                <w:kern w:val="21"/>
                <w:szCs w:val="21"/>
                <w:highlight w:val="none"/>
                <w:lang w:val="en-US" w:eastAsia="zh-CN"/>
              </w:rPr>
              <w:t>t/a</w:t>
            </w:r>
          </w:p>
        </w:tc>
      </w:tr>
      <w:tr w14:paraId="348CA6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restart"/>
            <w:noWrap w:val="0"/>
            <w:vAlign w:val="center"/>
          </w:tcPr>
          <w:p w14:paraId="6A8EFFEC">
            <w:pPr>
              <w:pStyle w:val="49"/>
              <w:spacing w:beforeLines="0" w:afterLines="0" w:line="240" w:lineRule="auto"/>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一般工业</w:t>
            </w:r>
          </w:p>
          <w:p w14:paraId="4AE860AF">
            <w:pPr>
              <w:pStyle w:val="49"/>
              <w:spacing w:beforeLines="0" w:afterLines="0" w:line="240" w:lineRule="auto"/>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固体废物</w:t>
            </w:r>
          </w:p>
        </w:tc>
        <w:tc>
          <w:tcPr>
            <w:tcW w:w="1964" w:type="dxa"/>
            <w:gridSpan w:val="2"/>
            <w:noWrap w:val="0"/>
            <w:vAlign w:val="center"/>
          </w:tcPr>
          <w:p w14:paraId="35DA7BCB">
            <w:pPr>
              <w:pStyle w:val="49"/>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炭化炉灰渣</w:t>
            </w:r>
          </w:p>
        </w:tc>
        <w:tc>
          <w:tcPr>
            <w:tcW w:w="1607" w:type="dxa"/>
            <w:shd w:val="clear" w:color="auto" w:fill="auto"/>
            <w:noWrap w:val="0"/>
            <w:vAlign w:val="center"/>
          </w:tcPr>
          <w:p w14:paraId="46BD929E">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276" w:type="dxa"/>
            <w:shd w:val="clear" w:color="auto" w:fill="auto"/>
            <w:noWrap w:val="0"/>
            <w:vAlign w:val="center"/>
          </w:tcPr>
          <w:p w14:paraId="4466D0D2">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701" w:type="dxa"/>
            <w:shd w:val="clear" w:color="auto" w:fill="auto"/>
            <w:noWrap w:val="0"/>
            <w:vAlign w:val="center"/>
          </w:tcPr>
          <w:p w14:paraId="78909D89">
            <w:pPr>
              <w:jc w:val="center"/>
              <w:rPr>
                <w:rFonts w:hint="default" w:ascii="Times New Roman" w:hAnsi="Times New Roman" w:eastAsia="宋体" w:cs="Times New Roman"/>
                <w:snapToGrid w:val="0"/>
                <w:color w:val="auto"/>
                <w:kern w:val="21"/>
                <w:sz w:val="21"/>
                <w:szCs w:val="21"/>
                <w:highlight w:val="none"/>
                <w:lang w:val="en-US" w:eastAsia="zh-CN" w:bidi="ar-SA"/>
              </w:rPr>
            </w:pPr>
            <w:r>
              <w:rPr>
                <w:snapToGrid w:val="0"/>
                <w:color w:val="auto"/>
                <w:kern w:val="21"/>
                <w:szCs w:val="21"/>
                <w:highlight w:val="none"/>
              </w:rPr>
              <w:t>0</w:t>
            </w:r>
          </w:p>
        </w:tc>
        <w:tc>
          <w:tcPr>
            <w:tcW w:w="1559" w:type="dxa"/>
            <w:noWrap w:val="0"/>
            <w:vAlign w:val="center"/>
          </w:tcPr>
          <w:p w14:paraId="4C9DC0DE">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color w:val="auto"/>
                <w:highlight w:val="none"/>
                <w:lang w:val="en-US" w:eastAsia="zh-CN"/>
              </w:rPr>
            </w:pPr>
            <w:r>
              <w:rPr>
                <w:rFonts w:hint="eastAsia"/>
                <w:color w:val="auto"/>
                <w:highlight w:val="none"/>
                <w:lang w:val="en-US" w:eastAsia="zh-CN"/>
              </w:rPr>
              <w:t>40t/a</w:t>
            </w:r>
          </w:p>
        </w:tc>
        <w:tc>
          <w:tcPr>
            <w:tcW w:w="1761" w:type="dxa"/>
            <w:noWrap w:val="0"/>
            <w:vAlign w:val="center"/>
          </w:tcPr>
          <w:p w14:paraId="179C4699">
            <w:pPr>
              <w:jc w:val="center"/>
              <w:rPr>
                <w:rFonts w:hint="eastAsia" w:eastAsia="宋体"/>
                <w:snapToGrid w:val="0"/>
                <w:color w:val="auto"/>
                <w:kern w:val="21"/>
                <w:szCs w:val="21"/>
                <w:highlight w:val="none"/>
                <w:lang w:val="en-US" w:eastAsia="zh-CN"/>
              </w:rPr>
            </w:pPr>
            <w:r>
              <w:rPr>
                <w:rFonts w:hint="eastAsia"/>
                <w:snapToGrid w:val="0"/>
                <w:color w:val="auto"/>
                <w:kern w:val="21"/>
                <w:szCs w:val="21"/>
                <w:highlight w:val="none"/>
                <w:lang w:val="en-US" w:eastAsia="zh-CN"/>
              </w:rPr>
              <w:t>0</w:t>
            </w:r>
          </w:p>
        </w:tc>
        <w:tc>
          <w:tcPr>
            <w:tcW w:w="1441" w:type="dxa"/>
            <w:noWrap w:val="0"/>
            <w:vAlign w:val="center"/>
          </w:tcPr>
          <w:p w14:paraId="03D206B0">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color w:val="auto"/>
                <w:highlight w:val="none"/>
                <w:lang w:val="en-US" w:eastAsia="zh-CN"/>
              </w:rPr>
            </w:pPr>
            <w:r>
              <w:rPr>
                <w:rFonts w:hint="eastAsia"/>
                <w:color w:val="auto"/>
                <w:highlight w:val="none"/>
                <w:lang w:val="en-US" w:eastAsia="zh-CN"/>
              </w:rPr>
              <w:t>40t/a</w:t>
            </w:r>
          </w:p>
        </w:tc>
        <w:tc>
          <w:tcPr>
            <w:tcW w:w="1344" w:type="dxa"/>
            <w:noWrap w:val="0"/>
            <w:vAlign w:val="center"/>
          </w:tcPr>
          <w:p w14:paraId="226F825A">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color w:val="auto"/>
                <w:highlight w:val="none"/>
                <w:lang w:val="en-US" w:eastAsia="zh-CN"/>
              </w:rPr>
            </w:pPr>
            <w:r>
              <w:rPr>
                <w:rFonts w:hint="eastAsia"/>
                <w:color w:val="auto"/>
                <w:highlight w:val="none"/>
                <w:lang w:val="en-US" w:eastAsia="zh-CN"/>
              </w:rPr>
              <w:t>+40t/a</w:t>
            </w:r>
          </w:p>
        </w:tc>
      </w:tr>
      <w:tr w14:paraId="53A4EA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7FFF21DB">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1964" w:type="dxa"/>
            <w:gridSpan w:val="2"/>
            <w:noWrap w:val="0"/>
            <w:vAlign w:val="center"/>
          </w:tcPr>
          <w:p w14:paraId="1FAE6C24">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收集粉尘</w:t>
            </w:r>
          </w:p>
        </w:tc>
        <w:tc>
          <w:tcPr>
            <w:tcW w:w="1607" w:type="dxa"/>
            <w:noWrap w:val="0"/>
            <w:vAlign w:val="center"/>
          </w:tcPr>
          <w:p w14:paraId="78936C4E">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276" w:type="dxa"/>
            <w:noWrap w:val="0"/>
            <w:vAlign w:val="center"/>
          </w:tcPr>
          <w:p w14:paraId="2CE436FA">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701" w:type="dxa"/>
            <w:noWrap w:val="0"/>
            <w:vAlign w:val="center"/>
          </w:tcPr>
          <w:p w14:paraId="43278C06">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559" w:type="dxa"/>
            <w:noWrap w:val="0"/>
            <w:vAlign w:val="center"/>
          </w:tcPr>
          <w:p w14:paraId="551BF613">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21.54</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0B7C453E">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441" w:type="dxa"/>
            <w:noWrap w:val="0"/>
            <w:vAlign w:val="center"/>
          </w:tcPr>
          <w:p w14:paraId="2A0AA9F3">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21.54</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218786E3">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21.54</w:t>
            </w:r>
            <w:r>
              <w:rPr>
                <w:rFonts w:hint="eastAsia" w:ascii="Times New Roman" w:hAnsi="Times New Roman" w:eastAsia="宋体" w:cs="Times New Roman"/>
                <w:snapToGrid w:val="0"/>
                <w:color w:val="auto"/>
                <w:kern w:val="21"/>
                <w:szCs w:val="21"/>
                <w:highlight w:val="none"/>
                <w:lang w:val="en-US" w:eastAsia="zh-CN"/>
              </w:rPr>
              <w:t>t/a</w:t>
            </w:r>
          </w:p>
        </w:tc>
      </w:tr>
      <w:tr w14:paraId="7874F7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42DFCCAA">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1964" w:type="dxa"/>
            <w:gridSpan w:val="2"/>
            <w:noWrap w:val="0"/>
            <w:vAlign w:val="center"/>
          </w:tcPr>
          <w:p w14:paraId="1075FFCF">
            <w:pPr>
              <w:pStyle w:val="49"/>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废包装材料</w:t>
            </w:r>
          </w:p>
        </w:tc>
        <w:tc>
          <w:tcPr>
            <w:tcW w:w="1607" w:type="dxa"/>
            <w:noWrap w:val="0"/>
            <w:vAlign w:val="center"/>
          </w:tcPr>
          <w:p w14:paraId="680050CF">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276" w:type="dxa"/>
            <w:noWrap w:val="0"/>
            <w:vAlign w:val="center"/>
          </w:tcPr>
          <w:p w14:paraId="0DF696FD">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701" w:type="dxa"/>
            <w:noWrap w:val="0"/>
            <w:vAlign w:val="center"/>
          </w:tcPr>
          <w:p w14:paraId="0188892B">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559" w:type="dxa"/>
            <w:noWrap w:val="0"/>
            <w:vAlign w:val="center"/>
          </w:tcPr>
          <w:p w14:paraId="7FCF9245">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0.5</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0EA53BC4">
            <w:pPr>
              <w:jc w:val="center"/>
              <w:rPr>
                <w:rFonts w:hint="default" w:ascii="Times New Roman" w:hAnsi="Times New Roman" w:eastAsia="宋体" w:cs="Times New Roman"/>
                <w:snapToGrid w:val="0"/>
                <w:color w:val="auto"/>
                <w:kern w:val="21"/>
                <w:szCs w:val="21"/>
                <w:highlight w:val="none"/>
              </w:rPr>
            </w:pPr>
            <w:r>
              <w:rPr>
                <w:snapToGrid w:val="0"/>
                <w:color w:val="auto"/>
                <w:kern w:val="21"/>
                <w:szCs w:val="21"/>
                <w:highlight w:val="none"/>
              </w:rPr>
              <w:t>0</w:t>
            </w:r>
          </w:p>
        </w:tc>
        <w:tc>
          <w:tcPr>
            <w:tcW w:w="1441" w:type="dxa"/>
            <w:noWrap w:val="0"/>
            <w:vAlign w:val="center"/>
          </w:tcPr>
          <w:p w14:paraId="205BFDC9">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rPr>
            </w:pPr>
            <w:r>
              <w:rPr>
                <w:rFonts w:hint="eastAsia"/>
                <w:color w:val="auto"/>
                <w:highlight w:val="none"/>
                <w:lang w:val="en-US" w:eastAsia="zh-CN"/>
              </w:rPr>
              <w:t>0.5</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07CA9EEB">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+0.5</w:t>
            </w:r>
            <w:r>
              <w:rPr>
                <w:rFonts w:hint="eastAsia" w:ascii="Times New Roman" w:hAnsi="Times New Roman" w:eastAsia="宋体" w:cs="Times New Roman"/>
                <w:snapToGrid w:val="0"/>
                <w:color w:val="auto"/>
                <w:kern w:val="21"/>
                <w:szCs w:val="21"/>
                <w:highlight w:val="none"/>
                <w:lang w:val="en-US" w:eastAsia="zh-CN"/>
              </w:rPr>
              <w:t>t/a</w:t>
            </w:r>
          </w:p>
        </w:tc>
      </w:tr>
      <w:tr w14:paraId="4B87B7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restart"/>
            <w:noWrap w:val="0"/>
            <w:vAlign w:val="center"/>
          </w:tcPr>
          <w:p w14:paraId="6558FACD">
            <w:pPr>
              <w:pStyle w:val="49"/>
              <w:spacing w:beforeLines="0" w:afterLines="0" w:line="240" w:lineRule="auto"/>
              <w:rPr>
                <w:rFonts w:hint="default" w:ascii="Times New Roman" w:hAnsi="Times New Roman" w:eastAsia="宋体" w:cs="Times New Roman"/>
                <w:snapToGrid w:val="0"/>
                <w:color w:val="auto"/>
                <w:kern w:val="21"/>
                <w:szCs w:val="21"/>
                <w:highlight w:val="none"/>
              </w:rPr>
            </w:pPr>
            <w:r>
              <w:rPr>
                <w:rFonts w:hint="default" w:ascii="Times New Roman" w:hAnsi="Times New Roman" w:eastAsia="宋体" w:cs="Times New Roman"/>
                <w:snapToGrid w:val="0"/>
                <w:color w:val="auto"/>
                <w:kern w:val="21"/>
                <w:szCs w:val="21"/>
                <w:highlight w:val="none"/>
              </w:rPr>
              <w:t>危险废物</w:t>
            </w:r>
          </w:p>
        </w:tc>
        <w:tc>
          <w:tcPr>
            <w:tcW w:w="1964" w:type="dxa"/>
            <w:gridSpan w:val="2"/>
            <w:noWrap w:val="0"/>
            <w:vAlign w:val="center"/>
          </w:tcPr>
          <w:p w14:paraId="3699AEFF">
            <w:pPr>
              <w:pStyle w:val="49"/>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废包装桶</w:t>
            </w:r>
          </w:p>
        </w:tc>
        <w:tc>
          <w:tcPr>
            <w:tcW w:w="1607" w:type="dxa"/>
            <w:noWrap w:val="0"/>
            <w:vAlign w:val="center"/>
          </w:tcPr>
          <w:p w14:paraId="714722E4">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276" w:type="dxa"/>
            <w:noWrap w:val="0"/>
            <w:vAlign w:val="center"/>
          </w:tcPr>
          <w:p w14:paraId="519ACC88">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701" w:type="dxa"/>
            <w:noWrap w:val="0"/>
            <w:vAlign w:val="center"/>
          </w:tcPr>
          <w:p w14:paraId="0FF66B84">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559" w:type="dxa"/>
            <w:noWrap w:val="0"/>
            <w:vAlign w:val="center"/>
          </w:tcPr>
          <w:p w14:paraId="280B9AC5">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olor w:val="auto"/>
                <w:highlight w:val="none"/>
                <w:lang w:val="en-US" w:eastAsia="zh-CN"/>
              </w:rPr>
              <w:t>0.01</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0D388CAD">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441" w:type="dxa"/>
            <w:noWrap w:val="0"/>
            <w:vAlign w:val="center"/>
          </w:tcPr>
          <w:p w14:paraId="2F46AC58">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rPr>
            </w:pPr>
            <w:r>
              <w:rPr>
                <w:rFonts w:hint="eastAsia"/>
                <w:color w:val="auto"/>
                <w:highlight w:val="none"/>
                <w:lang w:val="en-US" w:eastAsia="zh-CN"/>
              </w:rPr>
              <w:t>0.01</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6F82397F">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+0.01</w:t>
            </w:r>
            <w:r>
              <w:rPr>
                <w:rFonts w:hint="eastAsia" w:ascii="Times New Roman" w:hAnsi="Times New Roman" w:eastAsia="宋体" w:cs="Times New Roman"/>
                <w:snapToGrid w:val="0"/>
                <w:color w:val="auto"/>
                <w:kern w:val="21"/>
                <w:szCs w:val="21"/>
                <w:highlight w:val="none"/>
                <w:lang w:val="en-US" w:eastAsia="zh-CN"/>
              </w:rPr>
              <w:t>t/a</w:t>
            </w:r>
          </w:p>
        </w:tc>
      </w:tr>
      <w:tr w14:paraId="536584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340B0BDB">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1964" w:type="dxa"/>
            <w:gridSpan w:val="2"/>
            <w:noWrap w:val="0"/>
            <w:vAlign w:val="center"/>
          </w:tcPr>
          <w:p w14:paraId="3C437698">
            <w:pPr>
              <w:pStyle w:val="49"/>
              <w:spacing w:beforeLines="0" w:afterLines="0" w:line="240" w:lineRule="auto"/>
              <w:rPr>
                <w:rFonts w:hint="default" w:ascii="Times New Roman" w:hAnsi="Times New Roman" w:eastAsia="宋体" w:cs="Times New Roman"/>
                <w:snapToGrid w:val="0"/>
                <w:color w:val="auto"/>
                <w:kern w:val="21"/>
                <w:szCs w:val="21"/>
                <w:highlight w:val="none"/>
                <w:lang w:val="en-US" w:eastAsia="zh-CN"/>
              </w:rPr>
            </w:pPr>
            <w:r>
              <w:rPr>
                <w:rFonts w:hint="eastAsia" w:ascii="Times New Roman" w:hAnsi="Times New Roman" w:eastAsia="宋体" w:cs="Times New Roman"/>
                <w:snapToGrid w:val="0"/>
                <w:color w:val="auto"/>
                <w:kern w:val="21"/>
                <w:szCs w:val="21"/>
                <w:highlight w:val="none"/>
                <w:lang w:val="en-US" w:eastAsia="zh-CN"/>
              </w:rPr>
              <w:t>废机油</w:t>
            </w:r>
          </w:p>
        </w:tc>
        <w:tc>
          <w:tcPr>
            <w:tcW w:w="1607" w:type="dxa"/>
            <w:noWrap w:val="0"/>
            <w:vAlign w:val="center"/>
          </w:tcPr>
          <w:p w14:paraId="19450F6F">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276" w:type="dxa"/>
            <w:noWrap w:val="0"/>
            <w:vAlign w:val="center"/>
          </w:tcPr>
          <w:p w14:paraId="0389F0FE">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701" w:type="dxa"/>
            <w:noWrap w:val="0"/>
            <w:vAlign w:val="center"/>
          </w:tcPr>
          <w:p w14:paraId="21A949C4">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559" w:type="dxa"/>
            <w:noWrap w:val="0"/>
            <w:vAlign w:val="center"/>
          </w:tcPr>
          <w:p w14:paraId="1E834E28">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0.02</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4479CFDC">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441" w:type="dxa"/>
            <w:noWrap w:val="0"/>
            <w:vAlign w:val="center"/>
          </w:tcPr>
          <w:p w14:paraId="43FB31EF">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rPr>
            </w:pPr>
            <w:r>
              <w:rPr>
                <w:rFonts w:hint="eastAsia" w:cs="Times New Roman"/>
                <w:color w:val="auto"/>
                <w:kern w:val="0"/>
                <w:sz w:val="21"/>
                <w:szCs w:val="20"/>
                <w:highlight w:val="none"/>
                <w:lang w:val="en-US" w:eastAsia="zh-CN" w:bidi="ar-SA"/>
              </w:rPr>
              <w:t>0.02</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1B7F1320">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s="Times New Roman"/>
                <w:color w:val="auto"/>
                <w:kern w:val="0"/>
                <w:sz w:val="21"/>
                <w:szCs w:val="20"/>
                <w:highlight w:val="none"/>
                <w:lang w:val="en-US" w:eastAsia="zh-CN" w:bidi="ar-SA"/>
              </w:rPr>
              <w:t>+0.02</w:t>
            </w:r>
            <w:r>
              <w:rPr>
                <w:rFonts w:hint="eastAsia" w:ascii="Times New Roman" w:hAnsi="Times New Roman" w:eastAsia="宋体" w:cs="Times New Roman"/>
                <w:snapToGrid w:val="0"/>
                <w:color w:val="auto"/>
                <w:kern w:val="21"/>
                <w:szCs w:val="21"/>
                <w:highlight w:val="none"/>
                <w:lang w:val="en-US" w:eastAsia="zh-CN"/>
              </w:rPr>
              <w:t>t/a</w:t>
            </w:r>
          </w:p>
        </w:tc>
      </w:tr>
      <w:tr w14:paraId="5F83CC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35" w:type="dxa"/>
            <w:vMerge w:val="continue"/>
            <w:noWrap w:val="0"/>
            <w:vAlign w:val="center"/>
          </w:tcPr>
          <w:p w14:paraId="7A34221B">
            <w:pPr>
              <w:pStyle w:val="49"/>
              <w:spacing w:beforeLines="0" w:afterLines="0" w:line="240" w:lineRule="auto"/>
              <w:rPr>
                <w:rFonts w:hint="default" w:ascii="Times New Roman" w:hAnsi="Times New Roman" w:eastAsia="宋体" w:cs="Times New Roman"/>
                <w:snapToGrid w:val="0"/>
                <w:color w:val="auto"/>
                <w:kern w:val="21"/>
                <w:szCs w:val="21"/>
                <w:highlight w:val="none"/>
              </w:rPr>
            </w:pPr>
          </w:p>
        </w:tc>
        <w:tc>
          <w:tcPr>
            <w:tcW w:w="1964" w:type="dxa"/>
            <w:gridSpan w:val="2"/>
            <w:noWrap w:val="0"/>
            <w:vAlign w:val="center"/>
          </w:tcPr>
          <w:p w14:paraId="6F02E393">
            <w:pPr>
              <w:pStyle w:val="49"/>
              <w:spacing w:beforeLines="0" w:afterLines="0" w:line="240" w:lineRule="auto"/>
              <w:rPr>
                <w:rFonts w:hint="eastAsia" w:ascii="Times New Roman" w:hAnsi="Times New Roman" w:eastAsia="宋体" w:cs="Times New Roman"/>
                <w:snapToGrid w:val="0"/>
                <w:color w:val="auto"/>
                <w:kern w:val="21"/>
                <w:szCs w:val="21"/>
                <w:highlight w:val="none"/>
                <w:lang w:val="en-US" w:eastAsia="zh-CN"/>
              </w:rPr>
            </w:pPr>
            <w:r>
              <w:rPr>
                <w:rFonts w:hint="eastAsia"/>
                <w:color w:val="auto"/>
                <w:highlight w:val="none"/>
                <w:lang w:val="en-US" w:eastAsia="zh-CN"/>
              </w:rPr>
              <w:t>废含油纱布及手套</w:t>
            </w:r>
          </w:p>
        </w:tc>
        <w:tc>
          <w:tcPr>
            <w:tcW w:w="1607" w:type="dxa"/>
            <w:noWrap w:val="0"/>
            <w:vAlign w:val="center"/>
          </w:tcPr>
          <w:p w14:paraId="4F23706B">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276" w:type="dxa"/>
            <w:noWrap w:val="0"/>
            <w:vAlign w:val="center"/>
          </w:tcPr>
          <w:p w14:paraId="78959136">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701" w:type="dxa"/>
            <w:noWrap w:val="0"/>
            <w:vAlign w:val="center"/>
          </w:tcPr>
          <w:p w14:paraId="7A7D7C5A">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559" w:type="dxa"/>
            <w:noWrap w:val="0"/>
            <w:vAlign w:val="center"/>
          </w:tcPr>
          <w:p w14:paraId="36362DF6">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color w:val="auto"/>
                <w:kern w:val="0"/>
                <w:sz w:val="21"/>
                <w:szCs w:val="20"/>
                <w:highlight w:val="none"/>
                <w:lang w:val="en-US" w:eastAsia="zh-CN" w:bidi="ar-SA"/>
              </w:rPr>
            </w:pPr>
            <w:r>
              <w:rPr>
                <w:rFonts w:hint="eastAsia" w:cs="Times New Roman"/>
                <w:color w:val="auto"/>
                <w:kern w:val="0"/>
                <w:sz w:val="21"/>
                <w:szCs w:val="20"/>
                <w:highlight w:val="none"/>
                <w:lang w:val="en-US" w:eastAsia="zh-CN" w:bidi="ar-SA"/>
              </w:rPr>
              <w:t>0.01</w:t>
            </w:r>
            <w:r>
              <w:rPr>
                <w:rFonts w:hint="eastAsia" w:ascii="Times New Roman" w:hAnsi="Times New Roman" w:eastAsia="宋体" w:cs="Times New Roman"/>
                <w:snapToGrid w:val="0"/>
                <w:color w:val="auto"/>
                <w:kern w:val="21"/>
                <w:szCs w:val="21"/>
                <w:highlight w:val="none"/>
                <w:lang w:val="en-US" w:eastAsia="zh-CN"/>
              </w:rPr>
              <w:t>t/a</w:t>
            </w:r>
          </w:p>
        </w:tc>
        <w:tc>
          <w:tcPr>
            <w:tcW w:w="1761" w:type="dxa"/>
            <w:noWrap w:val="0"/>
            <w:vAlign w:val="center"/>
          </w:tcPr>
          <w:p w14:paraId="434989F8">
            <w:pPr>
              <w:jc w:val="center"/>
              <w:rPr>
                <w:rFonts w:hint="default" w:ascii="Times New Roman" w:hAnsi="Times New Roman" w:eastAsia="宋体" w:cs="Times New Roman"/>
                <w:snapToGrid w:val="0"/>
                <w:color w:val="auto"/>
                <w:kern w:val="21"/>
                <w:szCs w:val="21"/>
                <w:highlight w:val="none"/>
                <w:lang w:val="en-US"/>
              </w:rPr>
            </w:pPr>
            <w:r>
              <w:rPr>
                <w:snapToGrid w:val="0"/>
                <w:color w:val="auto"/>
                <w:kern w:val="21"/>
                <w:szCs w:val="21"/>
                <w:highlight w:val="none"/>
              </w:rPr>
              <w:t>0</w:t>
            </w:r>
          </w:p>
        </w:tc>
        <w:tc>
          <w:tcPr>
            <w:tcW w:w="1441" w:type="dxa"/>
            <w:noWrap w:val="0"/>
            <w:vAlign w:val="center"/>
          </w:tcPr>
          <w:p w14:paraId="164EA00B">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rPr>
            </w:pPr>
            <w:r>
              <w:rPr>
                <w:rFonts w:hint="eastAsia" w:cs="Times New Roman"/>
                <w:color w:val="auto"/>
                <w:kern w:val="0"/>
                <w:sz w:val="21"/>
                <w:szCs w:val="20"/>
                <w:highlight w:val="none"/>
                <w:lang w:val="en-US" w:eastAsia="zh-CN" w:bidi="ar-SA"/>
              </w:rPr>
              <w:t>0.01</w:t>
            </w:r>
            <w:r>
              <w:rPr>
                <w:rFonts w:hint="eastAsia" w:ascii="Times New Roman" w:hAnsi="Times New Roman" w:eastAsia="宋体" w:cs="Times New Roman"/>
                <w:snapToGrid w:val="0"/>
                <w:color w:val="auto"/>
                <w:kern w:val="21"/>
                <w:szCs w:val="21"/>
                <w:highlight w:val="none"/>
                <w:lang w:val="en-US" w:eastAsia="zh-CN"/>
              </w:rPr>
              <w:t>t/a</w:t>
            </w:r>
          </w:p>
        </w:tc>
        <w:tc>
          <w:tcPr>
            <w:tcW w:w="1344" w:type="dxa"/>
            <w:noWrap w:val="0"/>
            <w:vAlign w:val="center"/>
          </w:tcPr>
          <w:p w14:paraId="6A68AAA6">
            <w:pPr>
              <w:pStyle w:val="49"/>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eastAsia="宋体" w:cs="Times New Roman"/>
                <w:snapToGrid w:val="0"/>
                <w:color w:val="auto"/>
                <w:kern w:val="21"/>
                <w:szCs w:val="21"/>
                <w:highlight w:val="none"/>
                <w:lang w:val="en-US" w:eastAsia="zh-CN"/>
              </w:rPr>
            </w:pPr>
            <w:r>
              <w:rPr>
                <w:rFonts w:hint="eastAsia" w:cs="Times New Roman"/>
                <w:color w:val="auto"/>
                <w:kern w:val="0"/>
                <w:sz w:val="21"/>
                <w:szCs w:val="20"/>
                <w:highlight w:val="none"/>
                <w:lang w:val="en-US" w:eastAsia="zh-CN" w:bidi="ar-SA"/>
              </w:rPr>
              <w:t>0.01</w:t>
            </w:r>
            <w:r>
              <w:rPr>
                <w:rFonts w:hint="eastAsia" w:ascii="Times New Roman" w:hAnsi="Times New Roman" w:eastAsia="宋体" w:cs="Times New Roman"/>
                <w:snapToGrid w:val="0"/>
                <w:color w:val="auto"/>
                <w:kern w:val="21"/>
                <w:szCs w:val="21"/>
                <w:highlight w:val="none"/>
                <w:lang w:val="en-US" w:eastAsia="zh-CN"/>
              </w:rPr>
              <w:t>t/a</w:t>
            </w:r>
          </w:p>
        </w:tc>
      </w:tr>
    </w:tbl>
    <w:p w14:paraId="1651FF67">
      <w:pPr>
        <w:pStyle w:val="49"/>
        <w:spacing w:before="192" w:beforeLines="80" w:after="24"/>
        <w:jc w:val="left"/>
        <w:rPr>
          <w:rFonts w:ascii="宋体" w:hAnsi="宋体" w:eastAsia="黑体"/>
          <w:color w:val="auto"/>
          <w:highlight w:val="none"/>
        </w:r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sectPr>
      <w:footerReference r:id="rId9" w:type="default"/>
      <w:pgSz w:w="16838" w:h="11906" w:orient="landscape"/>
      <w:pgMar w:top="1531" w:right="1701" w:bottom="1531" w:left="1701" w:header="851" w:footer="851" w:gutter="0"/>
      <w:pgNumType w:fmt="decimal"/>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s>
  <wne:acds>
    <wne:acd wne:argValue="AgBoiDxo" wne:acdName="acd0" wne:fciIndexBasedOn="0065"/>
    <wne:acd wne:argValue="AQAAAEIA" wne:acdName="acd1" wne:fciIndexBasedOn="0065"/>
    <wne:acd wne:argValue="AgBoiDxoB2iYmA==" wne:acdName="acd2"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8851DA-1EF8-4F31-A675-712E1E7DD0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embedRegular r:id="rId2" w:fontKey="{6BD2B1A8-3EF2-43F3-B810-C169C5558D2D}"/>
  </w:font>
  <w:font w:name="方正小标宋_GBK">
    <w:altName w:val="微软雅黑"/>
    <w:panose1 w:val="02000000000000000000"/>
    <w:charset w:val="86"/>
    <w:family w:val="script"/>
    <w:pitch w:val="default"/>
    <w:sig w:usb0="00000000" w:usb1="00000000" w:usb2="00082016" w:usb3="00000000" w:csb0="00040001" w:csb1="00000000"/>
    <w:embedRegular r:id="rId3" w:fontKey="{BF6BC083-26B6-4AD0-97DA-CE46871FFB04}"/>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embedRegular r:id="rId4" w:fontKey="{6342E5A8-E3F2-4EC6-BFF8-DE7CA4FE01ED}"/>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5" w:fontKey="{50E0A830-AB43-428E-A35A-A17AC0CE9315}"/>
  </w:font>
  <w:font w:name="仿宋">
    <w:panose1 w:val="02010609060101010101"/>
    <w:charset w:val="86"/>
    <w:family w:val="auto"/>
    <w:pitch w:val="default"/>
    <w:sig w:usb0="800002BF" w:usb1="38CF7CFA" w:usb2="00000016" w:usb3="00000000" w:csb0="00040001" w:csb1="00000000"/>
    <w:embedRegular r:id="rId6" w:fontKey="{B8802A30-258F-4B36-9BB1-8CE9D682DC93}"/>
  </w:font>
  <w:font w:name="Wingdings 2">
    <w:panose1 w:val="05020102010507070707"/>
    <w:charset w:val="02"/>
    <w:family w:val="auto"/>
    <w:pitch w:val="default"/>
    <w:sig w:usb0="00000000" w:usb1="00000000" w:usb2="00000000" w:usb3="00000000" w:csb0="80000000" w:csb1="00000000"/>
    <w:embedRegular r:id="rId7" w:fontKey="{6117877F-A57F-48A6-A389-0DCC693EB1DA}"/>
  </w:font>
  <w:font w:name="MS Mincho">
    <w:altName w:val="Yu Gothic UI"/>
    <w:panose1 w:val="02020609040205080304"/>
    <w:charset w:val="80"/>
    <w:family w:val="modern"/>
    <w:pitch w:val="default"/>
    <w:sig w:usb0="00000000" w:usb1="00000000" w:usb2="00000010" w:usb3="00000000" w:csb0="0002009F" w:csb1="00000000"/>
    <w:embedRegular r:id="rId8" w:fontKey="{8FFDEA8C-6603-41B7-B24F-4AD465080711}"/>
  </w:font>
  <w:font w:name="Yu Gothic UI">
    <w:panose1 w:val="020B0500000000000000"/>
    <w:charset w:val="80"/>
    <w:family w:val="auto"/>
    <w:pitch w:val="default"/>
    <w:sig w:usb0="E00002FF" w:usb1="2AC7FDFF" w:usb2="00000016" w:usb3="00000000" w:csb0="2002009F" w:csb1="00000000"/>
  </w:font>
  <w:font w:name="Cambria Math">
    <w:panose1 w:val="02040503050406030204"/>
    <w:charset w:val="00"/>
    <w:family w:val="auto"/>
    <w:pitch w:val="default"/>
    <w:sig w:usb0="E00006FF" w:usb1="420024FF" w:usb2="02000000" w:usb3="00000000" w:csb0="2000019F" w:csb1="00000000"/>
    <w:embedRegular r:id="rId9" w:fontKey="{C8A3B0C1-720C-4F32-A1A4-0D8D321FCF98}"/>
  </w:font>
  <w:font w:name="Tahoma">
    <w:panose1 w:val="020B0604030504040204"/>
    <w:charset w:val="00"/>
    <w:family w:val="auto"/>
    <w:pitch w:val="default"/>
    <w:sig w:usb0="E1002EFF" w:usb1="C000605B" w:usb2="00000029" w:usb3="00000000" w:csb0="200101FF" w:csb1="2028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08B5D">
    <w:pPr>
      <w:pStyle w:val="18"/>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6A60B">
    <w:pPr>
      <w:pStyle w:val="18"/>
      <w:framePr w:wrap="around" w:vAnchor="text" w:hAnchor="margin" w:xAlign="center" w:y="1"/>
      <w:rPr>
        <w:rStyle w:val="30"/>
      </w:rPr>
    </w:pPr>
    <w:r>
      <w:fldChar w:fldCharType="begin"/>
    </w:r>
    <w:r>
      <w:rPr>
        <w:rStyle w:val="30"/>
      </w:rPr>
      <w:instrText xml:space="preserve">PAGE  </w:instrText>
    </w:r>
    <w:r>
      <w:fldChar w:fldCharType="end"/>
    </w:r>
  </w:p>
  <w:p w14:paraId="451D2C84">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1B092">
    <w:pPr>
      <w:pStyle w:val="18"/>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0D0C">
    <w:pPr>
      <w:pStyle w:val="18"/>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0B4E2E">
                          <w:pPr>
                            <w:pStyle w:val="18"/>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zxp+w4QEAAMIDAAAOAAAA&#10;AAAAAAEAIAAAAB4BAABkcnMvZTJvRG9jLnhtbFBLBQYAAAAABgAGAFkBAABxBQAAAAA=&#10;">
              <v:fill on="f" focussize="0,0"/>
              <v:stroke on="f"/>
              <v:imagedata o:title=""/>
              <o:lock v:ext="edit" aspectratio="f"/>
              <v:textbox inset="0mm,0mm,0mm,0mm" style="mso-fit-shape-to-text:t;">
                <w:txbxContent>
                  <w:p w14:paraId="5C0B4E2E">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FFEC">
    <w:pPr>
      <w:pStyle w:val="18"/>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62A9A1">
                          <w:pPr>
                            <w:pStyle w:val="18"/>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3Cw+zgAQAAwQMAAA4AAAAA&#10;AAAAAQAgAAAAHgEAAGRycy9lMm9Eb2MueG1sUEsFBgAAAAAGAAYAWQEAAHAFAAAAAA==&#10;">
              <v:fill on="f" focussize="0,0"/>
              <v:stroke on="f"/>
              <v:imagedata o:title=""/>
              <o:lock v:ext="edit" aspectratio="f"/>
              <v:textbox inset="0mm,0mm,0mm,0mm" style="mso-fit-shape-to-text:t;">
                <w:txbxContent>
                  <w:p w14:paraId="3162A9A1">
                    <w:pPr>
                      <w:pStyle w:val="1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2EBBF">
    <w:pPr>
      <w:pStyle w:val="18"/>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69FF678">
                          <w:pPr>
                            <w:pStyle w:val="18"/>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4IpgX4QEAAMEDAAAOAAAA&#10;AAAAAAEAIAAAAB4BAABkcnMvZTJvRG9jLnhtbFBLBQYAAAAABgAGAFkBAABxBQAAAAA=&#10;">
              <v:fill on="f" focussize="0,0"/>
              <v:stroke on="f"/>
              <v:imagedata o:title=""/>
              <o:lock v:ext="edit" aspectratio="f"/>
              <v:textbox inset="0mm,0mm,0mm,0mm" style="mso-fit-shape-to-text:t;">
                <w:txbxContent>
                  <w:p w14:paraId="769FF678">
                    <w:pPr>
                      <w:pStyle w:val="18"/>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1FCD3">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F5373E"/>
    <w:multiLevelType w:val="singleLevel"/>
    <w:tmpl w:val="85F5373E"/>
    <w:lvl w:ilvl="0" w:tentative="0">
      <w:start w:val="2"/>
      <w:numFmt w:val="decimal"/>
      <w:suff w:val="nothing"/>
      <w:lvlText w:val="%1）"/>
      <w:lvlJc w:val="left"/>
    </w:lvl>
  </w:abstractNum>
  <w:abstractNum w:abstractNumId="1">
    <w:nsid w:val="9915A1B1"/>
    <w:multiLevelType w:val="singleLevel"/>
    <w:tmpl w:val="9915A1B1"/>
    <w:lvl w:ilvl="0" w:tentative="0">
      <w:start w:val="1"/>
      <w:numFmt w:val="decimal"/>
      <w:suff w:val="nothing"/>
      <w:lvlText w:val="（%1）"/>
      <w:lvlJc w:val="left"/>
    </w:lvl>
  </w:abstractNum>
  <w:abstractNum w:abstractNumId="2">
    <w:nsid w:val="A4D21518"/>
    <w:multiLevelType w:val="singleLevel"/>
    <w:tmpl w:val="A4D21518"/>
    <w:lvl w:ilvl="0" w:tentative="0">
      <w:start w:val="1"/>
      <w:numFmt w:val="decimal"/>
      <w:suff w:val="nothing"/>
      <w:lvlText w:val="（%1）"/>
      <w:lvlJc w:val="left"/>
    </w:lvl>
  </w:abstractNum>
  <w:abstractNum w:abstractNumId="3">
    <w:nsid w:val="AF3AD9FC"/>
    <w:multiLevelType w:val="singleLevel"/>
    <w:tmpl w:val="AF3AD9FC"/>
    <w:lvl w:ilvl="0" w:tentative="0">
      <w:start w:val="1"/>
      <w:numFmt w:val="lowerLetter"/>
      <w:suff w:val="nothing"/>
      <w:lvlText w:val="%1）"/>
      <w:lvlJc w:val="left"/>
    </w:lvl>
  </w:abstractNum>
  <w:abstractNum w:abstractNumId="4">
    <w:nsid w:val="AFADBDB7"/>
    <w:multiLevelType w:val="singleLevel"/>
    <w:tmpl w:val="AFADBDB7"/>
    <w:lvl w:ilvl="0" w:tentative="0">
      <w:start w:val="1"/>
      <w:numFmt w:val="decimal"/>
      <w:suff w:val="nothing"/>
      <w:lvlText w:val="（%1）"/>
      <w:lvlJc w:val="left"/>
    </w:lvl>
  </w:abstractNum>
  <w:abstractNum w:abstractNumId="5">
    <w:nsid w:val="B40A12A7"/>
    <w:multiLevelType w:val="singleLevel"/>
    <w:tmpl w:val="B40A12A7"/>
    <w:lvl w:ilvl="0" w:tentative="0">
      <w:start w:val="1"/>
      <w:numFmt w:val="decimal"/>
      <w:suff w:val="nothing"/>
      <w:lvlText w:val="%1、"/>
      <w:lvlJc w:val="left"/>
    </w:lvl>
  </w:abstractNum>
  <w:abstractNum w:abstractNumId="6">
    <w:nsid w:val="BBD7CC02"/>
    <w:multiLevelType w:val="singleLevel"/>
    <w:tmpl w:val="BBD7CC02"/>
    <w:lvl w:ilvl="0" w:tentative="0">
      <w:start w:val="1"/>
      <w:numFmt w:val="decimal"/>
      <w:suff w:val="nothing"/>
      <w:lvlText w:val="（%1）"/>
      <w:lvlJc w:val="left"/>
    </w:lvl>
  </w:abstractNum>
  <w:abstractNum w:abstractNumId="7">
    <w:nsid w:val="BC0E27D8"/>
    <w:multiLevelType w:val="singleLevel"/>
    <w:tmpl w:val="BC0E27D8"/>
    <w:lvl w:ilvl="0" w:tentative="0">
      <w:start w:val="1"/>
      <w:numFmt w:val="decimal"/>
      <w:suff w:val="nothing"/>
      <w:lvlText w:val="%1、"/>
      <w:lvlJc w:val="left"/>
      <w:pPr>
        <w:ind w:left="120"/>
      </w:pPr>
      <w:rPr>
        <w:rFonts w:hint="default"/>
        <w:b/>
        <w:bCs/>
      </w:rPr>
    </w:lvl>
  </w:abstractNum>
  <w:abstractNum w:abstractNumId="8">
    <w:nsid w:val="BCBA88A3"/>
    <w:multiLevelType w:val="singleLevel"/>
    <w:tmpl w:val="BCBA88A3"/>
    <w:lvl w:ilvl="0" w:tentative="0">
      <w:start w:val="1"/>
      <w:numFmt w:val="decimal"/>
      <w:suff w:val="nothing"/>
      <w:lvlText w:val="（%1）"/>
      <w:lvlJc w:val="left"/>
    </w:lvl>
  </w:abstractNum>
  <w:abstractNum w:abstractNumId="9">
    <w:nsid w:val="CB00200A"/>
    <w:multiLevelType w:val="singleLevel"/>
    <w:tmpl w:val="CB00200A"/>
    <w:lvl w:ilvl="0" w:tentative="0">
      <w:start w:val="1"/>
      <w:numFmt w:val="lowerLetter"/>
      <w:suff w:val="nothing"/>
      <w:lvlText w:val="%1）"/>
      <w:lvlJc w:val="left"/>
    </w:lvl>
  </w:abstractNum>
  <w:abstractNum w:abstractNumId="10">
    <w:nsid w:val="F24C0A90"/>
    <w:multiLevelType w:val="singleLevel"/>
    <w:tmpl w:val="F24C0A90"/>
    <w:lvl w:ilvl="0" w:tentative="0">
      <w:start w:val="1"/>
      <w:numFmt w:val="decimal"/>
      <w:suff w:val="nothing"/>
      <w:lvlText w:val="（%1）"/>
      <w:lvlJc w:val="left"/>
    </w:lvl>
  </w:abstractNum>
  <w:abstractNum w:abstractNumId="11">
    <w:nsid w:val="046A68A2"/>
    <w:multiLevelType w:val="singleLevel"/>
    <w:tmpl w:val="046A68A2"/>
    <w:lvl w:ilvl="0" w:tentative="0">
      <w:start w:val="1"/>
      <w:numFmt w:val="decimal"/>
      <w:suff w:val="nothing"/>
      <w:lvlText w:val="%1、"/>
      <w:lvlJc w:val="left"/>
    </w:lvl>
  </w:abstractNum>
  <w:abstractNum w:abstractNumId="12">
    <w:nsid w:val="1B1E4648"/>
    <w:multiLevelType w:val="singleLevel"/>
    <w:tmpl w:val="1B1E4648"/>
    <w:lvl w:ilvl="0" w:tentative="0">
      <w:start w:val="1"/>
      <w:numFmt w:val="decimal"/>
      <w:suff w:val="nothing"/>
      <w:lvlText w:val="%1、"/>
      <w:lvlJc w:val="left"/>
    </w:lvl>
  </w:abstractNum>
  <w:abstractNum w:abstractNumId="13">
    <w:nsid w:val="22AA2320"/>
    <w:multiLevelType w:val="singleLevel"/>
    <w:tmpl w:val="22AA2320"/>
    <w:lvl w:ilvl="0" w:tentative="0">
      <w:start w:val="1"/>
      <w:numFmt w:val="decimal"/>
      <w:suff w:val="nothing"/>
      <w:lvlText w:val="（%1）"/>
      <w:lvlJc w:val="left"/>
    </w:lvl>
  </w:abstractNum>
  <w:abstractNum w:abstractNumId="14">
    <w:nsid w:val="2AED9D53"/>
    <w:multiLevelType w:val="singleLevel"/>
    <w:tmpl w:val="2AED9D53"/>
    <w:lvl w:ilvl="0" w:tentative="0">
      <w:start w:val="1"/>
      <w:numFmt w:val="decimal"/>
      <w:suff w:val="nothing"/>
      <w:lvlText w:val="%1）"/>
      <w:lvlJc w:val="left"/>
    </w:lvl>
  </w:abstractNum>
  <w:abstractNum w:abstractNumId="15">
    <w:nsid w:val="43E565E3"/>
    <w:multiLevelType w:val="singleLevel"/>
    <w:tmpl w:val="43E565E3"/>
    <w:lvl w:ilvl="0" w:tentative="0">
      <w:start w:val="2"/>
      <w:numFmt w:val="decimal"/>
      <w:suff w:val="nothing"/>
      <w:lvlText w:val="%1、"/>
      <w:lvlJc w:val="left"/>
    </w:lvl>
  </w:abstractNum>
  <w:abstractNum w:abstractNumId="16">
    <w:nsid w:val="6EFF850E"/>
    <w:multiLevelType w:val="singleLevel"/>
    <w:tmpl w:val="6EFF850E"/>
    <w:lvl w:ilvl="0" w:tentative="0">
      <w:start w:val="1"/>
      <w:numFmt w:val="decimal"/>
      <w:suff w:val="nothing"/>
      <w:lvlText w:val="%1、"/>
      <w:lvlJc w:val="left"/>
      <w:rPr>
        <w:rFonts w:hint="default"/>
        <w:b/>
        <w:bCs/>
      </w:rPr>
    </w:lvl>
  </w:abstractNum>
  <w:num w:numId="1">
    <w:abstractNumId w:val="7"/>
  </w:num>
  <w:num w:numId="2">
    <w:abstractNumId w:val="16"/>
  </w:num>
  <w:num w:numId="3">
    <w:abstractNumId w:val="2"/>
  </w:num>
  <w:num w:numId="4">
    <w:abstractNumId w:val="1"/>
  </w:num>
  <w:num w:numId="5">
    <w:abstractNumId w:val="13"/>
  </w:num>
  <w:num w:numId="6">
    <w:abstractNumId w:val="12"/>
  </w:num>
  <w:num w:numId="7">
    <w:abstractNumId w:val="8"/>
  </w:num>
  <w:num w:numId="8">
    <w:abstractNumId w:val="5"/>
  </w:num>
  <w:num w:numId="9">
    <w:abstractNumId w:val="0"/>
  </w:num>
  <w:num w:numId="10">
    <w:abstractNumId w:val="14"/>
  </w:num>
  <w:num w:numId="11">
    <w:abstractNumId w:val="15"/>
  </w:num>
  <w:num w:numId="12">
    <w:abstractNumId w:val="10"/>
  </w:num>
  <w:num w:numId="13">
    <w:abstractNumId w:val="4"/>
  </w:num>
  <w:num w:numId="14">
    <w:abstractNumId w:val="3"/>
  </w:num>
  <w:num w:numId="15">
    <w:abstractNumId w:val="9"/>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jMTcxMTNjZDI1MWI3MzQ3NzQ5ZjFmZTcwMjcxMTEifQ=="/>
    <w:docVar w:name="KSO_WPS_MARK_KEY" w:val="ab2bde49-7aad-4576-9279-1e9eb4b108b7"/>
  </w:docVars>
  <w:rsids>
    <w:rsidRoot w:val="00172A2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487A"/>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2397"/>
    <w:rsid w:val="00FA406A"/>
    <w:rsid w:val="00FB503A"/>
    <w:rsid w:val="00FB516C"/>
    <w:rsid w:val="00FD0236"/>
    <w:rsid w:val="00FD18F4"/>
    <w:rsid w:val="00FD54DB"/>
    <w:rsid w:val="00FD619F"/>
    <w:rsid w:val="01290F7E"/>
    <w:rsid w:val="015D1E09"/>
    <w:rsid w:val="01E90844"/>
    <w:rsid w:val="02697903"/>
    <w:rsid w:val="02BE17A3"/>
    <w:rsid w:val="02C45EF8"/>
    <w:rsid w:val="02F96569"/>
    <w:rsid w:val="031645FE"/>
    <w:rsid w:val="03D251BA"/>
    <w:rsid w:val="03EA7B21"/>
    <w:rsid w:val="040A30FF"/>
    <w:rsid w:val="04B3316F"/>
    <w:rsid w:val="053F1195"/>
    <w:rsid w:val="057D6432"/>
    <w:rsid w:val="05D6313C"/>
    <w:rsid w:val="05F83EAE"/>
    <w:rsid w:val="05FA4E5A"/>
    <w:rsid w:val="063E7D85"/>
    <w:rsid w:val="06FF01C2"/>
    <w:rsid w:val="07293586"/>
    <w:rsid w:val="07295285"/>
    <w:rsid w:val="074C0FDE"/>
    <w:rsid w:val="076018B9"/>
    <w:rsid w:val="07636392"/>
    <w:rsid w:val="076E3F95"/>
    <w:rsid w:val="07770C56"/>
    <w:rsid w:val="078B2285"/>
    <w:rsid w:val="07D21D7A"/>
    <w:rsid w:val="07D86871"/>
    <w:rsid w:val="08031479"/>
    <w:rsid w:val="088244D8"/>
    <w:rsid w:val="08A754C8"/>
    <w:rsid w:val="092217DD"/>
    <w:rsid w:val="093A7294"/>
    <w:rsid w:val="09CA4285"/>
    <w:rsid w:val="0A263993"/>
    <w:rsid w:val="0A2D3AC2"/>
    <w:rsid w:val="0A5F252F"/>
    <w:rsid w:val="0A6D3980"/>
    <w:rsid w:val="0A961D4A"/>
    <w:rsid w:val="0AA755DF"/>
    <w:rsid w:val="0AFC5FD1"/>
    <w:rsid w:val="0B120D44"/>
    <w:rsid w:val="0B997AA9"/>
    <w:rsid w:val="0BB1074E"/>
    <w:rsid w:val="0BD27BF6"/>
    <w:rsid w:val="0C3B3C7D"/>
    <w:rsid w:val="0C3F4DFD"/>
    <w:rsid w:val="0C5A38C9"/>
    <w:rsid w:val="0C756763"/>
    <w:rsid w:val="0C895E65"/>
    <w:rsid w:val="0C9B5A43"/>
    <w:rsid w:val="0CAB2EAE"/>
    <w:rsid w:val="0D0E1E5C"/>
    <w:rsid w:val="0D621C7D"/>
    <w:rsid w:val="0D6D431F"/>
    <w:rsid w:val="0DB638CD"/>
    <w:rsid w:val="0E73034D"/>
    <w:rsid w:val="0F13775A"/>
    <w:rsid w:val="0F3366E4"/>
    <w:rsid w:val="0F453596"/>
    <w:rsid w:val="0F5F45FE"/>
    <w:rsid w:val="0F727DD1"/>
    <w:rsid w:val="0F9A112B"/>
    <w:rsid w:val="10013B1F"/>
    <w:rsid w:val="106D2F64"/>
    <w:rsid w:val="108F5761"/>
    <w:rsid w:val="10B63710"/>
    <w:rsid w:val="10F10820"/>
    <w:rsid w:val="111C2F7A"/>
    <w:rsid w:val="114C2AAF"/>
    <w:rsid w:val="11665CA1"/>
    <w:rsid w:val="12110C0F"/>
    <w:rsid w:val="127D23EA"/>
    <w:rsid w:val="12917554"/>
    <w:rsid w:val="12AA12A6"/>
    <w:rsid w:val="12EB5EB4"/>
    <w:rsid w:val="13541673"/>
    <w:rsid w:val="138F0B1F"/>
    <w:rsid w:val="13951726"/>
    <w:rsid w:val="13D308C5"/>
    <w:rsid w:val="13E34020"/>
    <w:rsid w:val="14396509"/>
    <w:rsid w:val="14575B23"/>
    <w:rsid w:val="14B16EE0"/>
    <w:rsid w:val="14DD2C3C"/>
    <w:rsid w:val="14F140E2"/>
    <w:rsid w:val="152F765A"/>
    <w:rsid w:val="15492C92"/>
    <w:rsid w:val="155D0ED5"/>
    <w:rsid w:val="15F9112A"/>
    <w:rsid w:val="16087E1D"/>
    <w:rsid w:val="161D0A9C"/>
    <w:rsid w:val="162F0991"/>
    <w:rsid w:val="16B96A86"/>
    <w:rsid w:val="1716278E"/>
    <w:rsid w:val="17650515"/>
    <w:rsid w:val="17701D14"/>
    <w:rsid w:val="17735226"/>
    <w:rsid w:val="1787405D"/>
    <w:rsid w:val="17DB20C9"/>
    <w:rsid w:val="18090EA0"/>
    <w:rsid w:val="189F624C"/>
    <w:rsid w:val="18BE307F"/>
    <w:rsid w:val="19286B2A"/>
    <w:rsid w:val="19A03A86"/>
    <w:rsid w:val="1A1C66C0"/>
    <w:rsid w:val="1A252636"/>
    <w:rsid w:val="1A42393B"/>
    <w:rsid w:val="1AAD45DE"/>
    <w:rsid w:val="1AAE5D2F"/>
    <w:rsid w:val="1B046F80"/>
    <w:rsid w:val="1B3267B5"/>
    <w:rsid w:val="1B40161D"/>
    <w:rsid w:val="1B441859"/>
    <w:rsid w:val="1B4A29CD"/>
    <w:rsid w:val="1B6606B1"/>
    <w:rsid w:val="1BAF3A87"/>
    <w:rsid w:val="1C1055E6"/>
    <w:rsid w:val="1C5E7925"/>
    <w:rsid w:val="1CF62A28"/>
    <w:rsid w:val="1CFD070F"/>
    <w:rsid w:val="1D5F6196"/>
    <w:rsid w:val="1D6132A5"/>
    <w:rsid w:val="1D8E56D5"/>
    <w:rsid w:val="1E7A43DA"/>
    <w:rsid w:val="1EFD0012"/>
    <w:rsid w:val="1F524E61"/>
    <w:rsid w:val="1F5317CD"/>
    <w:rsid w:val="1FBC6E09"/>
    <w:rsid w:val="1FE7539E"/>
    <w:rsid w:val="204344B3"/>
    <w:rsid w:val="20671BE0"/>
    <w:rsid w:val="20963CB8"/>
    <w:rsid w:val="20A81A1B"/>
    <w:rsid w:val="20B07FB6"/>
    <w:rsid w:val="20B646FB"/>
    <w:rsid w:val="211E03FA"/>
    <w:rsid w:val="213B74B1"/>
    <w:rsid w:val="215A2310"/>
    <w:rsid w:val="21DA0683"/>
    <w:rsid w:val="21DE318A"/>
    <w:rsid w:val="21EF5B80"/>
    <w:rsid w:val="22576990"/>
    <w:rsid w:val="226D2946"/>
    <w:rsid w:val="22B537AA"/>
    <w:rsid w:val="22C22E8C"/>
    <w:rsid w:val="22DF07C3"/>
    <w:rsid w:val="22F47480"/>
    <w:rsid w:val="234919D0"/>
    <w:rsid w:val="235C367E"/>
    <w:rsid w:val="23CD6DD9"/>
    <w:rsid w:val="23DE1C48"/>
    <w:rsid w:val="240210CD"/>
    <w:rsid w:val="24BF09F7"/>
    <w:rsid w:val="25257535"/>
    <w:rsid w:val="252D53FE"/>
    <w:rsid w:val="25681352"/>
    <w:rsid w:val="25A871F7"/>
    <w:rsid w:val="25DB4BF4"/>
    <w:rsid w:val="25EC2D81"/>
    <w:rsid w:val="266A16A4"/>
    <w:rsid w:val="26CA18BD"/>
    <w:rsid w:val="26F02FEA"/>
    <w:rsid w:val="277057A2"/>
    <w:rsid w:val="27973758"/>
    <w:rsid w:val="27A054EB"/>
    <w:rsid w:val="27DD1F14"/>
    <w:rsid w:val="281A0EA7"/>
    <w:rsid w:val="28567598"/>
    <w:rsid w:val="28C40E4A"/>
    <w:rsid w:val="28DA3430"/>
    <w:rsid w:val="28E026ED"/>
    <w:rsid w:val="28F86095"/>
    <w:rsid w:val="29206EB8"/>
    <w:rsid w:val="29595666"/>
    <w:rsid w:val="29874881"/>
    <w:rsid w:val="2999484F"/>
    <w:rsid w:val="29E325E0"/>
    <w:rsid w:val="29E8717A"/>
    <w:rsid w:val="29F84311"/>
    <w:rsid w:val="2A08288A"/>
    <w:rsid w:val="2A452503"/>
    <w:rsid w:val="2A49328E"/>
    <w:rsid w:val="2B027310"/>
    <w:rsid w:val="2BA936A8"/>
    <w:rsid w:val="2BC02417"/>
    <w:rsid w:val="2BC16461"/>
    <w:rsid w:val="2C315A5A"/>
    <w:rsid w:val="2C4B1C25"/>
    <w:rsid w:val="2CB73169"/>
    <w:rsid w:val="2CD812B0"/>
    <w:rsid w:val="2D9E56F5"/>
    <w:rsid w:val="2E4605C5"/>
    <w:rsid w:val="2E667F96"/>
    <w:rsid w:val="2E8226AB"/>
    <w:rsid w:val="2F03173A"/>
    <w:rsid w:val="2FD065E6"/>
    <w:rsid w:val="2FD96870"/>
    <w:rsid w:val="304C679F"/>
    <w:rsid w:val="30580BC9"/>
    <w:rsid w:val="30AE4883"/>
    <w:rsid w:val="311E2ED7"/>
    <w:rsid w:val="315619EE"/>
    <w:rsid w:val="315C449C"/>
    <w:rsid w:val="318A2BFA"/>
    <w:rsid w:val="31B82709"/>
    <w:rsid w:val="31D05482"/>
    <w:rsid w:val="31F42B5E"/>
    <w:rsid w:val="32187980"/>
    <w:rsid w:val="32400B34"/>
    <w:rsid w:val="324659AF"/>
    <w:rsid w:val="329E6876"/>
    <w:rsid w:val="32A37E25"/>
    <w:rsid w:val="333015F2"/>
    <w:rsid w:val="33335528"/>
    <w:rsid w:val="3344750F"/>
    <w:rsid w:val="334B6320"/>
    <w:rsid w:val="336B1B60"/>
    <w:rsid w:val="33D934D4"/>
    <w:rsid w:val="33FE2F6A"/>
    <w:rsid w:val="340E07E5"/>
    <w:rsid w:val="34235BF7"/>
    <w:rsid w:val="342A50D4"/>
    <w:rsid w:val="343865E0"/>
    <w:rsid w:val="347031A0"/>
    <w:rsid w:val="34B559ED"/>
    <w:rsid w:val="34F73FBF"/>
    <w:rsid w:val="350E5B75"/>
    <w:rsid w:val="356E5B3C"/>
    <w:rsid w:val="358C5FA8"/>
    <w:rsid w:val="35952EAC"/>
    <w:rsid w:val="359758E5"/>
    <w:rsid w:val="35C15DF1"/>
    <w:rsid w:val="35CC4F2D"/>
    <w:rsid w:val="36074A7F"/>
    <w:rsid w:val="363459DE"/>
    <w:rsid w:val="366905DB"/>
    <w:rsid w:val="36923549"/>
    <w:rsid w:val="36A22F30"/>
    <w:rsid w:val="36B75FBF"/>
    <w:rsid w:val="36BD0C45"/>
    <w:rsid w:val="36C91A43"/>
    <w:rsid w:val="36DA0180"/>
    <w:rsid w:val="37AA3B5D"/>
    <w:rsid w:val="37E00298"/>
    <w:rsid w:val="384D2B0F"/>
    <w:rsid w:val="388F4F9A"/>
    <w:rsid w:val="38B302F9"/>
    <w:rsid w:val="38F12CD3"/>
    <w:rsid w:val="38F94775"/>
    <w:rsid w:val="392971ED"/>
    <w:rsid w:val="39325651"/>
    <w:rsid w:val="39414553"/>
    <w:rsid w:val="39C42514"/>
    <w:rsid w:val="3A013439"/>
    <w:rsid w:val="3A812354"/>
    <w:rsid w:val="3A872856"/>
    <w:rsid w:val="3AE05B05"/>
    <w:rsid w:val="3AE55345"/>
    <w:rsid w:val="3AEE5713"/>
    <w:rsid w:val="3B3763D1"/>
    <w:rsid w:val="3C1F35BD"/>
    <w:rsid w:val="3C2F6E1E"/>
    <w:rsid w:val="3C4F64BA"/>
    <w:rsid w:val="3C8B2027"/>
    <w:rsid w:val="3CDA245A"/>
    <w:rsid w:val="3D1E06B7"/>
    <w:rsid w:val="3D311C72"/>
    <w:rsid w:val="3D676E4E"/>
    <w:rsid w:val="3E3B5F2B"/>
    <w:rsid w:val="3ED0125E"/>
    <w:rsid w:val="3EDA0523"/>
    <w:rsid w:val="3F041C27"/>
    <w:rsid w:val="3F5E37A7"/>
    <w:rsid w:val="3F731171"/>
    <w:rsid w:val="3F81610A"/>
    <w:rsid w:val="402E0C22"/>
    <w:rsid w:val="403C555C"/>
    <w:rsid w:val="407A6407"/>
    <w:rsid w:val="40865EA5"/>
    <w:rsid w:val="40F670EB"/>
    <w:rsid w:val="41AE7082"/>
    <w:rsid w:val="4200449D"/>
    <w:rsid w:val="421607E6"/>
    <w:rsid w:val="42283488"/>
    <w:rsid w:val="423A3BCC"/>
    <w:rsid w:val="424E57D2"/>
    <w:rsid w:val="42B26C49"/>
    <w:rsid w:val="42E74AB4"/>
    <w:rsid w:val="433A6FE6"/>
    <w:rsid w:val="4344734D"/>
    <w:rsid w:val="43480868"/>
    <w:rsid w:val="4350713C"/>
    <w:rsid w:val="435F00E8"/>
    <w:rsid w:val="436653E0"/>
    <w:rsid w:val="43C4431A"/>
    <w:rsid w:val="440962E3"/>
    <w:rsid w:val="441F7EFA"/>
    <w:rsid w:val="44411F65"/>
    <w:rsid w:val="446210E9"/>
    <w:rsid w:val="44B951CC"/>
    <w:rsid w:val="44CD14E0"/>
    <w:rsid w:val="44D73F50"/>
    <w:rsid w:val="44DC3D92"/>
    <w:rsid w:val="44F20B0B"/>
    <w:rsid w:val="452E5F4C"/>
    <w:rsid w:val="454933B9"/>
    <w:rsid w:val="45612018"/>
    <w:rsid w:val="458946E9"/>
    <w:rsid w:val="45A47C0E"/>
    <w:rsid w:val="46577FD6"/>
    <w:rsid w:val="46D955A7"/>
    <w:rsid w:val="47133957"/>
    <w:rsid w:val="471548BC"/>
    <w:rsid w:val="474C4D82"/>
    <w:rsid w:val="475A3275"/>
    <w:rsid w:val="47A07E0C"/>
    <w:rsid w:val="4870272E"/>
    <w:rsid w:val="487E19C0"/>
    <w:rsid w:val="48C63945"/>
    <w:rsid w:val="491131DE"/>
    <w:rsid w:val="498228CF"/>
    <w:rsid w:val="49DC7715"/>
    <w:rsid w:val="4A023139"/>
    <w:rsid w:val="4A0A7B09"/>
    <w:rsid w:val="4A127CEC"/>
    <w:rsid w:val="4A7B576F"/>
    <w:rsid w:val="4AF561A9"/>
    <w:rsid w:val="4B622D34"/>
    <w:rsid w:val="4BE13670"/>
    <w:rsid w:val="4BFA0524"/>
    <w:rsid w:val="4C221AA7"/>
    <w:rsid w:val="4C431ECB"/>
    <w:rsid w:val="4C4A0649"/>
    <w:rsid w:val="4C7E5ECA"/>
    <w:rsid w:val="4C876AA5"/>
    <w:rsid w:val="4CC06B02"/>
    <w:rsid w:val="4D0E00FB"/>
    <w:rsid w:val="4D176606"/>
    <w:rsid w:val="4D8B6A6E"/>
    <w:rsid w:val="4DD07E08"/>
    <w:rsid w:val="4DEC4FB0"/>
    <w:rsid w:val="4E075D8A"/>
    <w:rsid w:val="4E171EAB"/>
    <w:rsid w:val="4EC00FAD"/>
    <w:rsid w:val="4EEF44CD"/>
    <w:rsid w:val="4F895E47"/>
    <w:rsid w:val="4F9843DC"/>
    <w:rsid w:val="4FC62A8C"/>
    <w:rsid w:val="4FE20F0D"/>
    <w:rsid w:val="4FE51552"/>
    <w:rsid w:val="500110B1"/>
    <w:rsid w:val="50270B3C"/>
    <w:rsid w:val="50504C4B"/>
    <w:rsid w:val="50760AC1"/>
    <w:rsid w:val="507B19E8"/>
    <w:rsid w:val="508C7683"/>
    <w:rsid w:val="509C6E7C"/>
    <w:rsid w:val="5162104E"/>
    <w:rsid w:val="51C8106B"/>
    <w:rsid w:val="5302183A"/>
    <w:rsid w:val="53146370"/>
    <w:rsid w:val="532B6C16"/>
    <w:rsid w:val="535C27D8"/>
    <w:rsid w:val="539B79D2"/>
    <w:rsid w:val="53A039CC"/>
    <w:rsid w:val="53A1505A"/>
    <w:rsid w:val="54063E08"/>
    <w:rsid w:val="543437E8"/>
    <w:rsid w:val="54B5650D"/>
    <w:rsid w:val="54D9660F"/>
    <w:rsid w:val="54F73313"/>
    <w:rsid w:val="54F80955"/>
    <w:rsid w:val="554050F4"/>
    <w:rsid w:val="555170A7"/>
    <w:rsid w:val="5587536D"/>
    <w:rsid w:val="559B174B"/>
    <w:rsid w:val="55CE0CF4"/>
    <w:rsid w:val="5669770F"/>
    <w:rsid w:val="56AE08B0"/>
    <w:rsid w:val="56B22A9C"/>
    <w:rsid w:val="57B72A76"/>
    <w:rsid w:val="57C3426C"/>
    <w:rsid w:val="57CE1F93"/>
    <w:rsid w:val="58185159"/>
    <w:rsid w:val="588743D1"/>
    <w:rsid w:val="5887701A"/>
    <w:rsid w:val="598C7885"/>
    <w:rsid w:val="59C0439F"/>
    <w:rsid w:val="59C77C98"/>
    <w:rsid w:val="59E970B7"/>
    <w:rsid w:val="59FD5751"/>
    <w:rsid w:val="5A4662F6"/>
    <w:rsid w:val="5A987A11"/>
    <w:rsid w:val="5ABE2233"/>
    <w:rsid w:val="5B680750"/>
    <w:rsid w:val="5B8816A9"/>
    <w:rsid w:val="5BDF5D95"/>
    <w:rsid w:val="5BF36B17"/>
    <w:rsid w:val="5BFE7528"/>
    <w:rsid w:val="5C470D42"/>
    <w:rsid w:val="5C5807C8"/>
    <w:rsid w:val="5D5C034C"/>
    <w:rsid w:val="5D82291B"/>
    <w:rsid w:val="5D8E40C4"/>
    <w:rsid w:val="5E066CD3"/>
    <w:rsid w:val="5E2467F1"/>
    <w:rsid w:val="5EB8188B"/>
    <w:rsid w:val="5ECC12CE"/>
    <w:rsid w:val="5F0C46A7"/>
    <w:rsid w:val="5F1A2B43"/>
    <w:rsid w:val="5F3B1927"/>
    <w:rsid w:val="5F3D4800"/>
    <w:rsid w:val="5F4B3AE6"/>
    <w:rsid w:val="5F5C5FB8"/>
    <w:rsid w:val="5F773866"/>
    <w:rsid w:val="5FB837BB"/>
    <w:rsid w:val="600734E4"/>
    <w:rsid w:val="60261FF8"/>
    <w:rsid w:val="604F2ECA"/>
    <w:rsid w:val="60B0413F"/>
    <w:rsid w:val="60CC405A"/>
    <w:rsid w:val="61206418"/>
    <w:rsid w:val="612B443D"/>
    <w:rsid w:val="6134013B"/>
    <w:rsid w:val="613756A3"/>
    <w:rsid w:val="6194796A"/>
    <w:rsid w:val="61DB4C28"/>
    <w:rsid w:val="61E215D8"/>
    <w:rsid w:val="621B3775"/>
    <w:rsid w:val="62364782"/>
    <w:rsid w:val="62680B4F"/>
    <w:rsid w:val="6295025A"/>
    <w:rsid w:val="638F54C3"/>
    <w:rsid w:val="6394356A"/>
    <w:rsid w:val="63C61B2C"/>
    <w:rsid w:val="63D40BE9"/>
    <w:rsid w:val="64102431"/>
    <w:rsid w:val="64A5243A"/>
    <w:rsid w:val="64CB0ED6"/>
    <w:rsid w:val="64F531DE"/>
    <w:rsid w:val="65090005"/>
    <w:rsid w:val="65373578"/>
    <w:rsid w:val="654A1DA1"/>
    <w:rsid w:val="656B3441"/>
    <w:rsid w:val="658F4C0E"/>
    <w:rsid w:val="65B52C14"/>
    <w:rsid w:val="660A3D40"/>
    <w:rsid w:val="66833E2D"/>
    <w:rsid w:val="66A75311"/>
    <w:rsid w:val="66D400F7"/>
    <w:rsid w:val="66F14E97"/>
    <w:rsid w:val="671F124A"/>
    <w:rsid w:val="672314EE"/>
    <w:rsid w:val="67392596"/>
    <w:rsid w:val="677A33C6"/>
    <w:rsid w:val="67AC784D"/>
    <w:rsid w:val="681F6961"/>
    <w:rsid w:val="683C30BE"/>
    <w:rsid w:val="68610A2F"/>
    <w:rsid w:val="68805514"/>
    <w:rsid w:val="688C57C4"/>
    <w:rsid w:val="69026811"/>
    <w:rsid w:val="690507DD"/>
    <w:rsid w:val="691B5BC3"/>
    <w:rsid w:val="69316E2F"/>
    <w:rsid w:val="694E2071"/>
    <w:rsid w:val="69766163"/>
    <w:rsid w:val="697A3B33"/>
    <w:rsid w:val="698001EC"/>
    <w:rsid w:val="69D44760"/>
    <w:rsid w:val="6A520EC7"/>
    <w:rsid w:val="6AA85AD3"/>
    <w:rsid w:val="6AF87E20"/>
    <w:rsid w:val="6B08643B"/>
    <w:rsid w:val="6B322639"/>
    <w:rsid w:val="6B483BA4"/>
    <w:rsid w:val="6B7C0996"/>
    <w:rsid w:val="6C172053"/>
    <w:rsid w:val="6C636C38"/>
    <w:rsid w:val="6C6929DB"/>
    <w:rsid w:val="6CD07875"/>
    <w:rsid w:val="6D212B72"/>
    <w:rsid w:val="6D374A2C"/>
    <w:rsid w:val="6DB34098"/>
    <w:rsid w:val="6DB545B6"/>
    <w:rsid w:val="6DD736F2"/>
    <w:rsid w:val="6DE02FB4"/>
    <w:rsid w:val="6E5079D6"/>
    <w:rsid w:val="6E514CED"/>
    <w:rsid w:val="6EA840E4"/>
    <w:rsid w:val="6EB563D5"/>
    <w:rsid w:val="6EBD04F6"/>
    <w:rsid w:val="6ED92677"/>
    <w:rsid w:val="6EDA604C"/>
    <w:rsid w:val="6EF914F5"/>
    <w:rsid w:val="6F1C23DC"/>
    <w:rsid w:val="6F225983"/>
    <w:rsid w:val="6FFC5590"/>
    <w:rsid w:val="706D1DD0"/>
    <w:rsid w:val="70856B87"/>
    <w:rsid w:val="708971A5"/>
    <w:rsid w:val="70D527EE"/>
    <w:rsid w:val="715B5300"/>
    <w:rsid w:val="71954AC9"/>
    <w:rsid w:val="71D27F8A"/>
    <w:rsid w:val="71F16BB3"/>
    <w:rsid w:val="71FF08D8"/>
    <w:rsid w:val="724B359E"/>
    <w:rsid w:val="72553024"/>
    <w:rsid w:val="72847215"/>
    <w:rsid w:val="73122968"/>
    <w:rsid w:val="731F5D5E"/>
    <w:rsid w:val="73376375"/>
    <w:rsid w:val="73A634E4"/>
    <w:rsid w:val="73C51AD5"/>
    <w:rsid w:val="741E793C"/>
    <w:rsid w:val="745E3944"/>
    <w:rsid w:val="74AA321A"/>
    <w:rsid w:val="74B5638D"/>
    <w:rsid w:val="75D325F6"/>
    <w:rsid w:val="75D81ECD"/>
    <w:rsid w:val="75E1612D"/>
    <w:rsid w:val="7635099D"/>
    <w:rsid w:val="766345A1"/>
    <w:rsid w:val="76865470"/>
    <w:rsid w:val="76E26EEE"/>
    <w:rsid w:val="77450125"/>
    <w:rsid w:val="77762421"/>
    <w:rsid w:val="779023A5"/>
    <w:rsid w:val="77B56B1F"/>
    <w:rsid w:val="77FE7FE6"/>
    <w:rsid w:val="780F09F4"/>
    <w:rsid w:val="78A90480"/>
    <w:rsid w:val="79784053"/>
    <w:rsid w:val="7A301431"/>
    <w:rsid w:val="7A364017"/>
    <w:rsid w:val="7A8265E1"/>
    <w:rsid w:val="7A831F86"/>
    <w:rsid w:val="7A9B7D5B"/>
    <w:rsid w:val="7ABC0DCB"/>
    <w:rsid w:val="7B25476C"/>
    <w:rsid w:val="7B686D42"/>
    <w:rsid w:val="7B6A1D9F"/>
    <w:rsid w:val="7B841746"/>
    <w:rsid w:val="7C6C5AC7"/>
    <w:rsid w:val="7C861EE4"/>
    <w:rsid w:val="7CC6544B"/>
    <w:rsid w:val="7CD049DC"/>
    <w:rsid w:val="7D0239FF"/>
    <w:rsid w:val="7D5E40CD"/>
    <w:rsid w:val="7DCD56F2"/>
    <w:rsid w:val="7DE20631"/>
    <w:rsid w:val="7E664884"/>
    <w:rsid w:val="7E6A49BF"/>
    <w:rsid w:val="7E7538B7"/>
    <w:rsid w:val="7ECF746B"/>
    <w:rsid w:val="7F001CE7"/>
    <w:rsid w:val="7F2A28F3"/>
    <w:rsid w:val="7F2C2415"/>
    <w:rsid w:val="7FE053C1"/>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6">
    <w:name w:val="heading 2"/>
    <w:basedOn w:val="1"/>
    <w:next w:val="1"/>
    <w:qFormat/>
    <w:uiPriority w:val="9"/>
    <w:pPr>
      <w:keepNext/>
      <w:keepLines/>
      <w:adjustRightInd w:val="0"/>
      <w:snapToGrid w:val="0"/>
      <w:spacing w:beforeLines="50" w:after="120" w:line="360" w:lineRule="auto"/>
      <w:ind w:firstLine="510"/>
      <w:textAlignment w:val="baseline"/>
      <w:outlineLvl w:val="1"/>
    </w:pPr>
    <w:rPr>
      <w:rFonts w:ascii="黑体" w:hAnsi="Arial" w:eastAsia="黑体"/>
      <w:b/>
      <w:spacing w:val="4"/>
      <w:sz w:val="24"/>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28">
    <w:name w:val="Default Paragraph Font"/>
    <w:semiHidden/>
    <w:qFormat/>
    <w:uiPriority w:val="0"/>
  </w:style>
  <w:style w:type="table" w:default="1" w:styleId="26">
    <w:name w:val="Normal Table"/>
    <w:semiHidden/>
    <w:qFormat/>
    <w:uiPriority w:val="0"/>
    <w:tblPr>
      <w:tblCellMar>
        <w:top w:w="0" w:type="dxa"/>
        <w:left w:w="108" w:type="dxa"/>
        <w:bottom w:w="0" w:type="dxa"/>
        <w:right w:w="108" w:type="dxa"/>
      </w:tblCellMar>
    </w:tblPr>
  </w:style>
  <w:style w:type="paragraph" w:customStyle="1" w:styleId="2">
    <w:name w:val="Default"/>
    <w:basedOn w:val="3"/>
    <w:next w:val="4"/>
    <w:qFormat/>
    <w:uiPriority w:val="0"/>
    <w:pPr>
      <w:widowControl w:val="0"/>
      <w:autoSpaceDE w:val="0"/>
      <w:autoSpaceDN w:val="0"/>
      <w:adjustRightInd w:val="0"/>
    </w:pPr>
    <w:rPr>
      <w:rFonts w:ascii="Arial Unicode MS" w:hAnsi="Times New Roman" w:eastAsia="Arial Unicode MS" w:cs="Arial Unicode MS"/>
      <w:color w:val="000000"/>
      <w:sz w:val="24"/>
      <w:szCs w:val="24"/>
      <w:lang w:val="en-US" w:eastAsia="zh-CN" w:bidi="ar-SA"/>
    </w:rPr>
  </w:style>
  <w:style w:type="paragraph" w:customStyle="1" w:styleId="3">
    <w:name w:val="纯文本1"/>
    <w:basedOn w:val="1"/>
    <w:qFormat/>
    <w:uiPriority w:val="0"/>
    <w:pPr>
      <w:adjustRightInd w:val="0"/>
    </w:pPr>
    <w:rPr>
      <w:rFonts w:ascii="宋体" w:hAnsi="Courier New"/>
      <w:szCs w:val="20"/>
    </w:rPr>
  </w:style>
  <w:style w:type="paragraph" w:customStyle="1" w:styleId="4">
    <w:name w:val="Char Char Char Char Char Char1 Char Char Char Char"/>
    <w:basedOn w:val="1"/>
    <w:next w:val="1"/>
    <w:autoRedefine/>
    <w:semiHidden/>
    <w:qFormat/>
    <w:uiPriority w:val="0"/>
    <w:pPr>
      <w:spacing w:line="360" w:lineRule="auto"/>
      <w:ind w:firstLine="200" w:firstLineChars="200"/>
    </w:pPr>
    <w:rPr>
      <w:rFonts w:ascii="宋体" w:hAnsi="宋体" w:cs="宋体"/>
      <w:szCs w:val="21"/>
    </w:rPr>
  </w:style>
  <w:style w:type="paragraph" w:styleId="8">
    <w:name w:val="table of authorities"/>
    <w:basedOn w:val="1"/>
    <w:next w:val="1"/>
    <w:qFormat/>
    <w:uiPriority w:val="99"/>
    <w:pPr>
      <w:ind w:left="420" w:leftChars="200"/>
    </w:pPr>
    <w:rPr>
      <w:rFonts w:ascii="Calibri" w:hAnsi="Calibri"/>
    </w:rPr>
  </w:style>
  <w:style w:type="paragraph" w:styleId="9">
    <w:name w:val="Normal Indent"/>
    <w:basedOn w:val="1"/>
    <w:qFormat/>
    <w:uiPriority w:val="0"/>
    <w:pPr>
      <w:adjustRightInd/>
      <w:snapToGrid/>
      <w:ind w:firstLine="420" w:firstLineChars="200"/>
    </w:pPr>
    <w:rPr>
      <w:rFonts w:cs="Times New Roman"/>
      <w:sz w:val="20"/>
      <w:szCs w:val="20"/>
    </w:rPr>
  </w:style>
  <w:style w:type="paragraph" w:styleId="10">
    <w:name w:val="annotation text"/>
    <w:basedOn w:val="1"/>
    <w:link w:val="37"/>
    <w:semiHidden/>
    <w:qFormat/>
    <w:uiPriority w:val="0"/>
    <w:pPr>
      <w:jc w:val="left"/>
    </w:pPr>
    <w:rPr>
      <w:kern w:val="0"/>
      <w:sz w:val="24"/>
      <w:szCs w:val="20"/>
    </w:rPr>
  </w:style>
  <w:style w:type="paragraph" w:styleId="11">
    <w:name w:val="Body Text"/>
    <w:basedOn w:val="1"/>
    <w:link w:val="38"/>
    <w:qFormat/>
    <w:uiPriority w:val="0"/>
    <w:pPr>
      <w:widowControl/>
      <w:snapToGrid w:val="0"/>
      <w:spacing w:line="360" w:lineRule="auto"/>
      <w:ind w:right="0" w:firstLine="720" w:firstLineChars="200"/>
    </w:pPr>
    <w:rPr>
      <w:rFonts w:ascii="Times New Roman" w:hAnsi="Times New Roman" w:eastAsia="宋体"/>
      <w:kern w:val="0"/>
      <w:sz w:val="24"/>
      <w:szCs w:val="20"/>
    </w:rPr>
  </w:style>
  <w:style w:type="paragraph" w:styleId="12">
    <w:name w:val="Body Text Indent"/>
    <w:basedOn w:val="1"/>
    <w:link w:val="39"/>
    <w:qFormat/>
    <w:uiPriority w:val="0"/>
    <w:pPr>
      <w:spacing w:after="120"/>
      <w:ind w:left="420" w:leftChars="200"/>
    </w:pPr>
    <w:rPr>
      <w:kern w:val="0"/>
      <w:sz w:val="24"/>
      <w:szCs w:val="20"/>
    </w:rPr>
  </w:style>
  <w:style w:type="paragraph" w:styleId="13">
    <w:name w:val="Plain Text"/>
    <w:basedOn w:val="1"/>
    <w:qFormat/>
    <w:uiPriority w:val="0"/>
    <w:rPr>
      <w:rFonts w:ascii="宋体" w:hAnsi="Courier New"/>
    </w:rPr>
  </w:style>
  <w:style w:type="paragraph" w:styleId="14">
    <w:name w:val="Date"/>
    <w:basedOn w:val="1"/>
    <w:next w:val="1"/>
    <w:link w:val="40"/>
    <w:qFormat/>
    <w:uiPriority w:val="0"/>
    <w:pPr>
      <w:ind w:left="100" w:leftChars="2500"/>
    </w:pPr>
    <w:rPr>
      <w:kern w:val="0"/>
      <w:sz w:val="24"/>
      <w:szCs w:val="20"/>
    </w:rPr>
  </w:style>
  <w:style w:type="paragraph" w:styleId="15">
    <w:name w:val="Body Text Indent 2"/>
    <w:basedOn w:val="1"/>
    <w:next w:val="16"/>
    <w:qFormat/>
    <w:uiPriority w:val="0"/>
    <w:pPr>
      <w:spacing w:after="120" w:line="480" w:lineRule="auto"/>
      <w:ind w:left="420" w:leftChars="200"/>
    </w:pPr>
  </w:style>
  <w:style w:type="paragraph" w:styleId="16">
    <w:name w:val="Body Text First Indent 2"/>
    <w:basedOn w:val="1"/>
    <w:next w:val="1"/>
    <w:qFormat/>
    <w:uiPriority w:val="0"/>
    <w:pPr>
      <w:ind w:firstLine="420"/>
    </w:pPr>
  </w:style>
  <w:style w:type="paragraph" w:styleId="17">
    <w:name w:val="Balloon Text"/>
    <w:basedOn w:val="1"/>
    <w:link w:val="41"/>
    <w:semiHidden/>
    <w:qFormat/>
    <w:uiPriority w:val="0"/>
    <w:rPr>
      <w:kern w:val="0"/>
      <w:sz w:val="18"/>
      <w:szCs w:val="20"/>
    </w:rPr>
  </w:style>
  <w:style w:type="paragraph" w:styleId="18">
    <w:name w:val="footer"/>
    <w:basedOn w:val="1"/>
    <w:link w:val="42"/>
    <w:qFormat/>
    <w:uiPriority w:val="99"/>
    <w:pPr>
      <w:tabs>
        <w:tab w:val="center" w:pos="4153"/>
        <w:tab w:val="right" w:pos="8306"/>
      </w:tabs>
      <w:snapToGrid w:val="0"/>
      <w:jc w:val="left"/>
    </w:pPr>
    <w:rPr>
      <w:kern w:val="0"/>
      <w:sz w:val="18"/>
      <w:szCs w:val="20"/>
    </w:rPr>
  </w:style>
  <w:style w:type="paragraph" w:styleId="19">
    <w:name w:val="header"/>
    <w:basedOn w:val="1"/>
    <w:link w:val="43"/>
    <w:qFormat/>
    <w:uiPriority w:val="0"/>
    <w:pPr>
      <w:pBdr>
        <w:bottom w:val="single" w:color="auto" w:sz="6" w:space="1"/>
      </w:pBdr>
      <w:tabs>
        <w:tab w:val="center" w:pos="4153"/>
        <w:tab w:val="right" w:pos="8306"/>
      </w:tabs>
      <w:snapToGrid w:val="0"/>
      <w:jc w:val="center"/>
    </w:pPr>
    <w:rPr>
      <w:kern w:val="0"/>
      <w:sz w:val="18"/>
      <w:szCs w:val="20"/>
    </w:rPr>
  </w:style>
  <w:style w:type="paragraph" w:styleId="20">
    <w:name w:val="toc 1"/>
    <w:basedOn w:val="1"/>
    <w:next w:val="1"/>
    <w:semiHidden/>
    <w:qFormat/>
    <w:uiPriority w:val="0"/>
    <w:pPr>
      <w:spacing w:before="120" w:after="120"/>
      <w:jc w:val="left"/>
    </w:pPr>
    <w:rPr>
      <w:b/>
      <w:bCs/>
      <w:caps/>
      <w:sz w:val="20"/>
      <w:szCs w:val="20"/>
    </w:rPr>
  </w:style>
  <w:style w:type="paragraph" w:styleId="21">
    <w:name w:val="List"/>
    <w:basedOn w:val="1"/>
    <w:next w:val="1"/>
    <w:qFormat/>
    <w:uiPriority w:val="0"/>
    <w:pPr>
      <w:ind w:left="200" w:hanging="200" w:hangingChars="200"/>
    </w:pPr>
    <w:rPr>
      <w:szCs w:val="20"/>
    </w:rPr>
  </w:style>
  <w:style w:type="paragraph" w:styleId="22">
    <w:name w:val="Normal (Web)"/>
    <w:basedOn w:val="1"/>
    <w:link w:val="44"/>
    <w:qFormat/>
    <w:uiPriority w:val="0"/>
    <w:pPr>
      <w:widowControl/>
      <w:spacing w:before="100" w:beforeAutospacing="1" w:after="100" w:afterAutospacing="1"/>
      <w:jc w:val="left"/>
    </w:pPr>
    <w:rPr>
      <w:rFonts w:ascii="宋体" w:hAnsi="宋体"/>
      <w:kern w:val="0"/>
      <w:sz w:val="24"/>
      <w:szCs w:val="20"/>
    </w:rPr>
  </w:style>
  <w:style w:type="paragraph" w:styleId="23">
    <w:name w:val="annotation subject"/>
    <w:basedOn w:val="10"/>
    <w:next w:val="1"/>
    <w:link w:val="45"/>
    <w:semiHidden/>
    <w:qFormat/>
    <w:uiPriority w:val="0"/>
    <w:rPr>
      <w:b/>
      <w:sz w:val="24"/>
      <w:szCs w:val="20"/>
    </w:rPr>
  </w:style>
  <w:style w:type="paragraph" w:styleId="24">
    <w:name w:val="Body Text First Indent"/>
    <w:basedOn w:val="11"/>
    <w:next w:val="25"/>
    <w:qFormat/>
    <w:uiPriority w:val="0"/>
    <w:pPr>
      <w:ind w:firstLine="420" w:firstLineChars="100"/>
    </w:pPr>
  </w:style>
  <w:style w:type="paragraph" w:customStyle="1" w:styleId="25">
    <w:name w:val="样式 正文首行缩进 + 首行缩进:  2 字符1"/>
    <w:basedOn w:val="24"/>
    <w:next w:val="20"/>
    <w:qFormat/>
    <w:uiPriority w:val="0"/>
    <w:pPr>
      <w:spacing w:line="360" w:lineRule="auto"/>
      <w:ind w:firstLine="480"/>
    </w:pPr>
    <w:rPr>
      <w:spacing w:val="0"/>
    </w:rPr>
  </w:style>
  <w:style w:type="table" w:styleId="27">
    <w:name w:val="Table Grid"/>
    <w:basedOn w:val="26"/>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annotation reference"/>
    <w:semiHidden/>
    <w:qFormat/>
    <w:uiPriority w:val="0"/>
    <w:rPr>
      <w:sz w:val="21"/>
    </w:rPr>
  </w:style>
  <w:style w:type="paragraph" w:customStyle="1" w:styleId="32">
    <w:name w:val="表格标题"/>
    <w:basedOn w:val="1"/>
    <w:link w:val="67"/>
    <w:qFormat/>
    <w:uiPriority w:val="0"/>
    <w:pPr>
      <w:autoSpaceDE w:val="0"/>
      <w:autoSpaceDN w:val="0"/>
      <w:adjustRightInd w:val="0"/>
      <w:snapToGrid w:val="0"/>
      <w:spacing w:line="240" w:lineRule="auto"/>
      <w:ind w:firstLine="0" w:firstLineChars="0"/>
      <w:jc w:val="center"/>
    </w:pPr>
    <w:rPr>
      <w:rFonts w:ascii="Times New Roman" w:hAnsi="Times New Roman" w:eastAsia="宋体" w:cs="Times New Roman"/>
      <w:b/>
      <w:kern w:val="0"/>
      <w:szCs w:val="21"/>
    </w:rPr>
  </w:style>
  <w:style w:type="paragraph" w:customStyle="1" w:styleId="33">
    <w:name w:val="表格内容"/>
    <w:basedOn w:val="34"/>
    <w:next w:val="1"/>
    <w:qFormat/>
    <w:uiPriority w:val="0"/>
    <w:pPr>
      <w:autoSpaceDE w:val="0"/>
      <w:autoSpaceDN w:val="0"/>
      <w:adjustRightInd w:val="0"/>
      <w:snapToGrid w:val="0"/>
      <w:spacing w:line="240" w:lineRule="auto"/>
      <w:ind w:firstLine="0" w:firstLineChars="0"/>
      <w:jc w:val="center"/>
    </w:pPr>
    <w:rPr>
      <w:rFonts w:ascii="宋体" w:hAnsi="宋体"/>
      <w:kern w:val="0"/>
      <w:szCs w:val="21"/>
    </w:rPr>
  </w:style>
  <w:style w:type="paragraph" w:customStyle="1" w:styleId="34">
    <w:name w:val="正文3.5"/>
    <w:basedOn w:val="1"/>
    <w:qFormat/>
    <w:uiPriority w:val="0"/>
    <w:pPr>
      <w:adjustRightInd w:val="0"/>
      <w:snapToGrid w:val="0"/>
      <w:spacing w:line="427" w:lineRule="exact"/>
      <w:ind w:firstLine="480" w:firstLineChars="200"/>
      <w:textAlignment w:val="bottom"/>
    </w:pPr>
    <w:rPr>
      <w:rFonts w:ascii="Calibri" w:hAnsi="Calibri" w:cs="Times New Roman"/>
      <w:snapToGrid w:val="0"/>
    </w:rPr>
  </w:style>
  <w:style w:type="paragraph" w:customStyle="1" w:styleId="35">
    <w:name w:val="Default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6">
    <w:name w:val="正文文字 6"/>
    <w:next w:val="1"/>
    <w:qFormat/>
    <w:uiPriority w:val="0"/>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37">
    <w:name w:val="批注文字 Char"/>
    <w:link w:val="10"/>
    <w:qFormat/>
    <w:uiPriority w:val="0"/>
    <w:rPr>
      <w:rFonts w:ascii="Times New Roman" w:hAnsi="Times New Roman" w:eastAsia="宋体"/>
      <w:sz w:val="24"/>
    </w:rPr>
  </w:style>
  <w:style w:type="character" w:customStyle="1" w:styleId="38">
    <w:name w:val="正文文本 Char"/>
    <w:link w:val="11"/>
    <w:qFormat/>
    <w:uiPriority w:val="0"/>
    <w:rPr>
      <w:rFonts w:ascii="Times New Roman" w:hAnsi="Times New Roman" w:eastAsia="宋体"/>
      <w:sz w:val="24"/>
    </w:rPr>
  </w:style>
  <w:style w:type="character" w:customStyle="1" w:styleId="39">
    <w:name w:val="正文文本缩进 Char"/>
    <w:link w:val="12"/>
    <w:semiHidden/>
    <w:qFormat/>
    <w:uiPriority w:val="0"/>
    <w:rPr>
      <w:rFonts w:ascii="Times New Roman" w:hAnsi="Times New Roman" w:eastAsia="宋体"/>
      <w:sz w:val="24"/>
    </w:rPr>
  </w:style>
  <w:style w:type="character" w:customStyle="1" w:styleId="40">
    <w:name w:val="日期 Char"/>
    <w:link w:val="14"/>
    <w:qFormat/>
    <w:uiPriority w:val="0"/>
    <w:rPr>
      <w:rFonts w:ascii="Times New Roman" w:hAnsi="Times New Roman" w:eastAsia="宋体"/>
      <w:sz w:val="24"/>
    </w:rPr>
  </w:style>
  <w:style w:type="character" w:customStyle="1" w:styleId="41">
    <w:name w:val="批注框文本 Char"/>
    <w:link w:val="17"/>
    <w:semiHidden/>
    <w:qFormat/>
    <w:uiPriority w:val="0"/>
    <w:rPr>
      <w:rFonts w:ascii="Times New Roman" w:hAnsi="Times New Roman" w:eastAsia="宋体"/>
      <w:sz w:val="18"/>
    </w:rPr>
  </w:style>
  <w:style w:type="character" w:customStyle="1" w:styleId="42">
    <w:name w:val="页脚 Char"/>
    <w:link w:val="18"/>
    <w:qFormat/>
    <w:uiPriority w:val="99"/>
    <w:rPr>
      <w:sz w:val="18"/>
    </w:rPr>
  </w:style>
  <w:style w:type="character" w:customStyle="1" w:styleId="43">
    <w:name w:val="页眉 Char"/>
    <w:link w:val="19"/>
    <w:qFormat/>
    <w:uiPriority w:val="0"/>
    <w:rPr>
      <w:sz w:val="18"/>
    </w:rPr>
  </w:style>
  <w:style w:type="character" w:customStyle="1" w:styleId="44">
    <w:name w:val="普通(网站) Char"/>
    <w:link w:val="22"/>
    <w:qFormat/>
    <w:uiPriority w:val="0"/>
    <w:rPr>
      <w:rFonts w:ascii="宋体" w:hAnsi="宋体" w:eastAsia="宋体"/>
      <w:sz w:val="24"/>
    </w:rPr>
  </w:style>
  <w:style w:type="character" w:customStyle="1" w:styleId="45">
    <w:name w:val="批注主题 Char"/>
    <w:link w:val="23"/>
    <w:semiHidden/>
    <w:qFormat/>
    <w:uiPriority w:val="0"/>
    <w:rPr>
      <w:rFonts w:ascii="Times New Roman" w:hAnsi="Times New Roman" w:eastAsia="宋体"/>
      <w:b/>
      <w:kern w:val="2"/>
      <w:sz w:val="24"/>
    </w:rPr>
  </w:style>
  <w:style w:type="character" w:customStyle="1" w:styleId="46">
    <w:name w:val="页脚 字符"/>
    <w:basedOn w:val="28"/>
    <w:qFormat/>
    <w:uiPriority w:val="99"/>
  </w:style>
  <w:style w:type="character" w:customStyle="1" w:styleId="47">
    <w:name w:val="正文文本 字符1"/>
    <w:semiHidden/>
    <w:qFormat/>
    <w:uiPriority w:val="0"/>
    <w:rPr>
      <w:rFonts w:ascii="Times New Roman" w:hAnsi="Times New Roman" w:eastAsia="宋体"/>
      <w:sz w:val="24"/>
    </w:rPr>
  </w:style>
  <w:style w:type="character" w:customStyle="1" w:styleId="48">
    <w:name w:val="表格 Char"/>
    <w:link w:val="49"/>
    <w:qFormat/>
    <w:uiPriority w:val="0"/>
    <w:rPr>
      <w:rFonts w:ascii="Times New Roman" w:hAnsi="Times New Roman" w:eastAsia="宋体"/>
      <w:sz w:val="21"/>
    </w:rPr>
  </w:style>
  <w:style w:type="paragraph" w:customStyle="1" w:styleId="49">
    <w:name w:val="表格"/>
    <w:basedOn w:val="21"/>
    <w:next w:val="1"/>
    <w:link w:val="48"/>
    <w:qFormat/>
    <w:uiPriority w:val="0"/>
    <w:pPr>
      <w:adjustRightInd w:val="0"/>
      <w:snapToGrid w:val="0"/>
      <w:spacing w:line="240" w:lineRule="auto"/>
      <w:ind w:left="0" w:firstLine="0" w:firstLineChars="0"/>
      <w:jc w:val="center"/>
    </w:pPr>
    <w:rPr>
      <w:rFonts w:ascii="Times New Roman" w:hAnsi="Times New Roman" w:eastAsia="宋体"/>
      <w:kern w:val="0"/>
    </w:rPr>
  </w:style>
  <w:style w:type="character" w:customStyle="1" w:styleId="50">
    <w:name w:val="日期 字符"/>
    <w:semiHidden/>
    <w:qFormat/>
    <w:uiPriority w:val="0"/>
    <w:rPr>
      <w:rFonts w:ascii="Times New Roman" w:hAnsi="Times New Roman" w:eastAsia="宋体"/>
      <w:sz w:val="24"/>
    </w:rPr>
  </w:style>
  <w:style w:type="character" w:customStyle="1" w:styleId="51">
    <w:name w:val="批注文字 字符1"/>
    <w:semiHidden/>
    <w:qFormat/>
    <w:uiPriority w:val="0"/>
    <w:rPr>
      <w:rFonts w:ascii="Times New Roman" w:hAnsi="Times New Roman" w:eastAsia="宋体"/>
      <w:sz w:val="24"/>
    </w:rPr>
  </w:style>
  <w:style w:type="paragraph" w:customStyle="1" w:styleId="52">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4">
    <w:name w:val="样式5"/>
    <w:basedOn w:val="55"/>
    <w:qFormat/>
    <w:uiPriority w:val="0"/>
    <w:pPr>
      <w:snapToGrid w:val="0"/>
      <w:spacing w:line="360" w:lineRule="auto"/>
      <w:ind w:firstLine="510"/>
    </w:pPr>
    <w:rPr>
      <w:sz w:val="24"/>
    </w:rPr>
  </w:style>
  <w:style w:type="paragraph" w:customStyle="1" w:styleId="55">
    <w:name w:val="样式3"/>
    <w:basedOn w:val="21"/>
    <w:next w:val="11"/>
    <w:qFormat/>
    <w:uiPriority w:val="0"/>
    <w:pPr>
      <w:jc w:val="center"/>
    </w:pPr>
    <w:rPr>
      <w:rFonts w:hAnsi="黑体" w:eastAsia="黑体"/>
      <w:color w:val="000000"/>
    </w:rPr>
  </w:style>
  <w:style w:type="paragraph" w:customStyle="1" w:styleId="56">
    <w:name w:val="Table Text"/>
    <w:basedOn w:val="1"/>
    <w:semiHidden/>
    <w:qFormat/>
    <w:uiPriority w:val="0"/>
    <w:rPr>
      <w:rFonts w:ascii="宋体" w:hAnsi="宋体" w:eastAsia="宋体" w:cs="宋体"/>
      <w:sz w:val="20"/>
      <w:szCs w:val="20"/>
      <w:lang w:val="en-US" w:eastAsia="en-US" w:bidi="ar-SA"/>
    </w:rPr>
  </w:style>
  <w:style w:type="paragraph" w:customStyle="1" w:styleId="57">
    <w:name w:val="管线正文"/>
    <w:basedOn w:val="1"/>
    <w:qFormat/>
    <w:uiPriority w:val="0"/>
    <w:pPr>
      <w:spacing w:line="360" w:lineRule="auto"/>
      <w:ind w:firstLine="482"/>
      <w:jc w:val="both"/>
      <w:textAlignment w:val="baseline"/>
    </w:pPr>
    <w:rPr>
      <w:rFonts w:cs="Times New Roman"/>
      <w:sz w:val="24"/>
      <w:szCs w:val="24"/>
    </w:rPr>
  </w:style>
  <w:style w:type="paragraph" w:customStyle="1" w:styleId="58">
    <w:name w:val="样式1"/>
    <w:basedOn w:val="32"/>
    <w:next w:val="49"/>
    <w:qFormat/>
    <w:uiPriority w:val="0"/>
    <w:pPr>
      <w:ind w:firstLine="462" w:firstLineChars="200"/>
    </w:pPr>
    <w:rPr>
      <w:rFonts w:ascii="宋体" w:hAnsi="宋体"/>
      <w:color w:val="000000"/>
    </w:rPr>
  </w:style>
  <w:style w:type="paragraph" w:customStyle="1" w:styleId="59">
    <w:name w:val="0"/>
    <w:basedOn w:val="1"/>
    <w:unhideWhenUsed/>
    <w:qFormat/>
    <w:uiPriority w:val="0"/>
    <w:pPr>
      <w:widowControl/>
      <w:spacing w:beforeLines="0" w:afterLines="0"/>
      <w:jc w:val="left"/>
    </w:pPr>
    <w:rPr>
      <w:rFonts w:hint="default"/>
      <w:kern w:val="0"/>
      <w:sz w:val="21"/>
    </w:rPr>
  </w:style>
  <w:style w:type="paragraph" w:customStyle="1" w:styleId="60">
    <w:name w:val="正文文本缩进2"/>
    <w:basedOn w:val="1"/>
    <w:qFormat/>
    <w:uiPriority w:val="0"/>
    <w:pPr>
      <w:autoSpaceDE w:val="0"/>
      <w:autoSpaceDN w:val="0"/>
      <w:adjustRightInd w:val="0"/>
      <w:spacing w:line="360" w:lineRule="auto"/>
      <w:ind w:firstLine="480" w:firstLineChars="200"/>
    </w:pPr>
    <w:rPr>
      <w:rFonts w:ascii="宋体" w:hAnsi="宋体"/>
      <w:kern w:val="0"/>
      <w:sz w:val="24"/>
      <w:szCs w:val="21"/>
    </w:rPr>
  </w:style>
  <w:style w:type="paragraph" w:customStyle="1" w:styleId="61">
    <w:name w:val="管线标题2"/>
    <w:basedOn w:val="1"/>
    <w:qFormat/>
    <w:uiPriority w:val="0"/>
    <w:pPr>
      <w:spacing w:beforeLines="50" w:line="360" w:lineRule="auto"/>
      <w:ind w:firstLine="472" w:firstLineChars="196"/>
    </w:pPr>
    <w:rPr>
      <w:rFonts w:cs="Times New Roman"/>
      <w:b/>
      <w:sz w:val="24"/>
      <w:szCs w:val="24"/>
    </w:rPr>
  </w:style>
  <w:style w:type="paragraph" w:customStyle="1" w:styleId="62">
    <w:name w:val="表格文"/>
    <w:basedOn w:val="1"/>
    <w:qFormat/>
    <w:uiPriority w:val="0"/>
    <w:pPr>
      <w:jc w:val="center"/>
    </w:pPr>
    <w:rPr>
      <w:bCs/>
      <w:szCs w:val="21"/>
      <w:lang w:bidi="ar-BH"/>
    </w:rPr>
  </w:style>
  <w:style w:type="paragraph" w:customStyle="1" w:styleId="63">
    <w:name w:val="正文-ls"/>
    <w:basedOn w:val="1"/>
    <w:qFormat/>
    <w:uiPriority w:val="0"/>
    <w:pPr>
      <w:widowControl w:val="0"/>
      <w:adjustRightInd/>
      <w:snapToGrid/>
      <w:spacing w:line="360" w:lineRule="auto"/>
      <w:ind w:firstLine="200" w:firstLineChars="200"/>
      <w:jc w:val="both"/>
    </w:pPr>
    <w:rPr>
      <w:rFonts w:hAnsi="宋体" w:cs="Times New Roman"/>
      <w:kern w:val="2"/>
      <w:sz w:val="24"/>
      <w:szCs w:val="20"/>
    </w:rPr>
  </w:style>
  <w:style w:type="paragraph" w:customStyle="1" w:styleId="64">
    <w:name w:val="表头"/>
    <w:basedOn w:val="32"/>
    <w:unhideWhenUsed/>
    <w:qFormat/>
    <w:uiPriority w:val="0"/>
    <w:pPr>
      <w:spacing w:beforeLines="0" w:after="50" w:afterLines="50"/>
    </w:pPr>
    <w:rPr>
      <w:rFonts w:hint="default" w:ascii="Times New Roman" w:hAnsi="Times New Roman" w:eastAsia="宋体" w:cs="Times New Roman"/>
      <w:sz w:val="24"/>
      <w:szCs w:val="24"/>
    </w:rPr>
  </w:style>
  <w:style w:type="paragraph" w:customStyle="1" w:styleId="65">
    <w:name w:val="Table Paragraph"/>
    <w:basedOn w:val="1"/>
    <w:qFormat/>
    <w:uiPriority w:val="1"/>
    <w:rPr>
      <w:rFonts w:ascii="宋体" w:hAnsi="宋体" w:eastAsia="宋体" w:cs="宋体"/>
      <w:lang w:val="zh-CN" w:eastAsia="zh-CN" w:bidi="zh-CN"/>
    </w:rPr>
  </w:style>
  <w:style w:type="paragraph" w:customStyle="1" w:styleId="66">
    <w:name w:val="表格文字"/>
    <w:basedOn w:val="24"/>
    <w:next w:val="1"/>
    <w:qFormat/>
    <w:uiPriority w:val="0"/>
    <w:pPr>
      <w:spacing w:line="560" w:lineRule="exact"/>
      <w:jc w:val="center"/>
    </w:pPr>
  </w:style>
  <w:style w:type="character" w:customStyle="1" w:styleId="67">
    <w:name w:val="表格标题 Char"/>
    <w:link w:val="32"/>
    <w:qFormat/>
    <w:uiPriority w:val="0"/>
    <w:rPr>
      <w:rFonts w:ascii="Times New Roman" w:hAnsi="Times New Roman" w:eastAsia="宋体" w:cs="Times New Roman"/>
      <w:b/>
      <w:kern w:val="0"/>
      <w:szCs w:val="21"/>
    </w:rPr>
  </w:style>
  <w:style w:type="paragraph" w:customStyle="1" w:styleId="68">
    <w:name w:val="正文 + 仿宋_GB2312"/>
    <w:basedOn w:val="1"/>
    <w:autoRedefine/>
    <w:qFormat/>
    <w:uiPriority w:val="99"/>
    <w:pPr>
      <w:ind w:firstLine="480" w:firstLineChars="200"/>
    </w:pPr>
    <w:rPr>
      <w:rFonts w:ascii="仿宋_GB2312" w:hAnsi="Calibri" w:eastAsia="仿宋_GB2312" w:cs="Times New Roman"/>
      <w:sz w:val="24"/>
    </w:rPr>
  </w:style>
  <w:style w:type="paragraph" w:customStyle="1" w:styleId="69">
    <w:name w:val="文本"/>
    <w:basedOn w:val="1"/>
    <w:autoRedefine/>
    <w:qFormat/>
    <w:uiPriority w:val="0"/>
    <w:pPr>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1" Type="http://schemas.openxmlformats.org/officeDocument/2006/relationships/fontTable" Target="fontTable.xml"/><Relationship Id="rId30" Type="http://schemas.microsoft.com/office/2006/relationships/keyMapCustomizations" Target="customizations.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3.png"/><Relationship Id="rId25" Type="http://schemas.openxmlformats.org/officeDocument/2006/relationships/image" Target="media/image12.wmf"/><Relationship Id="rId24" Type="http://schemas.openxmlformats.org/officeDocument/2006/relationships/image" Target="media/image11.wmf"/><Relationship Id="rId23" Type="http://schemas.openxmlformats.org/officeDocument/2006/relationships/image" Target="media/image10.wmf"/><Relationship Id="rId22" Type="http://schemas.openxmlformats.org/officeDocument/2006/relationships/image" Target="media/image9.wmf"/><Relationship Id="rId21" Type="http://schemas.openxmlformats.org/officeDocument/2006/relationships/image" Target="media/image8.wmf"/><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6.png"/><Relationship Id="rId17" Type="http://schemas.openxmlformats.org/officeDocument/2006/relationships/image" Target="media/image5.emf"/><Relationship Id="rId16" Type="http://schemas.openxmlformats.org/officeDocument/2006/relationships/oleObject" Target="embeddings/oleObject2.bin"/><Relationship Id="rId15" Type="http://schemas.openxmlformats.org/officeDocument/2006/relationships/image" Target="media/image4.png"/><Relationship Id="rId14" Type="http://schemas.openxmlformats.org/officeDocument/2006/relationships/image" Target="media/image3.emf"/><Relationship Id="rId13" Type="http://schemas.openxmlformats.org/officeDocument/2006/relationships/oleObject" Target="embeddings/oleObject1.bin"/><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f3e902e0-4b4d-4fba-a847-29bd681540f2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7818FD75</paraID>
      <start>0</start>
      <end>2</end>
      <status>unmodified</status>
      <modifiedWord/>
      <trackRevisions>false</trackRevisions>
    </reviewItem>
    <reviewItem>
      <errorID>8ade766c-c851-49d0-8ae2-921ba6492fec</errorID>
      <errorWord>《陕西省限制投资类产业指导目录》（2007年本）</errorWord>
      <group>L1_Knowledge</group>
      <groupName>知识性问题</groupName>
      <ability>L2_Knowledge</ability>
      <abilityName>其他知识</abilityName>
      <candidateList>
        <item>《陕西省限制投资类产业指导目录（2007年本）》</item>
      </candidateList>
      <explain>疑似政策文件、法律法规名称等书写不规范，请注意检查。</explain>
      <paraID>2B916B2B</paraID>
      <start>137</start>
      <end>161</end>
      <status>ignored</status>
      <modifiedWord/>
      <trackRevisions>false</trackRevisions>
    </reviewItem>
    <reviewItem>
      <errorID>6d6bcbcd-1d7d-44ab-b8f1-9db976fb5b45</errorID>
      <errorWord>上线</errorWord>
      <group>L1_Word</group>
      <groupName>字词问题</groupName>
      <ability>L2_Typo</ability>
      <abilityName>字词错误</abilityName>
      <candidateList>
        <item>上限</item>
      </candidateList>
      <explain/>
      <paraID>5890F0C2</paraID>
      <start>57</start>
      <end>59</end>
      <status>unmodified</status>
      <modifiedWord/>
      <trackRevisions>false</trackRevisions>
    </reviewItem>
    <reviewItem>
      <errorID>0a1c7688-be7e-4cb1-a2d2-0c4190ecdb5f</errorID>
      <errorWord>(</errorWord>
      <group>L1_Format</group>
      <groupName>格式问题</groupName>
      <ability>L2_HalfPunc_CN</ability>
      <abilityName>全半角问题</abilityName>
      <candidateList>
        <item>（</item>
      </candidateList>
      <explain>文本全半角错误。</explain>
      <paraID>2F7BFC27</paraID>
      <start>1</start>
      <end>2</end>
      <status>unmodified</status>
      <modifiedWord/>
      <trackRevisions>false</trackRevisions>
    </reviewItem>
    <reviewItem>
      <errorID>fca284d4-21d6-4480-b85d-32f868fa855d</errorID>
      <errorWord>)</errorWord>
      <group>L1_Format</group>
      <groupName>格式问题</groupName>
      <ability>L2_HalfPunc_CN</ability>
      <abilityName>全半角问题</abilityName>
      <candidateList>
        <item>）</item>
      </candidateList>
      <explain>文本全半角错误。</explain>
      <paraID>2F7BFC27</paraID>
      <start>3</start>
      <end>4</end>
      <status>unmodified</status>
      <modifiedWord/>
      <trackRevisions>false</trackRevisions>
    </reviewItem>
    <reviewItem>
      <errorID>0935a544-72b9-41c3-8068-85b641b43bb2</errorID>
      <errorWord>城乡结合部</errorWord>
      <group>L1_Word</group>
      <groupName>字词问题</groupName>
      <ability>L2_Typo</ability>
      <abilityName>字词错误</abilityName>
      <candidateList>
        <item>城乡接合部</item>
      </candidateList>
      <explain/>
      <paraID>3A2F1F38</paraID>
      <start>51</start>
      <end>56</end>
      <status>unmodified</status>
      <modifiedWord/>
      <trackRevisions>false</trackRevisions>
    </reviewItem>
    <reviewItem>
      <errorID>c3c7a954-b15d-421c-a7da-64e352bfa40c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271788CB</paraID>
      <start>21</start>
      <end>22</end>
      <status>unmodified</status>
      <modifiedWord/>
      <trackRevisions>false</trackRevisions>
    </reviewItem>
    <reviewItem>
      <errorID>a092242e-fd3c-4dc2-9266-1f610a497208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2632C55C</paraID>
      <start>21</start>
      <end>22</end>
      <status>unmodified</status>
      <modifiedWord/>
      <trackRevisions>false</trackRevisions>
    </reviewItem>
    <reviewItem>
      <errorID>528cc35c-8c23-413c-9cf5-65b6469fee33</errorID>
      <errorWord>、就</errorWord>
      <group>L1_Punc</group>
      <groupName>标点问题</groupName>
      <ability>L2_Punc_CN</ability>
      <abilityName>标点符号问题</abilityName>
      <candidateList>
        <item>，就</item>
      </candidateList>
      <explain>连接词前后不宜使用顿号，建议使用逗号。</explain>
      <paraID>1204DD7B</paraID>
      <start>17</start>
      <end>19</end>
      <status>unmodified</status>
      <modifiedWord/>
      <trackRevisions>false</trackRevisions>
    </reviewItem>
    <reviewItem>
      <errorID>a2a37f3c-2aaf-4da3-ba97-a0aa88e3c630</errorID>
      <errorWord>1万-3万</errorWord>
      <group>L1_Knowledge</group>
      <groupName>知识性问题</groupName>
      <ability>L2_Knowledge</ability>
      <abilityName>其他知识</abilityName>
      <candidateList>
        <item>1万—3万</item>
      </candidateList>
      <explain>1. “1万-3万”中的单位“万”仅出现在后一个数字上，容易引起歧义；根据《现代汉语标点符号数字用法规范手册》，数字表示范围两边需要使用统一的格式。2.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1204DD7B</paraID>
      <start>50</start>
      <end>55</end>
      <status>unmodified</status>
      <modifiedWord/>
      <trackRevisions>false</trackRevisions>
    </reviewItem>
    <reviewItem>
      <errorID>fa560316-8a41-4dbe-bbb8-5cecdb5c35c2</errorID>
      <errorWord>~</errorWord>
      <group>L1_Format</group>
      <groupName>格式问题</groupName>
      <ability>L2_HalfPunc_CN</ability>
      <abilityName>全半角问题</abilityName>
      <candidateList>
        <item>～</item>
      </candidateList>
      <explain>文本全半角错误。</explain>
      <paraID>4DAF0618</paraID>
      <start>40</start>
      <end>41</end>
      <status>unmodified</status>
      <modifiedWord/>
      <trackRevisions>false</trackRevisions>
    </reviewItem>
    <reviewItem>
      <errorID>fb16a445-6917-4d7a-8eec-1272f4c4d6f4</errorID>
      <errorWord>法律、法规</errorWord>
      <group>L1_Word</group>
      <groupName>字词问题</groupName>
      <ability>L2_Typo</ability>
      <abilityName>字词错误</abilityName>
      <candidateList>
        <item>法律法规</item>
      </candidateList>
      <explain/>
      <paraID>1BA9C61D</paraID>
      <start>216</start>
      <end>221</end>
      <status>unmodified</status>
      <modifiedWord/>
      <trackRevisions>false</trackRevisions>
    </reviewItem>
    <reviewItem>
      <errorID>fd981261-04a8-4367-a1ba-4fd028d32a77</errorID>
      <errorWord>、，</errorWord>
      <group>L1_Punc</group>
      <groupName>标点问题</groupName>
      <ability>L2_Punc_CN</ability>
      <abilityName>标点符号问题</abilityName>
      <candidateList>
        <item>、</item>
      </candidateList>
      <explain/>
      <paraID>43BD3993</paraID>
      <start>124</start>
      <end>126</end>
      <status>unmodified</status>
      <modifiedWord/>
      <trackRevisions>false</trackRevisions>
    </reviewItem>
    <reviewItem>
      <errorID>49b6b627-5aaa-47ec-89c2-dc01bc787229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43BD3993</paraID>
      <start>140</start>
      <end>143</end>
      <status>unmodified</status>
      <modifiedWord/>
      <trackRevisions>false</trackRevisions>
    </reviewItem>
    <reviewItem>
      <errorID>9ddc0051-bede-409a-a3a1-5947b1a11a29</errorID>
      <errorWord>-</errorWord>
      <group>L1_Format</group>
      <groupName>格式问题</groupName>
      <ability>L2_HalfPunc_CN</ability>
      <abilityName>全半角问题</abilityName>
      <candidateList>
        <item>－</item>
      </candidateList>
      <explain>文本全半角错误。</explain>
      <paraID>43BD3993</paraID>
      <start>183</start>
      <end>184</end>
      <status>unmodified</status>
      <modifiedWord/>
      <trackRevisions>false</trackRevisions>
    </reviewItem>
    <reviewItem>
      <errorID>8c21ce13-92b4-497e-9550-071ed92c9cf2</errorID>
      <errorWord>-</errorWord>
      <group>L1_Format</group>
      <groupName>格式问题</groupName>
      <ability>L2_HalfPunc_CN</ability>
      <abilityName>全半角问题</abilityName>
      <candidateList>
        <item>－</item>
      </candidateList>
      <explain>文本全半角错误。</explain>
      <paraID>43BD3993</paraID>
      <start>220</start>
      <end>221</end>
      <status>unmodified</status>
      <modifiedWord/>
      <trackRevisions>false</trackRevisions>
    </reviewItem>
    <reviewItem>
      <errorID>cb0e2aaf-6318-4a0a-8d8f-6601e2a6f59f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3F8318CE</paraID>
      <start>167</start>
      <end>168</end>
      <status>unmodified</status>
      <modifiedWord/>
      <trackRevisions>false</trackRevisions>
    </reviewItem>
    <reviewItem>
      <errorID>95963578-950b-4c55-9c45-4ac49204bf68</errorID>
      <errorWord>法律、法规</errorWord>
      <group>L1_Word</group>
      <groupName>字词问题</groupName>
      <ability>L2_Typo</ability>
      <abilityName>字词错误</abilityName>
      <candidateList>
        <item>法律法规</item>
      </candidateList>
      <explain/>
      <paraID>494ABAF9</paraID>
      <start>142</start>
      <end>147</end>
      <status>unmodified</status>
      <modifiedWord/>
      <trackRevisions>false</trackRevisions>
    </reviewItem>
    <reviewItem>
      <errorID>25cbc987-96c9-435e-9982-e689d109f789</errorID>
      <errorWord>其</errorWord>
      <group>L1_Word</group>
      <groupName>字词问题</groupName>
      <ability>L2_Typo</ability>
      <abilityName>字词错误</abilityName>
      <candidateList>
        <item>气</item>
      </candidateList>
      <explain/>
      <paraID> 3003ACE</paraID>
      <start>11</start>
      <end>12</end>
      <status>modified</status>
      <modifiedWord>气</modifiedWord>
      <trackRevisions>false</trackRevisions>
    </reviewItem>
    <reviewItem>
      <errorID>dd4279e7-2ace-45a8-9624-f2f46d4b7742</errorID>
      <errorWord>45%-50%</errorWord>
      <group>L1_Knowledge</group>
      <groupName>知识性问题</groupName>
      <ability>L2_Knowledge</ability>
      <abilityName>其他知识</abilityName>
      <candidateList>
        <item>45%—50%</item>
      </candidateList>
      <explain>1. “45%-50%”中的单位“%”仅出现在后一个数字上，容易引起歧义；根据《现代汉语标点符号数字用法规范手册》，数字表示范围两边需要使用统一的格式。2. 根据标点国标 4.13 中的规则，数字、时间或地域连接符应使用（视觉上更长的）“—”或“～”。</explain>
      <paraID>305676EE</paraID>
      <start>127</start>
      <end>134</end>
      <status>unmodified</status>
      <modifiedWord/>
      <trackRevisions>false</trackRevisions>
    </reviewItem>
    <reviewItem>
      <errorID>f7fc16f4-8e22-4226-8600-44d2ab015f64</errorID>
      <errorWord>一步</errorWord>
      <group>L1_Knowledge</group>
      <groupName>知识性问题</groupName>
      <ability>L2_Knowledge</ability>
      <abilityName>其他知识</abilityName>
      <candidateList>
        <item>一道</item>
      </candidateList>
      <explain/>
      <paraID>341690AE</paraID>
      <start>76</start>
      <end>78</end>
      <status>unmodified</status>
      <modifiedWord/>
      <trackRevisions>false</trackRevisions>
    </reviewItem>
    <reviewItem>
      <errorID>f5ca370a-094a-40d1-840e-ccba8cec0fe7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3E2CDE5C</paraID>
      <start>0</start>
      <end>2</end>
      <status>unmodified</status>
      <modifiedWord/>
      <trackRevisions>false</trackRevisions>
    </reviewItem>
    <reviewItem>
      <errorID>3066f927-ca4a-4017-97bb-369e5c26b0d3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61B164A8</paraID>
      <start>124</start>
      <end>125</end>
      <status>unmodified</status>
      <modifiedWord/>
      <trackRevisions>false</trackRevisions>
    </reviewItem>
    <reviewItem>
      <errorID>bb22078b-4d98-4ff5-9b08-e5ac4b6d203a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61B164A8</paraID>
      <start>150</start>
      <end>151</end>
      <status>unmodified</status>
      <modifiedWord/>
      <trackRevisions>false</trackRevisions>
    </reviewItem>
    <reviewItem>
      <errorID>096e4c94-c719-4f89-88a0-41d69625c3a8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255FBA6F</paraID>
      <start>0</start>
      <end>2</end>
      <status>unmodified</status>
      <modifiedWord/>
      <trackRevisions>false</trackRevisions>
    </reviewItem>
    <reviewItem>
      <errorID>4cb28373-6f36-4a41-bb76-4c1914a34be5</errorID>
      <errorWord>（</errorWord>
      <group>L1_Format</group>
      <groupName>格式问题</groupName>
      <ability>L2_HalfPunc_CN</ability>
      <abilityName>全半角问题</abilityName>
      <candidateList>
        <item>(</item>
      </candidateList>
      <explain>文本全半角错误。</explain>
      <paraID>6CEC1BE4</paraID>
      <start>0</start>
      <end>1</end>
      <status>unmodified</status>
      <modifiedWord/>
      <trackRevisions>false</trackRevisions>
    </reviewItem>
    <reviewItem>
      <errorID>dd3c755f-2a38-448b-b17f-a2096139e3cc</errorID>
      <errorWord>）</errorWord>
      <group>L1_Format</group>
      <groupName>格式问题</groupName>
      <ability>L2_HalfPunc_CN</ability>
      <abilityName>全半角问题</abilityName>
      <candidateList>
        <item>)</item>
      </candidateList>
      <explain>文本全半角错误。</explain>
      <paraID>6CEC1BE4</paraID>
      <start>6</start>
      <end>7</end>
      <status>unmodified</status>
      <modifiedWord/>
      <trackRevisions>false</trackRevisions>
    </reviewItem>
    <reviewItem>
      <errorID>1b5602e2-616b-4aa6-807a-d0a097f17fbc</errorID>
      <errorWord>(</errorWord>
      <group>L1_Format</group>
      <groupName>格式问题</groupName>
      <ability>L2_HalfPunc_CN</ability>
      <abilityName>全半角问题</abilityName>
      <candidateList>
        <item>（</item>
      </candidateList>
      <explain>文本全半角错误。</explain>
      <paraID>666EC22C</paraID>
      <start>11</start>
      <end>12</end>
      <status>unmodified</status>
      <modifiedWord/>
      <trackRevisions>false</trackRevisions>
    </reviewItem>
    <reviewItem>
      <errorID>ba3a69a6-91cc-4459-b776-06cc00c17392</errorID>
      <errorWord>)</errorWord>
      <group>L1_Format</group>
      <groupName>格式问题</groupName>
      <ability>L2_HalfPunc_CN</ability>
      <abilityName>全半角问题</abilityName>
      <candidateList>
        <item>）</item>
      </candidateList>
      <explain>文本全半角错误。</explain>
      <paraID>666EC22C</paraID>
      <start>17</start>
      <end>18</end>
      <status>unmodified</status>
      <modifiedWord/>
      <trackRevisions>false</trackRevisions>
    </reviewItem>
    <reviewItem>
      <errorID>59937bf4-42d7-4b49-9f69-068046cb66b7</errorID>
      <errorWord>（</errorWord>
      <group>L1_Format</group>
      <groupName>格式问题</groupName>
      <ability>L2_HalfPunc_CN</ability>
      <abilityName>全半角问题</abilityName>
      <candidateList>
        <item>(</item>
      </candidateList>
      <explain>文本全半角错误。</explain>
      <paraID>4947FC03</paraID>
      <start>0</start>
      <end>1</end>
      <status>unmodified</status>
      <modifiedWord/>
      <trackRevisions>false</trackRevisions>
    </reviewItem>
    <reviewItem>
      <errorID>1ebf489b-5f23-4db6-a640-b93d93f0dbbc</errorID>
      <errorWord>）</errorWord>
      <group>L1_Format</group>
      <groupName>格式问题</groupName>
      <ability>L2_HalfPunc_CN</ability>
      <abilityName>全半角问题</abilityName>
      <candidateList>
        <item>)</item>
      </candidateList>
      <explain>文本全半角错误。</explain>
      <paraID>4947FC03</paraID>
      <start>2</start>
      <end>3</end>
      <status>unmodified</status>
      <modifiedWord/>
      <trackRevisions>false</trackRevisions>
    </reviewItem>
    <reviewItem>
      <errorID>b21f4df9-750a-4180-9ccc-9fa71121ecdd</errorID>
      <errorWord>（</errorWord>
      <group>L1_Format</group>
      <groupName>格式问题</groupName>
      <ability>L2_HalfPunc_CN</ability>
      <abilityName>全半角问题</abilityName>
      <candidateList>
        <item>(</item>
      </candidateList>
      <explain>文本全半角错误。</explain>
      <paraID>7389B3B7</paraID>
      <start>0</start>
      <end>1</end>
      <status>unmodified</status>
      <modifiedWord/>
      <trackRevisions>false</trackRevisions>
    </reviewItem>
    <reviewItem>
      <errorID>15ed23e7-8d15-40ee-bde1-ec0bc036504d</errorID>
      <errorWord>）</errorWord>
      <group>L1_Format</group>
      <groupName>格式问题</groupName>
      <ability>L2_HalfPunc_CN</ability>
      <abilityName>全半角问题</abilityName>
      <candidateList>
        <item>)</item>
      </candidateList>
      <explain>文本全半角错误。</explain>
      <paraID>7389B3B7</paraID>
      <start>5</start>
      <end>6</end>
      <status>unmodified</status>
      <modifiedWord/>
      <trackRevisions>false</trackRevisions>
    </reviewItem>
    <reviewItem>
      <errorID>c74f3ffd-296a-4319-825b-7ce6936e7dd6</errorID>
      <errorWord>，＜</errorWord>
      <group>L1_Format</group>
      <groupName>格式问题</groupName>
      <ability>L2_HalfPunc_CN</ability>
      <abilityName>全半角问题</abilityName>
      <candidateList>
        <item>,&lt;</item>
      </candidateList>
      <explain>文本全半角错误。</explain>
      <paraID>6E8FB0C8</paraID>
      <start>2</start>
      <end>4</end>
      <status>unmodified</status>
      <modifiedWord/>
      <trackRevisions>false</trackRevisions>
    </reviewItem>
    <reviewItem>
      <errorID>43738b78-1f4a-4077-99a7-c917e50c86b2</errorID>
      <errorWord>(</errorWord>
      <group>L1_Format</group>
      <groupName>格式问题</groupName>
      <ability>L2_HalfPunc_CN</ability>
      <abilityName>全半角问题</abilityName>
      <candidateList>
        <item>（</item>
      </candidateList>
      <explain>文本全半角错误。</explain>
      <paraID> CF1179A</paraID>
      <start>78</start>
      <end>79</end>
      <status>unmodified</status>
      <modifiedWord/>
      <trackRevisions>false</trackRevisions>
    </reviewItem>
    <reviewItem>
      <errorID>09a760d2-f817-4f5c-96ab-4ee0b745bbf7</errorID>
      <errorWord>)</errorWord>
      <group>L1_Format</group>
      <groupName>格式问题</groupName>
      <ability>L2_HalfPunc_CN</ability>
      <abilityName>全半角问题</abilityName>
      <candidateList>
        <item>）</item>
      </candidateList>
      <explain>文本全半角错误。</explain>
      <paraID> CF1179A</paraID>
      <start>91</start>
      <end>92</end>
      <status>unmodified</status>
      <modifiedWord/>
      <trackRevisions>false</trackRevisions>
    </reviewItem>
    <reviewItem>
      <errorID>a38a610e-2d29-4de4-b1a5-838d1d10af94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24FBF64D</paraID>
      <start>0</start>
      <end>2</end>
      <status>unmodified</status>
      <modifiedWord/>
      <trackRevisions>false</trackRevisions>
    </reviewItem>
    <reviewItem>
      <errorID>83accca6-e648-4fe6-9057-b96d66e99f97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47591EEC</paraID>
      <start>57</start>
      <end>58</end>
      <status>unmodified</status>
      <modifiedWord/>
      <trackRevisions>false</trackRevisions>
    </reviewItem>
    <reviewItem>
      <errorID>666fba43-afdb-40f4-98ab-767de52b37b4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5100E827</paraID>
      <start>0</start>
      <end>2</end>
      <status>unmodified</status>
      <modifiedWord/>
      <trackRevisions>false</trackRevisions>
    </reviewItem>
    <reviewItem>
      <errorID>6a2c4874-bc64-4760-93d4-4e2ca14304ae</errorID>
      <errorWord>~</errorWord>
      <group>L1_Format</group>
      <groupName>格式问题</groupName>
      <ability>L2_HalfPunc_CN</ability>
      <abilityName>全半角问题</abilityName>
      <candidateList>
        <item>～</item>
      </candidateList>
      <explain>文本全半角错误。</explain>
      <paraID>143EBF98</paraID>
      <start>57</start>
      <end>58</end>
      <status>unmodified</status>
      <modifiedWord/>
      <trackRevisions>false</trackRevisions>
    </reviewItem>
    <reviewItem>
      <errorID>9cc86f29-4517-4ff9-aa2e-77cf22797b12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29AA3D17</paraID>
      <start>0</start>
      <end>2</end>
      <status>unmodified</status>
      <modifiedWord/>
      <trackRevisions>false</trackRevisions>
    </reviewItem>
    <reviewItem>
      <errorID>1e8c9f37-5858-4f7f-b652-79075d7ef5a9</errorID>
      <errorWord>～</errorWord>
      <group>L1_Format</group>
      <groupName>格式问题</groupName>
      <ability>L2_HalfPunc_CN</ability>
      <abilityName>全半角问题</abilityName>
      <candidateList>
        <item>~</item>
      </candidateList>
      <explain>文本全半角错误。</explain>
      <paraID> 134D498</paraID>
      <start>2</start>
      <end>3</end>
      <status>unmodified</status>
      <modifiedWord/>
      <trackRevisions>false</trackRevisions>
    </reviewItem>
    <reviewItem>
      <errorID>bc9e0e28-a098-4425-b331-c4c1c940e04f</errorID>
      <errorWord>法律、法规</errorWord>
      <group>L1_Word</group>
      <groupName>字词问题</groupName>
      <ability>L2_Typo</ability>
      <abilityName>字词错误</abilityName>
      <candidateList>
        <item>法律法规</item>
      </candidateList>
      <explain/>
      <paraID>7407E02B</paraID>
      <start>70</start>
      <end>75</end>
      <status>unmodified</status>
      <modifiedWord/>
      <trackRevisions>false</trackRevisions>
    </reviewItem>
    <reviewItem>
      <errorID>5360bea0-9b3e-4737-9b42-d0d89caa9219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2491114D</paraID>
      <start>0</start>
      <end>2</end>
      <status>unmodified</status>
      <modifiedWord/>
      <trackRevisions>false</trackRevisions>
    </reviewItem>
    <reviewItem>
      <errorID>6afddac2-6c36-485f-85c8-1bb9849bfc8d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363EEB48</paraID>
      <start>0</start>
      <end>2</end>
      <status>unmodified</status>
      <modifiedWord/>
      <trackRevisions>false</trackRevisions>
    </reviewItem>
    <reviewItem>
      <errorID>2933d6cd-9484-484e-bf88-8060bd0914e0</errorID>
      <errorWord>-</errorWord>
      <group>L1_Format</group>
      <groupName>格式问题</groupName>
      <ability>L2_HalfPunc_CN</ability>
      <abilityName>全半角问题</abilityName>
      <candidateList>
        <item>－</item>
      </candidateList>
      <explain>文本全半角错误。</explain>
      <paraID>697F94ED</paraID>
      <start>5</start>
      <end>6</end>
      <status>unmodified</status>
      <modifiedWord/>
      <trackRevisions>false</trackRevisions>
    </reviewItem>
    <reviewItem>
      <errorID>b78aeed1-211d-489d-90af-6713b8013948</errorID>
      <errorWord>-</errorWord>
      <group>L1_Format</group>
      <groupName>格式问题</groupName>
      <ability>L2_HalfPunc_CN</ability>
      <abilityName>全半角问题</abilityName>
      <candidateList>
        <item>－</item>
      </candidateList>
      <explain>文本全半角错误。</explain>
      <paraID>674FC3FC</paraID>
      <start>5</start>
      <end>6</end>
      <status>unmodified</status>
      <modifiedWord/>
      <trackRevisions>false</trackRevisions>
    </reviewItem>
    <reviewItem>
      <errorID>88100f9a-2680-4aab-9d77-c990e488cad9</errorID>
      <errorWord>-</errorWord>
      <group>L1_Format</group>
      <groupName>格式问题</groupName>
      <ability>L2_HalfPunc_CN</ability>
      <abilityName>全半角问题</abilityName>
      <candidateList>
        <item>－</item>
      </candidateList>
      <explain>文本全半角错误。</explain>
      <paraID> 766E8D1</paraID>
      <start>5</start>
      <end>6</end>
      <status>unmodified</status>
      <modifiedWord/>
      <trackRevisions>false</trackRevisions>
    </reviewItem>
    <reviewItem>
      <errorID>8d019a28-0eb6-48b1-9270-feacf083b1c3</errorID>
      <errorWord>-</errorWord>
      <group>L1_Format</group>
      <groupName>格式问题</groupName>
      <ability>L2_HalfPunc_CN</ability>
      <abilityName>全半角问题</abilityName>
      <candidateList>
        <item>－</item>
      </candidateList>
      <explain>文本全半角错误。</explain>
      <paraID>5953AE2C</paraID>
      <start>5</start>
      <end>6</end>
      <status>unmodified</status>
      <modifiedWord/>
      <trackRevisions>false</trackRevisions>
    </reviewItem>
    <reviewItem>
      <errorID>f3903632-73a0-462a-b1c7-d48a1817c262</errorID>
      <errorWord>-</errorWord>
      <group>L1_Format</group>
      <groupName>格式问题</groupName>
      <ability>L2_HalfPunc_CN</ability>
      <abilityName>全半角问题</abilityName>
      <candidateList>
        <item>－</item>
      </candidateList>
      <explain>文本全半角错误。</explain>
      <paraID>797328A4</paraID>
      <start>5</start>
      <end>6</end>
      <status>unmodified</status>
      <modifiedWord/>
      <trackRevisions>false</trackRevisions>
    </reviewItem>
    <reviewItem>
      <errorID>0f5d84cb-22c2-4e5e-b647-7de2d2f659ca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3E83BCA1</paraID>
      <start>11</start>
      <end>12</end>
      <status>unmodified</status>
      <modifiedWord/>
      <trackRevisions>false</trackRevisions>
    </reviewItem>
    <reviewItem>
      <errorID>f9a6b09f-e679-4951-acea-75abcb1f658a</errorID>
      <errorWord>(</errorWord>
      <group>L1_Format</group>
      <groupName>格式问题</groupName>
      <ability>L2_HalfPunc_CN</ability>
      <abilityName>全半角问题</abilityName>
      <candidateList>
        <item>（</item>
      </candidateList>
      <explain>文本全半角错误。</explain>
      <paraID>3E83BCA1</paraID>
      <start>12</start>
      <end>13</end>
      <status>unmodified</status>
      <modifiedWord/>
      <trackRevisions>false</trackRevisions>
    </reviewItem>
    <reviewItem>
      <errorID>51d02a7d-831b-4f0a-9b15-ced7dc806753</errorID>
      <errorWord>)</errorWord>
      <group>L1_Format</group>
      <groupName>格式问题</groupName>
      <ability>L2_HalfPunc_CN</ability>
      <abilityName>全半角问题</abilityName>
      <candidateList>
        <item>）</item>
      </candidateList>
      <explain>文本全半角错误。</explain>
      <paraID>3E83BCA1</paraID>
      <start>23</start>
      <end>24</end>
      <status>unmodified</status>
      <modifiedWord/>
      <trackRevisions>false</trackRevisions>
    </reviewItem>
    <reviewItem>
      <errorID>c47300fc-1dd6-4089-90e3-9d08616c76b8</errorID>
      <errorWord>-</errorWord>
      <group>L1_Format</group>
      <groupName>格式问题</groupName>
      <ability>L2_HalfPunc_CN</ability>
      <abilityName>全半角问题</abilityName>
      <candidateList>
        <item>－</item>
      </candidateList>
      <explain>文本全半角错误。</explain>
      <paraID>2B33CBBD</paraID>
      <start>3</start>
      <end>4</end>
      <status>unmodified</status>
      <modifiedWord/>
      <trackRevisions>false</trackRevisions>
    </reviewItem>
    <reviewItem>
      <errorID>84174485-3c63-498a-a067-6780a6b8c27f</errorID>
      <errorWord>-</errorWord>
      <group>L1_Format</group>
      <groupName>格式问题</groupName>
      <ability>L2_HalfPunc_CN</ability>
      <abilityName>全半角问题</abilityName>
      <candidateList>
        <item>－</item>
      </candidateList>
      <explain>文本全半角错误。</explain>
      <paraID>559882AA</paraID>
      <start>3</start>
      <end>4</end>
      <status>unmodified</status>
      <modifiedWord/>
      <trackRevisions>false</trackRevisions>
    </reviewItem>
    <reviewItem>
      <errorID>ed2661ef-5d40-4d29-900d-94dea3626522</errorID>
      <errorWord>-</errorWord>
      <group>L1_Format</group>
      <groupName>格式问题</groupName>
      <ability>L2_HalfPunc_CN</ability>
      <abilityName>全半角问题</abilityName>
      <candidateList>
        <item>－</item>
      </candidateList>
      <explain>文本全半角错误。</explain>
      <paraID>63559CBF</paraID>
      <start>3</start>
      <end>4</end>
      <status>unmodified</status>
      <modifiedWord/>
      <trackRevisions>false</trackRevisions>
    </reviewItem>
    <reviewItem>
      <errorID>2600ce3c-0844-405e-aa14-c753044a03d8</errorID>
      <errorWord>-</errorWord>
      <group>L1_Format</group>
      <groupName>格式问题</groupName>
      <ability>L2_HalfPunc_CN</ability>
      <abilityName>全半角问题</abilityName>
      <candidateList>
        <item>－</item>
      </candidateList>
      <explain>文本全半角错误。</explain>
      <paraID>59C15D56</paraID>
      <start>3</start>
      <end>4</end>
      <status>unmodified</status>
      <modifiedWord/>
      <trackRevisions>false</trackRevisions>
    </reviewItem>
    <reviewItem>
      <errorID>f19fc6f7-6805-444a-8981-57a7f931c93f</errorID>
      <errorWord>(</errorWord>
      <group>L1_Format</group>
      <groupName>格式问题</groupName>
      <ability>L2_HalfPunc_CN</ability>
      <abilityName>全半角问题</abilityName>
      <candidateList>
        <item>（</item>
      </candidateList>
      <explain>文本全半角错误。</explain>
      <paraID>78817499</paraID>
      <start>3</start>
      <end>4</end>
      <status>unmodified</status>
      <modifiedWord/>
      <trackRevisions>false</trackRevisions>
    </reviewItem>
    <reviewItem>
      <errorID>872f53f4-c545-4c08-8947-7e319bf508be</errorID>
      <errorWord>)</errorWord>
      <group>L1_Format</group>
      <groupName>格式问题</groupName>
      <ability>L2_HalfPunc_CN</ability>
      <abilityName>全半角问题</abilityName>
      <candidateList>
        <item>）</item>
      </candidateList>
      <explain>文本全半角错误。</explain>
      <paraID>78817499</paraID>
      <start>7</start>
      <end>8</end>
      <status>unmodified</status>
      <modifiedWord/>
      <trackRevisions>false</trackRevisions>
    </reviewItem>
    <reviewItem>
      <errorID>8b153692-c016-4a54-8e7d-9f04f6f675ae</errorID>
      <errorWord>(</errorWord>
      <group>L1_Format</group>
      <groupName>格式问题</groupName>
      <ability>L2_HalfPunc_CN</ability>
      <abilityName>全半角问题</abilityName>
      <candidateList>
        <item>（</item>
      </candidateList>
      <explain>文本全半角错误。</explain>
      <paraID>  5A4F55</paraID>
      <start>3</start>
      <end>4</end>
      <status>unmodified</status>
      <modifiedWord/>
      <trackRevisions>false</trackRevisions>
    </reviewItem>
    <reviewItem>
      <errorID>46df4153-292c-42c3-9318-d93609a7fe76</errorID>
      <errorWord>)</errorWord>
      <group>L1_Format</group>
      <groupName>格式问题</groupName>
      <ability>L2_HalfPunc_CN</ability>
      <abilityName>全半角问题</abilityName>
      <candidateList>
        <item>）</item>
      </candidateList>
      <explain>文本全半角错误。</explain>
      <paraID>  5A4F55</paraID>
      <start>7</start>
      <end>8</end>
      <status>unmodified</status>
      <modifiedWord/>
      <trackRevisions>false</trackRevisions>
    </reviewItem>
    <reviewItem>
      <errorID>29db17d2-37d6-4039-96e9-19d55744ff93</errorID>
      <errorWord>(</errorWord>
      <group>L1_Format</group>
      <groupName>格式问题</groupName>
      <ability>L2_HalfPunc_CN</ability>
      <abilityName>全半角问题</abilityName>
      <candidateList>
        <item>（</item>
      </candidateList>
      <explain>文本全半角错误。</explain>
      <paraID>5ACC0F1F</paraID>
      <start>4</start>
      <end>5</end>
      <status>unmodified</status>
      <modifiedWord/>
      <trackRevisions>false</trackRevisions>
    </reviewItem>
    <reviewItem>
      <errorID>b5146318-563c-45c3-a3b5-1ae0a761fe87</errorID>
      <errorWord>)</errorWord>
      <group>L1_Format</group>
      <groupName>格式问题</groupName>
      <ability>L2_HalfPunc_CN</ability>
      <abilityName>全半角问题</abilityName>
      <candidateList>
        <item>）</item>
      </candidateList>
      <explain>文本全半角错误。</explain>
      <paraID>5ACC0F1F</paraID>
      <start>9</start>
      <end>10</end>
      <status>unmodified</status>
      <modifiedWord/>
      <trackRevisions>false</trackRevisions>
    </reviewItem>
    <reviewItem>
      <errorID>61d902ef-138f-4450-a4bf-481b900796b1</errorID>
      <errorWord>(</errorWord>
      <group>L1_Format</group>
      <groupName>格式问题</groupName>
      <ability>L2_HalfPunc_CN</ability>
      <abilityName>全半角问题</abilityName>
      <candidateList>
        <item>（</item>
      </candidateList>
      <explain>文本全半角错误。</explain>
      <paraID>6B4929E1</paraID>
      <start>4</start>
      <end>5</end>
      <status>unmodified</status>
      <modifiedWord/>
      <trackRevisions>false</trackRevisions>
    </reviewItem>
    <reviewItem>
      <errorID>6b3c9cf1-04bc-4bcd-8164-aa4e52c47f84</errorID>
      <errorWord>)</errorWord>
      <group>L1_Format</group>
      <groupName>格式问题</groupName>
      <ability>L2_HalfPunc_CN</ability>
      <abilityName>全半角问题</abilityName>
      <candidateList>
        <item>）</item>
      </candidateList>
      <explain>文本全半角错误。</explain>
      <paraID>6B4929E1</paraID>
      <start>10</start>
      <end>11</end>
      <status>unmodified</status>
      <modifiedWord/>
      <trackRevisions>false</trackRevisions>
    </reviewItem>
    <reviewItem>
      <errorID>bb3bacd9-72e8-445e-9ee5-d34f0ba01780</errorID>
      <errorWord>(</errorWord>
      <group>L1_Format</group>
      <groupName>格式问题</groupName>
      <ability>L2_HalfPunc_CN</ability>
      <abilityName>全半角问题</abilityName>
      <candidateList>
        <item>（</item>
      </candidateList>
      <explain>文本全半角错误。</explain>
      <paraID> E8A36D1</paraID>
      <start>6</start>
      <end>7</end>
      <status>unmodified</status>
      <modifiedWord/>
      <trackRevisions>false</trackRevisions>
    </reviewItem>
    <reviewItem>
      <errorID>a487d207-b11c-442a-bbe1-c87560861055</errorID>
      <errorWord>)</errorWord>
      <group>L1_Format</group>
      <groupName>格式问题</groupName>
      <ability>L2_HalfPunc_CN</ability>
      <abilityName>全半角问题</abilityName>
      <candidateList>
        <item>）</item>
      </candidateList>
      <explain>文本全半角错误。</explain>
      <paraID> E8A36D1</paraID>
      <start>10</start>
      <end>11</end>
      <status>unmodified</status>
      <modifiedWord/>
      <trackRevisions>false</trackRevisions>
    </reviewItem>
    <reviewItem>
      <errorID>11d804cf-0720-4088-bf22-ef8abd23231e</errorID>
      <errorWord>(</errorWord>
      <group>L1_Format</group>
      <groupName>格式问题</groupName>
      <ability>L2_HalfPunc_CN</ability>
      <abilityName>全半角问题</abilityName>
      <candidateList>
        <item>（</item>
      </candidateList>
      <explain>文本全半角错误。</explain>
      <paraID>5ED58681</paraID>
      <start>3</start>
      <end>4</end>
      <status>unmodified</status>
      <modifiedWord/>
      <trackRevisions>false</trackRevisions>
    </reviewItem>
    <reviewItem>
      <errorID>ab60967c-c446-435c-9693-beb2afc92ffc</errorID>
      <errorWord>)</errorWord>
      <group>L1_Format</group>
      <groupName>格式问题</groupName>
      <ability>L2_HalfPunc_CN</ability>
      <abilityName>全半角问题</abilityName>
      <candidateList>
        <item>）</item>
      </candidateList>
      <explain>文本全半角错误。</explain>
      <paraID>5ED58681</paraID>
      <start>7</start>
      <end>8</end>
      <status>unmodified</status>
      <modifiedWord/>
      <trackRevisions>false</trackRevisions>
    </reviewItem>
    <reviewItem>
      <errorID>d829e9ea-2f0c-4225-adc1-d5ede0b5d471</errorID>
      <errorWord>(</errorWord>
      <group>L1_Format</group>
      <groupName>格式问题</groupName>
      <ability>L2_HalfPunc_CN</ability>
      <abilityName>全半角问题</abilityName>
      <candidateList>
        <item>（</item>
      </candidateList>
      <explain>文本全半角错误。</explain>
      <paraID>13E64A3E</paraID>
      <start>3</start>
      <end>4</end>
      <status>unmodified</status>
      <modifiedWord/>
      <trackRevisions>false</trackRevisions>
    </reviewItem>
    <reviewItem>
      <errorID>58b920bc-b4d2-4127-a660-af84387dd903</errorID>
      <errorWord>)</errorWord>
      <group>L1_Format</group>
      <groupName>格式问题</groupName>
      <ability>L2_HalfPunc_CN</ability>
      <abilityName>全半角问题</abilityName>
      <candidateList>
        <item>）</item>
      </candidateList>
      <explain>文本全半角错误。</explain>
      <paraID>13E64A3E</paraID>
      <start>7</start>
      <end>8</end>
      <status>unmodified</status>
      <modifiedWord/>
      <trackRevisions>false</trackRevisions>
    </reviewItem>
    <reviewItem>
      <errorID>ea03ab68-89ca-4b9b-9528-3434f57c1faa</errorID>
      <errorWord>(</errorWord>
      <group>L1_Format</group>
      <groupName>格式问题</groupName>
      <ability>L2_HalfPunc_CN</ability>
      <abilityName>全半角问题</abilityName>
      <candidateList>
        <item>（</item>
      </candidateList>
      <explain>文本全半角错误。</explain>
      <paraID>43220F36</paraID>
      <start>4</start>
      <end>5</end>
      <status>unmodified</status>
      <modifiedWord/>
      <trackRevisions>false</trackRevisions>
    </reviewItem>
    <reviewItem>
      <errorID>4a9e6de8-760e-45d4-888a-8c97771f2c31</errorID>
      <errorWord>)</errorWord>
      <group>L1_Format</group>
      <groupName>格式问题</groupName>
      <ability>L2_HalfPunc_CN</ability>
      <abilityName>全半角问题</abilityName>
      <candidateList>
        <item>）</item>
      </candidateList>
      <explain>文本全半角错误。</explain>
      <paraID>43220F36</paraID>
      <start>9</start>
      <end>10</end>
      <status>unmodified</status>
      <modifiedWord/>
      <trackRevisions>false</trackRevisions>
    </reviewItem>
    <reviewItem>
      <errorID>31aafd3f-c14a-4d77-bb87-b83a4ff7cff3</errorID>
      <errorWord>(</errorWord>
      <group>L1_Format</group>
      <groupName>格式问题</groupName>
      <ability>L2_HalfPunc_CN</ability>
      <abilityName>全半角问题</abilityName>
      <candidateList>
        <item>（</item>
      </candidateList>
      <explain>文本全半角错误。</explain>
      <paraID>47C541B7</paraID>
      <start>4</start>
      <end>5</end>
      <status>unmodified</status>
      <modifiedWord/>
      <trackRevisions>false</trackRevisions>
    </reviewItem>
    <reviewItem>
      <errorID>6bb1cc50-4ac9-47dc-a128-8fc0a65f4baf</errorID>
      <errorWord>)</errorWord>
      <group>L1_Format</group>
      <groupName>格式问题</groupName>
      <ability>L2_HalfPunc_CN</ability>
      <abilityName>全半角问题</abilityName>
      <candidateList>
        <item>）</item>
      </candidateList>
      <explain>文本全半角错误。</explain>
      <paraID>47C541B7</paraID>
      <start>10</start>
      <end>11</end>
      <status>unmodified</status>
      <modifiedWord/>
      <trackRevisions>false</trackRevisions>
    </reviewItem>
    <reviewItem>
      <errorID>8609be92-be54-431e-b538-5d10a8bec59e</errorID>
      <errorWord>（</errorWord>
      <group>L1_Format</group>
      <groupName>格式问题</groupName>
      <ability>L2_HalfPunc_CN</ability>
      <abilityName>全半角问题</abilityName>
      <candidateList>
        <item>(</item>
      </candidateList>
      <explain>文本全半角错误。</explain>
      <paraID> 878E643</paraID>
      <start>9</start>
      <end>10</end>
      <status>unmodified</status>
      <modifiedWord/>
      <trackRevisions>false</trackRevisions>
    </reviewItem>
    <reviewItem>
      <errorID>8bba1b20-331d-4b6c-87fe-179984459a3f</errorID>
      <errorWord>（</errorWord>
      <group>L1_Format</group>
      <groupName>格式问题</groupName>
      <ability>L2_HalfPunc_CN</ability>
      <abilityName>全半角问题</abilityName>
      <candidateList>
        <item>(</item>
      </candidateList>
      <explain>文本全半角错误。</explain>
      <paraID> 878E643</paraID>
      <start>12</start>
      <end>13</end>
      <status>unmodified</status>
      <modifiedWord/>
      <trackRevisions>false</trackRevisions>
    </reviewItem>
    <reviewItem>
      <errorID>5c848492-7e80-405a-adeb-85d653b75721</errorID>
      <errorWord>）</errorWord>
      <group>L1_Format</group>
      <groupName>格式问题</groupName>
      <ability>L2_HalfPunc_CN</ability>
      <abilityName>全半角问题</abilityName>
      <candidateList>
        <item>)</item>
      </candidateList>
      <explain>文本全半角错误。</explain>
      <paraID> 878E643</paraID>
      <start>17</start>
      <end>18</end>
      <status>unmodified</status>
      <modifiedWord/>
      <trackRevisions>false</trackRevisions>
    </reviewItem>
    <reviewItem>
      <errorID>f18e1f74-d5de-4c7a-9d67-120185cc7560</errorID>
      <errorWord>（</errorWord>
      <group>L1_Format</group>
      <groupName>格式问题</groupName>
      <ability>L2_HalfPunc_CN</ability>
      <abilityName>全半角问题</abilityName>
      <candidateList>
        <item>(</item>
      </candidateList>
      <explain>文本全半角错误。</explain>
      <paraID> 92EA099</paraID>
      <start>41</start>
      <end>42</end>
      <status>unmodified</status>
      <modifiedWord/>
      <trackRevisions>false</trackRevisions>
    </reviewItem>
    <reviewItem>
      <errorID>b649bdaa-e950-4339-b422-8e2a923253fb</errorID>
      <errorWord>(</errorWord>
      <group>L1_Format</group>
      <groupName>格式问题</groupName>
      <ability>L2_HalfPunc_CN</ability>
      <abilityName>全半角问题</abilityName>
      <candidateList>
        <item>（</item>
      </candidateList>
      <explain>文本全半角错误。</explain>
      <paraID>56C7F9CA</paraID>
      <start>3</start>
      <end>4</end>
      <status>unmodified</status>
      <modifiedWord/>
      <trackRevisions>false</trackRevisions>
    </reviewItem>
    <reviewItem>
      <errorID>f2c2dcc1-9742-4fea-ac4b-ec9974ff8804</errorID>
      <errorWord>)</errorWord>
      <group>L1_Format</group>
      <groupName>格式问题</groupName>
      <ability>L2_HalfPunc_CN</ability>
      <abilityName>全半角问题</abilityName>
      <candidateList>
        <item>）</item>
      </candidateList>
      <explain>文本全半角错误。</explain>
      <paraID>56C7F9CA</paraID>
      <start>9</start>
      <end>10</end>
      <status>unmodified</status>
      <modifiedWord/>
      <trackRevisions>false</trackRevisions>
    </reviewItem>
    <reviewItem>
      <errorID>2b7cbf39-0581-4a16-99cf-7276747a5ddb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36CC7FF8</paraID>
      <start>116</start>
      <end>117</end>
      <status>unmodified</status>
      <modifiedWord/>
      <trackRevisions>false</trackRevisions>
    </reviewItem>
    <reviewItem>
      <errorID>4eef1ede-6060-4e17-ab87-e8e441b3d061</errorID>
      <errorWord>-</errorWord>
      <group>L1_Format</group>
      <groupName>格式问题</groupName>
      <ability>L2_HalfPunc_CN</ability>
      <abilityName>全半角问题</abilityName>
      <candidateList>
        <item>－</item>
      </candidateList>
      <explain>文本全半角错误。</explain>
      <paraID>36CC7FF8</paraID>
      <start>122</start>
      <end>123</end>
      <status>unmodified</status>
      <modifiedWord/>
      <trackRevisions>false</trackRevisions>
    </reviewItem>
    <reviewItem>
      <errorID>584dd761-da0c-48a2-a993-26e52c9d260d</errorID>
      <errorWord>(</errorWord>
      <group>L1_Format</group>
      <groupName>格式问题</groupName>
      <ability>L2_HalfPunc_CN</ability>
      <abilityName>全半角问题</abilityName>
      <candidateList>
        <item>（</item>
      </candidateList>
      <explain>文本全半角错误。</explain>
      <paraID>32FF3E64</paraID>
      <start>27</start>
      <end>28</end>
      <status>unmodified</status>
      <modifiedWord/>
      <trackRevisions>false</trackRevisions>
    </reviewItem>
    <reviewItem>
      <errorID>95b2a639-e039-4623-8926-76b61672fe76</errorID>
      <errorWord>(</errorWord>
      <group>L1_Format</group>
      <groupName>格式问题</groupName>
      <ability>L2_HalfPunc_CN</ability>
      <abilityName>全半角问题</abilityName>
      <candidateList>
        <item>（</item>
      </candidateList>
      <explain>文本全半角错误。</explain>
      <paraID>741F6D96</paraID>
      <start>3</start>
      <end>4</end>
      <status>unmodified</status>
      <modifiedWord/>
      <trackRevisions>false</trackRevisions>
    </reviewItem>
    <reviewItem>
      <errorID>a9bcd9f2-4f85-40ba-96bd-9c01f8df5189</errorID>
      <errorWord>)</errorWord>
      <group>L1_Format</group>
      <groupName>格式问题</groupName>
      <ability>L2_HalfPunc_CN</ability>
      <abilityName>全半角问题</abilityName>
      <candidateList>
        <item>）</item>
      </candidateList>
      <explain>文本全半角错误。</explain>
      <paraID>741F6D96</paraID>
      <start>7</start>
      <end>8</end>
      <status>unmodified</status>
      <modifiedWord/>
      <trackRevisions>false</trackRevisions>
    </reviewItem>
    <reviewItem>
      <errorID>b4461957-1cb4-4363-8a76-2c11afb52923</errorID>
      <errorWord>(</errorWord>
      <group>L1_Format</group>
      <groupName>格式问题</groupName>
      <ability>L2_HalfPunc_CN</ability>
      <abilityName>全半角问题</abilityName>
      <candidateList>
        <item>（</item>
      </candidateList>
      <explain>文本全半角错误。</explain>
      <paraID>4AD6806B</paraID>
      <start>3</start>
      <end>4</end>
      <status>unmodified</status>
      <modifiedWord/>
      <trackRevisions>false</trackRevisions>
    </reviewItem>
    <reviewItem>
      <errorID>f4e51280-bc08-4726-997d-a640a9769fdb</errorID>
      <errorWord>)</errorWord>
      <group>L1_Format</group>
      <groupName>格式问题</groupName>
      <ability>L2_HalfPunc_CN</ability>
      <abilityName>全半角问题</abilityName>
      <candidateList>
        <item>）</item>
      </candidateList>
      <explain>文本全半角错误。</explain>
      <paraID>4AD6806B</paraID>
      <start>7</start>
      <end>8</end>
      <status>unmodified</status>
      <modifiedWord/>
      <trackRevisions>false</trackRevisions>
    </reviewItem>
    <reviewItem>
      <errorID>559144d8-921a-47d5-8adb-4595b1ef80b6</errorID>
      <errorWord>(</errorWord>
      <group>L1_Format</group>
      <groupName>格式问题</groupName>
      <ability>L2_HalfPunc_CN</ability>
      <abilityName>全半角问题</abilityName>
      <candidateList>
        <item>（</item>
      </candidateList>
      <explain>文本全半角错误。</explain>
      <paraID>217278F8</paraID>
      <start>4</start>
      <end>5</end>
      <status>unmodified</status>
      <modifiedWord/>
      <trackRevisions>false</trackRevisions>
    </reviewItem>
    <reviewItem>
      <errorID>97a78236-89c9-479a-b18b-76b679628e31</errorID>
      <errorWord>)</errorWord>
      <group>L1_Format</group>
      <groupName>格式问题</groupName>
      <ability>L2_HalfPunc_CN</ability>
      <abilityName>全半角问题</abilityName>
      <candidateList>
        <item>）</item>
      </candidateList>
      <explain>文本全半角错误。</explain>
      <paraID>217278F8</paraID>
      <start>9</start>
      <end>10</end>
      <status>unmodified</status>
      <modifiedWord/>
      <trackRevisions>false</trackRevisions>
    </reviewItem>
    <reviewItem>
      <errorID>64918168-2630-43c3-aaad-0d69055840e1</errorID>
      <errorWord>(</errorWord>
      <group>L1_Format</group>
      <groupName>格式问题</groupName>
      <ability>L2_HalfPunc_CN</ability>
      <abilityName>全半角问题</abilityName>
      <candidateList>
        <item>（</item>
      </candidateList>
      <explain>文本全半角错误。</explain>
      <paraID>296E055F</paraID>
      <start>4</start>
      <end>5</end>
      <status>unmodified</status>
      <modifiedWord/>
      <trackRevisions>false</trackRevisions>
    </reviewItem>
    <reviewItem>
      <errorID>f3a56e50-de2d-4c54-8074-95ddd7d40b73</errorID>
      <errorWord>)</errorWord>
      <group>L1_Format</group>
      <groupName>格式问题</groupName>
      <ability>L2_HalfPunc_CN</ability>
      <abilityName>全半角问题</abilityName>
      <candidateList>
        <item>）</item>
      </candidateList>
      <explain>文本全半角错误。</explain>
      <paraID>296E055F</paraID>
      <start>10</start>
      <end>11</end>
      <status>unmodified</status>
      <modifiedWord/>
      <trackRevisions>false</trackRevisions>
    </reviewItem>
    <reviewItem>
      <errorID>4b33ce56-b802-41da-958b-8173696f9b69</errorID>
      <errorWord>(</errorWord>
      <group>L1_Format</group>
      <groupName>格式问题</groupName>
      <ability>L2_HalfPunc_CN</ability>
      <abilityName>全半角问题</abilityName>
      <candidateList>
        <item>（</item>
      </candidateList>
      <explain>文本全半角错误。</explain>
      <paraID> D063A63</paraID>
      <start>6</start>
      <end>7</end>
      <status>unmodified</status>
      <modifiedWord/>
      <trackRevisions>false</trackRevisions>
    </reviewItem>
    <reviewItem>
      <errorID>85008e5c-b1b2-43ff-8ea9-97d1300b50ac</errorID>
      <errorWord>)</errorWord>
      <group>L1_Format</group>
      <groupName>格式问题</groupName>
      <ability>L2_HalfPunc_CN</ability>
      <abilityName>全半角问题</abilityName>
      <candidateList>
        <item>）</item>
      </candidateList>
      <explain>文本全半角错误。</explain>
      <paraID> D063A63</paraID>
      <start>10</start>
      <end>11</end>
      <status>unmodified</status>
      <modifiedWord/>
      <trackRevisions>false</trackRevisions>
    </reviewItem>
    <reviewItem>
      <errorID>ff4f0a03-5a66-49c0-8aab-6691a69991fc</errorID>
      <errorWord>,</errorWord>
      <group>L1_Format</group>
      <groupName>格式问题</groupName>
      <ability>L2_HalfPunc_CN</ability>
      <abilityName>全半角问题</abilityName>
      <candidateList>
        <item>，</item>
      </candidateList>
      <explain>文本全半角错误。</explain>
      <paraID>1794A782</paraID>
      <start>66</start>
      <end>67</end>
      <status>unmodified</status>
      <modifiedWord/>
      <trackRevisions>false</trackRevisions>
    </reviewItem>
    <reviewItem>
      <errorID>db7e58c0-974b-497d-a5b5-669104d378c9</errorID>
      <errorWord>-</errorWord>
      <group>L1_Format</group>
      <groupName>格式问题</groupName>
      <ability>L2_HalfPunc_CN</ability>
      <abilityName>全半角问题</abilityName>
      <candidateList>
        <item>－</item>
      </candidateList>
      <explain>文本全半角错误。</explain>
      <paraID>1B0371AC</paraID>
      <start>17</start>
      <end>18</end>
      <status>unmodified</status>
      <modifiedWord/>
      <trackRevisions>false</trackRevisions>
    </reviewItem>
    <reviewItem>
      <errorID>67bc9b51-8cd7-441e-a10e-2f8178d63e55</errorID>
      <errorWord>(</errorWord>
      <group>L1_Format</group>
      <groupName>格式问题</groupName>
      <ability>L2_HalfPunc_CN</ability>
      <abilityName>全半角问题</abilityName>
      <candidateList>
        <item>（</item>
      </candidateList>
      <explain>文本全半角错误。</explain>
      <paraID>61E7C57F</paraID>
      <start>3</start>
      <end>4</end>
      <status>unmodified</status>
      <modifiedWord/>
      <trackRevisions>false</trackRevisions>
    </reviewItem>
    <reviewItem>
      <errorID>e4db66e9-23cc-4a75-b050-11928715c933</errorID>
      <errorWord>)</errorWord>
      <group>L1_Format</group>
      <groupName>格式问题</groupName>
      <ability>L2_HalfPunc_CN</ability>
      <abilityName>全半角问题</abilityName>
      <candidateList>
        <item>）</item>
      </candidateList>
      <explain>文本全半角错误。</explain>
      <paraID>61E7C57F</paraID>
      <start>9</start>
      <end>10</end>
      <status>unmodified</status>
      <modifiedWord/>
      <trackRevisions>false</trackRevisions>
    </reviewItem>
    <reviewItem>
      <errorID>487d03b5-5b69-4c79-aaef-72328d5afad0</errorID>
      <errorWord>(</errorWord>
      <group>L1_Format</group>
      <groupName>格式问题</groupName>
      <ability>L2_HalfPunc_CN</ability>
      <abilityName>全半角问题</abilityName>
      <candidateList>
        <item>（</item>
      </candidateList>
      <explain>文本全半角错误。</explain>
      <paraID>546DC7CA</paraID>
      <start>3</start>
      <end>4</end>
      <status>unmodified</status>
      <modifiedWord/>
      <trackRevisions>false</trackRevisions>
    </reviewItem>
    <reviewItem>
      <errorID>066960ab-85b6-4422-926b-dc63963a39c1</errorID>
      <errorWord>)</errorWord>
      <group>L1_Format</group>
      <groupName>格式问题</groupName>
      <ability>L2_HalfPunc_CN</ability>
      <abilityName>全半角问题</abilityName>
      <candidateList>
        <item>）</item>
      </candidateList>
      <explain>文本全半角错误。</explain>
      <paraID>546DC7CA</paraID>
      <start>9</start>
      <end>10</end>
      <status>unmodified</status>
      <modifiedWord/>
      <trackRevisions>false</trackRevisions>
    </reviewItem>
    <reviewItem>
      <errorID>ab2fdde2-efd1-4150-9cbb-663ce79417cc</errorID>
      <errorWord>(</errorWord>
      <group>L1_Format</group>
      <groupName>格式问题</groupName>
      <ability>L2_HalfPunc_CN</ability>
      <abilityName>全半角问题</abilityName>
      <candidateList>
        <item>（</item>
      </candidateList>
      <explain>文本全半角错误。</explain>
      <paraID>5E575DE7</paraID>
      <start>3</start>
      <end>4</end>
      <status>unmodified</status>
      <modifiedWord/>
      <trackRevisions>false</trackRevisions>
    </reviewItem>
    <reviewItem>
      <errorID>64af03cb-84a9-4d8d-acf6-1b21c35d7aab</errorID>
      <errorWord>)</errorWord>
      <group>L1_Format</group>
      <groupName>格式问题</groupName>
      <ability>L2_HalfPunc_CN</ability>
      <abilityName>全半角问题</abilityName>
      <candidateList>
        <item>）</item>
      </candidateList>
      <explain>文本全半角错误。</explain>
      <paraID>5E575DE7</paraID>
      <start>9</start>
      <end>10</end>
      <status>unmodified</status>
      <modifiedWord/>
      <trackRevisions>false</trackRevisions>
    </reviewItem>
    <reviewItem>
      <errorID>b309310d-b1f2-468a-81b9-f496bd09e500</errorID>
      <errorWord>位</errorWord>
      <group>L1_Word</group>
      <groupName>字词问题</groupName>
      <ability>L2_Typo</ability>
      <abilityName>字词错误</abilityName>
      <candidateList>
        <item>位在</item>
      </candidateList>
      <explain/>
      <paraID>332DBDF1</paraID>
      <start>27</start>
      <end>28</end>
      <status>unmodified</status>
      <modifiedWord/>
      <trackRevisions>false</trackRevisions>
    </reviewItem>
    <reviewItem>
      <errorID>af14007e-8e8f-47f9-b285-1c523a988969</errorID>
      <errorWord>(</errorWord>
      <group>L1_Format</group>
      <groupName>格式问题</groupName>
      <ability>L2_HalfPunc_CN</ability>
      <abilityName>全半角问题</abilityName>
      <candidateList>
        <item>（</item>
      </candidateList>
      <explain>文本全半角错误。</explain>
      <paraID>2FA8A6B1</paraID>
      <start>2</start>
      <end>3</end>
      <status>unmodified</status>
      <modifiedWord/>
      <trackRevisions>false</trackRevisions>
    </reviewItem>
    <reviewItem>
      <errorID>6cc5bbdd-ff4c-4005-8316-25495b7dbe08</errorID>
      <errorWord>)</errorWord>
      <group>L1_Format</group>
      <groupName>格式问题</groupName>
      <ability>L2_HalfPunc_CN</ability>
      <abilityName>全半角问题</abilityName>
      <candidateList>
        <item>）</item>
      </candidateList>
      <explain>文本全半角错误。</explain>
      <paraID>2FA8A6B1</paraID>
      <start>7</start>
      <end>8</end>
      <status>unmodified</status>
      <modifiedWord/>
      <trackRevisions>false</trackRevisions>
    </reviewItem>
    <reviewItem>
      <errorID>56e3c044-6bf1-464a-b24f-8b1d0717c527</errorID>
      <errorWord>(</errorWord>
      <group>L1_Format</group>
      <groupName>格式问题</groupName>
      <ability>L2_HalfPunc_CN</ability>
      <abilityName>全半角问题</abilityName>
      <candidateList>
        <item>（</item>
      </candidateList>
      <explain>文本全半角错误。</explain>
      <paraID>71404A90</paraID>
      <start>2</start>
      <end>3</end>
      <status>unmodified</status>
      <modifiedWord/>
      <trackRevisions>false</trackRevisions>
    </reviewItem>
    <reviewItem>
      <errorID>d8d68414-6488-4b1a-b7fc-977de6b4aba0</errorID>
      <errorWord>)</errorWord>
      <group>L1_Format</group>
      <groupName>格式问题</groupName>
      <ability>L2_HalfPunc_CN</ability>
      <abilityName>全半角问题</abilityName>
      <candidateList>
        <item>）</item>
      </candidateList>
      <explain>文本全半角错误。</explain>
      <paraID>71404A90</paraID>
      <start>7</start>
      <end>8</end>
      <status>unmodified</status>
      <modifiedWord/>
      <trackRevisions>false</trackRevisions>
    </reviewItem>
    <reviewItem>
      <errorID>59f847f8-d6bf-46f3-ac14-d8f2925adc0c</errorID>
      <errorWord>)</errorWord>
      <group>L1_Format</group>
      <groupName>格式问题</groupName>
      <ability>L2_HalfPunc_CN</ability>
      <abilityName>全半角问题</abilityName>
      <candidateList>
        <item>）</item>
      </candidateList>
      <explain>文本全半角错误。</explain>
      <paraID>684AFC5E</paraID>
      <start>53</start>
      <end>54</end>
      <status>unmodified</status>
      <modifiedWord/>
      <trackRevisions>false</trackRevisions>
    </reviewItem>
    <reviewItem>
      <errorID>09553d42-2197-4b6d-a86f-40c866b7b036</errorID>
      <errorWord>)</errorWord>
      <group>L1_Format</group>
      <groupName>格式问题</groupName>
      <ability>L2_HalfPunc_CN</ability>
      <abilityName>全半角问题</abilityName>
      <candidateList>
        <item>）</item>
      </candidateList>
      <explain>文本全半角错误。</explain>
      <paraID>  8F5ABA</paraID>
      <start>20</start>
      <end>21</end>
      <status>unmodified</status>
      <modifiedWord/>
      <trackRevisions>false</trackRevisions>
    </reviewItem>
    <reviewItem>
      <errorID>88e8768d-b341-4f37-81c4-7824c046c73b</errorID>
      <errorWord>)</errorWord>
      <group>L1_Format</group>
      <groupName>格式问题</groupName>
      <ability>L2_HalfPunc_CN</ability>
      <abilityName>全半角问题</abilityName>
      <candidateList>
        <item>）</item>
      </candidateList>
      <explain>文本全半角错误。</explain>
      <paraID>41AC2FB9</paraID>
      <start>18</start>
      <end>19</end>
      <status>unmodified</status>
      <modifiedWord/>
      <trackRevisions>false</trackRevisions>
    </reviewItem>
    <reviewItem>
      <errorID>be708c1b-841b-4495-a1c3-38455f5bc7e0</errorID>
      <errorWord>)</errorWord>
      <group>L1_Format</group>
      <groupName>格式问题</groupName>
      <ability>L2_HalfPunc_CN</ability>
      <abilityName>全半角问题</abilityName>
      <candidateList>
        <item>）</item>
      </candidateList>
      <explain>文本全半角错误。</explain>
      <paraID>5CF91B13</paraID>
      <start>61</start>
      <end>62</end>
      <status>unmodified</status>
      <modifiedWord/>
      <trackRevisions>false</trackRevisions>
    </reviewItem>
    <reviewItem>
      <errorID>9bd02d3f-f470-4cd4-a36f-8ecd49190eaf</errorID>
      <errorWord>或是</errorWord>
      <group>L1_Word</group>
      <groupName>字词问题</groupName>
      <ability>L2_Typo</ability>
      <abilityName>字词错误</abilityName>
      <candidateList>
        <item>或</item>
      </candidateList>
      <explain/>
      <paraID>21451D1C</paraID>
      <start>30</start>
      <end>32</end>
      <status>unmodified</status>
      <modifiedWord/>
      <trackRevisions>false</trackRevisions>
    </reviewItem>
    <reviewItem>
      <errorID>2d5dbb0b-dc35-4c07-8127-0a52b2453fa5</errorID>
      <errorWord>（</errorWord>
      <group>L1_Format</group>
      <groupName>格式问题</groupName>
      <ability>L2_HalfPunc_CN</ability>
      <abilityName>全半角问题</abilityName>
      <candidateList>
        <item>(</item>
      </candidateList>
      <explain>文本全半角错误。</explain>
      <paraID>7F520433</paraID>
      <start>3</start>
      <end>4</end>
      <status>unmodified</status>
      <modifiedWord/>
      <trackRevisions>false</trackRevisions>
    </reviewItem>
    <reviewItem>
      <errorID>48498776-5e54-4cba-80ce-feec11c8ffe1</errorID>
      <errorWord>）</errorWord>
      <group>L1_Format</group>
      <groupName>格式问题</groupName>
      <ability>L2_HalfPunc_CN</ability>
      <abilityName>全半角问题</abilityName>
      <candidateList>
        <item>)</item>
      </candidateList>
      <explain>文本全半角错误。</explain>
      <paraID>7F520433</paraID>
      <start>5</start>
      <end>6</end>
      <status>unmodified</status>
      <modifiedWord/>
      <trackRevisions>false</trackRevisions>
    </reviewItem>
    <reviewItem>
      <errorID>8d4ace36-882c-48db-bc41-875fbcf9eaf0</errorID>
      <errorWord>交由有</errorWord>
      <group>L1_Word</group>
      <groupName>字词问题</groupName>
      <ability>L2_Typo</ability>
      <abilityName>字词错误</abilityName>
      <candidateList>
        <item>交由</item>
      </candidateList>
      <explain/>
      <paraID>58BA9F43</paraID>
      <start>11</start>
      <end>14</end>
      <status>unmodified</status>
      <modifiedWord/>
      <trackRevisions>false</trackRevisions>
    </reviewItem>
    <reviewItem>
      <errorID>7b4da902-9060-4d2f-9d82-f3f41ed1a30b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7967336B</paraID>
      <start>179</start>
      <end>180</end>
      <status>unmodified</status>
      <modifiedWord/>
      <trackRevisions>false</trackRevisions>
    </reviewItem>
    <reviewItem>
      <errorID>06c5e167-2107-4574-b83a-62f23472e9dc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2A232240</paraID>
      <start>20</start>
      <end>21</end>
      <status>unmodified</status>
      <modifiedWord/>
      <trackRevisions>false</trackRevisions>
    </reviewItem>
    <reviewItem>
      <errorID>9805f5b2-c0f0-4be6-8479-cdeb7db261a2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2A232240</paraID>
      <start>54</start>
      <end>55</end>
      <status>unmodified</status>
      <modifiedWord/>
      <trackRevisions>false</trackRevisions>
    </reviewItem>
    <reviewItem>
      <errorID>47be2557-e2be-423b-bfa8-e4a0de774016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3266568E</paraID>
      <start>22</start>
      <end>23</end>
      <status>unmodified</status>
      <modifiedWord/>
      <trackRevisions>false</trackRevisions>
    </reviewItem>
    <reviewItem>
      <errorID>89735af7-e73a-467c-bb70-410f169aac2b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5A84DC41</paraID>
      <start>50</start>
      <end>51</end>
      <status>unmodified</status>
      <modifiedWord/>
      <trackRevisions>false</trackRevisions>
    </reviewItem>
    <reviewItem>
      <errorID>d9fa5cc8-8b36-47e9-94aa-0ab2a12d517e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4B5CA92B</paraID>
      <start>22</start>
      <end>23</end>
      <status>unmodified</status>
      <modifiedWord/>
      <trackRevisions>false</trackRevisions>
    </reviewItem>
    <reviewItem>
      <errorID>9b8647cb-a94f-4c4b-aca7-7d32069a94ac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5FF6A063</paraID>
      <start>22</start>
      <end>23</end>
      <status>unmodified</status>
      <modifiedWord/>
      <trackRevisions>false</trackRevisions>
    </reviewItem>
    <reviewItem>
      <errorID>12a7a31c-40ec-40b0-9d3a-1fe3a7c583ed</errorID>
      <errorWord>，...，</errorWord>
      <group>L1_Punc</group>
      <groupName>标点问题</groupName>
      <ability>L2_Punc_CN</ability>
      <abilityName>标点符号问题</abilityName>
      <candidateList>
        <item>，</item>
      </candidateList>
      <explain/>
      <paraID>4972E1C9</paraID>
      <start>8</start>
      <end>13</end>
      <status>unmodified</status>
      <modifiedWord/>
      <trackRevisions>false</trackRevisions>
    </reviewItem>
    <reviewItem>
      <errorID>642a83f6-6e62-4e0f-94e0-c0354825d2e0</errorID>
      <errorWord>，...，</errorWord>
      <group>L1_Punc</group>
      <groupName>标点问题</groupName>
      <ability>L2_Punc_CN</ability>
      <abilityName>标点符号问题</abilityName>
      <candidateList>
        <item>，</item>
      </candidateList>
      <explain/>
      <paraID>1DA6BAC5</paraID>
      <start>5</start>
      <end>10</end>
      <status>unmodified</status>
      <modifiedWord/>
      <trackRevisions>false</trackRevisions>
    </reviewItem>
    <reviewItem>
      <errorID>0f07fcd0-ddfb-4048-ac1f-023aca7fa6b3</errorID>
      <errorWord>:</errorWord>
      <group>L1_Format</group>
      <groupName>格式问题</groupName>
      <ability>L2_HalfPunc_CN</ability>
      <abilityName>全半角问题</abilityName>
      <candidateList>
        <item>：</item>
      </candidateList>
      <explain>文本全半角错误。</explain>
      <paraID>49DC4AA3</paraID>
      <start>12</start>
      <end>13</end>
      <status>unmodified</status>
      <modifiedWord/>
      <trackRevisions>false</trackRevisions>
    </reviewItem>
    <reviewItem>
      <errorID>ef089e19-9fd8-40ec-b6ad-66b3a4f9af34</errorID>
      <errorWord>(</errorWord>
      <group>L1_Format</group>
      <groupName>格式问题</groupName>
      <ability>L2_HalfPunc_CN</ability>
      <abilityName>全半角问题</abilityName>
      <candidateList>
        <item>（</item>
      </candidateList>
      <explain>文本全半角错误。</explain>
      <paraID>60EBC11C</paraID>
      <start>3</start>
      <end>4</end>
      <status>unmodified</status>
      <modifiedWord/>
      <trackRevisions>false</trackRevisions>
    </reviewItem>
    <reviewItem>
      <errorID>d95f9cb5-4774-4a10-a161-ce4a8fe89fbe</errorID>
      <errorWord>)</errorWord>
      <group>L1_Format</group>
      <groupName>格式问题</groupName>
      <ability>L2_HalfPunc_CN</ability>
      <abilityName>全半角问题</abilityName>
      <candidateList>
        <item>）</item>
      </candidateList>
      <explain>文本全半角错误。</explain>
      <paraID>60EBC11C</paraID>
      <start>9</start>
      <end>10</end>
      <status>unmodified</status>
      <modifiedWord/>
      <trackRevisions>false</trackRevisions>
    </reviewItem>
    <reviewItem>
      <errorID>f0aa8459-200c-4432-957e-95a7c298beea</errorID>
      <errorWord>(</errorWord>
      <group>L1_Format</group>
      <groupName>格式问题</groupName>
      <ability>L2_HalfPunc_CN</ability>
      <abilityName>全半角问题</abilityName>
      <candidateList>
        <item>（</item>
      </candidateList>
      <explain>文本全半角错误。</explain>
      <paraID> B6C393B</paraID>
      <start>11</start>
      <end>12</end>
      <status>unmodified</status>
      <modifiedWord/>
      <trackRevisions>false</trackRevisions>
    </reviewItem>
    <reviewItem>
      <errorID>8adb3831-b17a-49d0-bfbe-3adcefb24460</errorID>
      <errorWord>)</errorWord>
      <group>L1_Format</group>
      <groupName>格式问题</groupName>
      <ability>L2_HalfPunc_CN</ability>
      <abilityName>全半角问题</abilityName>
      <candidateList>
        <item>）</item>
      </candidateList>
      <explain>文本全半角错误。</explain>
      <paraID> B6C393B</paraID>
      <start>22</start>
      <end>23</end>
      <status>unmodified</status>
      <modifiedWord/>
      <trackRevisions>false</trackRevisions>
    </reviewItem>
    <reviewItem>
      <errorID>b89e3ed3-1258-4a99-a55b-219711c8aaeb</errorID>
      <errorWord>-</errorWord>
      <group>L1_Format</group>
      <groupName>格式问题</groupName>
      <ability>L2_HalfPunc_CN</ability>
      <abilityName>全半角问题</abilityName>
      <candidateList>
        <item>－</item>
      </candidateList>
      <explain>文本全半角错误。</explain>
      <paraID>3A931E43</paraID>
      <start>74</start>
      <end>75</end>
      <status>unmodified</status>
      <modifiedWord/>
      <trackRevisions>false</trackRevisions>
    </reviewItem>
    <reviewItem>
      <errorID>44308051-a309-41ea-8786-eec1ff2c2b70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221BCF4A</paraID>
      <start>32</start>
      <end>33</end>
      <status>unmodified</status>
      <modifiedWord/>
      <trackRevisions>false</trackRevisions>
    </reviewItem>
    <reviewItem>
      <errorID>ce3c2cb7-616e-4079-959a-321c5269ed93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221BCF4A</paraID>
      <start>66</start>
      <end>67</end>
      <status>unmodified</status>
      <modifiedWord/>
      <trackRevisions>false</trackRevisions>
    </reviewItem>
    <reviewItem>
      <errorID>6051b111-777d-448d-999b-d718a82176c6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221BCF4A</paraID>
      <start>134</start>
      <end>135</end>
      <status>unmodified</status>
      <modifiedWord/>
      <trackRevisions>false</trackRevisions>
    </reviewItem>
    <reviewItem>
      <errorID>dbcc2c30-b5cc-4f03-8068-da96764b12e7</errorID>
      <errorWord>强</errorWord>
      <group>L1_Word</group>
      <groupName>字词问题</groupName>
      <ability>L2_Typo</ability>
      <abilityName>字词错误</abilityName>
      <candidateList>
        <item>强对</item>
      </candidateList>
      <explain/>
      <paraID>529EE3C3</paraID>
      <start>2</start>
      <end>3</end>
      <status>unmodified</status>
      <modifiedWord/>
      <trackRevisions>false</trackRevisions>
    </reviewItem>
    <reviewItem>
      <errorID>8364894b-df67-4b22-a19d-dc118ca9e4aa</errorID>
      <errorWord>（</errorWord>
      <group>L1_Punc</group>
      <groupName>标点问题</groupName>
      <ability>L2_Punc_CN</ability>
      <abilityName>标点符号问题</abilityName>
      <candidateList/>
      <explain>同一形式括号套用。</explain>
      <paraID> E97367F</paraID>
      <start>41</start>
      <end>42</end>
      <status>unmodified</status>
      <modifiedWord/>
      <trackRevisions>false</trackRevisions>
    </reviewItem>
    <reviewItem>
      <errorID>99e9d39f-03c3-4339-836d-21285bcc1c98</errorID>
      <errorWord>）</errorWord>
      <group>L1_Punc</group>
      <groupName>标点问题</groupName>
      <ability>L2_Punc_CN</ability>
      <abilityName>标点符号问题</abilityName>
      <candidateList/>
      <explain>同一形式括号套用。</explain>
      <paraID> E97367F</paraID>
      <start>56</start>
      <end>57</end>
      <status>unmodified</status>
      <modifiedWord/>
      <trackRevisions>false</trackRevisions>
    </reviewItem>
    <reviewItem>
      <errorID>4f062aef-290d-4583-93e6-3cf65c7466e8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D0EEFB3</paraID>
      <start>0</start>
      <end>2</end>
      <status>unmodified</status>
      <modifiedWord/>
      <trackRevisions>false</trackRevisions>
    </reviewItem>
    <reviewItem>
      <errorID>8e69ad92-ad8d-40f2-94ac-9e083d031960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6FE6DF86</paraID>
      <start>0</start>
      <end>2</end>
      <status>unmodified</status>
      <modifiedWord/>
      <trackRevisions>false</trackRevisions>
    </reviewItem>
    <reviewItem>
      <errorID>aefdd8f7-9bad-43aa-99f2-6bc5fdae36b9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5226518A</paraID>
      <start>0</start>
      <end>2</end>
      <status>unmodified</status>
      <modifiedWord/>
      <trackRevisions>false</trackRevisions>
    </reviewItem>
    <reviewItem>
      <errorID>a8f95bfb-b538-42aa-916c-4d6d0b41239e</errorID>
      <errorWord>或者</errorWord>
      <group>L1_Word</group>
      <groupName>字词问题</groupName>
      <ability>L2_Typo</ability>
      <abilityName>字词错误</abilityName>
      <candidateList>
        <item>或</item>
      </candidateList>
      <explain/>
      <paraID>19AFCF13</paraID>
      <start>44</start>
      <end>46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255a48-390f-40e2-8b5b-726bfc38576d}">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69</Pages>
  <Words>37777</Words>
  <Characters>42857</Characters>
  <Lines>13</Lines>
  <Paragraphs>3</Paragraphs>
  <TotalTime>8</TotalTime>
  <ScaleCrop>false</ScaleCrop>
  <LinksUpToDate>false</LinksUpToDate>
  <CharactersWithSpaces>43151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ESTHER</cp:lastModifiedBy>
  <cp:lastPrinted>2026-07-30T07:45:17Z</cp:lastPrinted>
  <dcterms:modified xsi:type="dcterms:W3CDTF">2026-07-30T07:48:22Z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3F208C1F63424DBB94C570305D8BDD17_13</vt:lpwstr>
  </property>
  <property fmtid="{D5CDD505-2E9C-101B-9397-08002B2CF9AE}" pid="4" name="KSOTemplateDocerSaveRecord">
    <vt:lpwstr>eyJoZGlkIjoiNjJjMTcxMTNjZDI1MWI3MzQ3NzQ5ZjFmZTcwMjcxMTEiLCJ1c2VySWQiOiIxODM4NTE0NTM5In0=</vt:lpwstr>
  </property>
</Properties>
</file>